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37"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19" w:lineRule="auto"/>
        <w:rPr>
          <w:sz w:val="20"/>
          <w:szCs w:val="20"/>
          <w:color w:val="auto"/>
        </w:rPr>
      </w:pPr>
      <w:r>
        <w:rPr>
          <w:rFonts w:ascii="Arial" w:cs="Arial" w:eastAsia="Arial" w:hAnsi="Arial"/>
          <w:sz w:val="18"/>
          <w:szCs w:val="18"/>
          <w:b w:val="1"/>
          <w:bCs w:val="1"/>
          <w:color w:val="auto"/>
        </w:rPr>
        <w:t>Washington, D.C. 20549</w:t>
      </w:r>
    </w:p>
    <w:p>
      <w:pPr>
        <w:ind w:left="3440"/>
        <w:spacing w:after="0" w:line="227" w:lineRule="auto"/>
        <w:rPr>
          <w:sz w:val="20"/>
          <w:szCs w:val="20"/>
          <w:color w:val="auto"/>
        </w:rPr>
      </w:pPr>
      <w:r>
        <w:rPr>
          <w:rFonts w:ascii="Arial" w:cs="Arial" w:eastAsia="Arial" w:hAnsi="Arial"/>
          <w:sz w:val="18"/>
          <w:szCs w:val="18"/>
          <w:color w:val="auto"/>
        </w:rPr>
        <w:t>__________________________________________________</w:t>
      </w:r>
    </w:p>
    <w:p>
      <w:pPr>
        <w:jc w:val="center"/>
        <w:spacing w:after="0" w:line="224" w:lineRule="auto"/>
        <w:rPr>
          <w:sz w:val="20"/>
          <w:szCs w:val="20"/>
          <w:color w:val="auto"/>
        </w:rPr>
      </w:pPr>
      <w:r>
        <w:rPr>
          <w:rFonts w:ascii="Arial" w:cs="Arial" w:eastAsia="Arial" w:hAnsi="Arial"/>
          <w:sz w:val="32"/>
          <w:szCs w:val="32"/>
          <w:b w:val="1"/>
          <w:bCs w:val="1"/>
          <w:color w:val="auto"/>
        </w:rPr>
        <w:t>FORM 10-Q</w:t>
      </w:r>
    </w:p>
    <w:p>
      <w:pPr>
        <w:ind w:left="60"/>
        <w:spacing w:after="0" w:line="230" w:lineRule="auto"/>
        <w:rPr>
          <w:sz w:val="20"/>
          <w:szCs w:val="20"/>
          <w:color w:val="auto"/>
        </w:rPr>
      </w:pPr>
      <w:r>
        <w:rPr>
          <w:rFonts w:ascii="Arial" w:cs="Arial" w:eastAsia="Arial" w:hAnsi="Arial"/>
          <w:sz w:val="18"/>
          <w:szCs w:val="18"/>
          <w:b w:val="1"/>
          <w:bCs w:val="1"/>
          <w:color w:val="auto"/>
        </w:rPr>
        <w:t>(Mark One)</w:t>
      </w:r>
    </w:p>
    <w:p>
      <w:pPr>
        <w:spacing w:after="0" w:line="1" w:lineRule="exact"/>
        <w:rPr>
          <w:sz w:val="24"/>
          <w:szCs w:val="24"/>
          <w:color w:val="auto"/>
        </w:rPr>
      </w:pPr>
    </w:p>
    <w:p>
      <w:pPr>
        <w:ind w:left="560" w:hanging="228"/>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w:t>
      </w:r>
    </w:p>
    <w:p>
      <w:pPr>
        <w:spacing w:after="0" w:line="238" w:lineRule="auto"/>
        <w:rPr>
          <w:sz w:val="20"/>
          <w:szCs w:val="20"/>
          <w:color w:val="auto"/>
        </w:rPr>
      </w:pPr>
      <w:r>
        <w:rPr>
          <w:rFonts w:ascii="Arial" w:cs="Arial" w:eastAsia="Arial" w:hAnsi="Arial"/>
          <w:sz w:val="22"/>
          <w:szCs w:val="22"/>
          <w:b w:val="1"/>
          <w:bCs w:val="1"/>
          <w:color w:val="auto"/>
        </w:rPr>
        <w:t>OF 1934</w:t>
      </w:r>
    </w:p>
    <w:p>
      <w:pPr>
        <w:jc w:val="center"/>
        <w:ind w:right="-59"/>
        <w:spacing w:after="0" w:line="220" w:lineRule="auto"/>
        <w:rPr>
          <w:sz w:val="20"/>
          <w:szCs w:val="20"/>
          <w:color w:val="auto"/>
        </w:rPr>
      </w:pPr>
      <w:r>
        <w:rPr>
          <w:rFonts w:ascii="Arial" w:cs="Arial" w:eastAsia="Arial" w:hAnsi="Arial"/>
          <w:sz w:val="18"/>
          <w:szCs w:val="18"/>
          <w:b w:val="1"/>
          <w:bCs w:val="1"/>
          <w:color w:val="auto"/>
        </w:rPr>
        <w:t>For the quarterly period ended March 31, 2018</w:t>
      </w:r>
    </w:p>
    <w:p>
      <w:pPr>
        <w:jc w:val="center"/>
        <w:ind w:right="-59"/>
        <w:spacing w:after="0" w:line="229" w:lineRule="auto"/>
        <w:rPr>
          <w:sz w:val="20"/>
          <w:szCs w:val="20"/>
          <w:color w:val="auto"/>
        </w:rPr>
      </w:pPr>
      <w:r>
        <w:rPr>
          <w:rFonts w:ascii="Arial" w:cs="Arial" w:eastAsia="Arial" w:hAnsi="Arial"/>
          <w:sz w:val="18"/>
          <w:szCs w:val="18"/>
          <w:b w:val="1"/>
          <w:bCs w:val="1"/>
          <w:color w:val="auto"/>
        </w:rPr>
        <w:t>OR</w:t>
      </w: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238" w:lineRule="auto"/>
        <w:rPr>
          <w:sz w:val="20"/>
          <w:szCs w:val="20"/>
          <w:color w:val="auto"/>
        </w:rPr>
      </w:pPr>
      <w:r>
        <w:rPr>
          <w:rFonts w:ascii="Arial" w:cs="Arial" w:eastAsia="Arial" w:hAnsi="Arial"/>
          <w:sz w:val="22"/>
          <w:szCs w:val="22"/>
          <w:b w:val="1"/>
          <w:bCs w:val="1"/>
          <w:color w:val="auto"/>
        </w:rPr>
        <w:t>1934</w:t>
      </w:r>
    </w:p>
    <w:p>
      <w:pPr>
        <w:spacing w:after="0" w:line="1" w:lineRule="exact"/>
        <w:rPr>
          <w:sz w:val="24"/>
          <w:szCs w:val="24"/>
          <w:color w:val="auto"/>
        </w:rPr>
      </w:pPr>
    </w:p>
    <w:p>
      <w:pPr>
        <w:ind w:left="37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001-15283</w:t>
      </w:r>
    </w:p>
    <w:p>
      <w:pPr>
        <w:jc w:val="center"/>
        <w:spacing w:after="0"/>
        <w:rPr>
          <w:sz w:val="20"/>
          <w:szCs w:val="20"/>
          <w:color w:val="auto"/>
        </w:rPr>
      </w:pPr>
      <w:r>
        <w:rPr>
          <w:sz w:val="1"/>
          <w:szCs w:val="1"/>
          <w:color w:val="auto"/>
        </w:rPr>
        <w:drawing>
          <wp:inline distT="0" distB="0" distL="0" distR="0">
            <wp:extent cx="114935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552450"/>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26465"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6465" cy="548640"/>
                    </a:xfrm>
                    <a:prstGeom prst="rect">
                      <a:avLst/>
                    </a:prstGeom>
                    <a:noFill/>
                    <a:ln>
                      <a:noFill/>
                    </a:ln>
                  </pic:spPr>
                </pic:pic>
              </a:graphicData>
            </a:graphic>
          </wp:inline>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9"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6580" w:type="dxa"/>
            <w:vAlign w:val="bottom"/>
          </w:tcPr>
          <w:p>
            <w:pPr>
              <w:jc w:val="center"/>
              <w:ind w:right="1637"/>
              <w:spacing w:after="0"/>
              <w:rPr>
                <w:sz w:val="20"/>
                <w:szCs w:val="20"/>
                <w:color w:val="auto"/>
              </w:rPr>
            </w:pPr>
            <w:r>
              <w:rPr>
                <w:rFonts w:ascii="Arial" w:cs="Arial" w:eastAsia="Arial" w:hAnsi="Arial"/>
                <w:sz w:val="16"/>
                <w:szCs w:val="16"/>
                <w:b w:val="1"/>
                <w:bCs w:val="1"/>
                <w:color w:val="auto"/>
                <w:w w:val="93"/>
              </w:rPr>
              <w:t>Delaware</w:t>
            </w:r>
          </w:p>
        </w:tc>
        <w:tc>
          <w:tcPr>
            <w:tcW w:w="2960" w:type="dxa"/>
            <w:vAlign w:val="bottom"/>
            <w:vMerge w:val="restart"/>
          </w:tcPr>
          <w:p>
            <w:pPr>
              <w:jc w:val="center"/>
              <w:ind w:left="539"/>
              <w:spacing w:after="0"/>
              <w:rPr>
                <w:sz w:val="20"/>
                <w:szCs w:val="20"/>
                <w:color w:val="auto"/>
              </w:rPr>
            </w:pPr>
            <w:r>
              <w:rPr>
                <w:rFonts w:ascii="Arial" w:cs="Arial" w:eastAsia="Arial" w:hAnsi="Arial"/>
                <w:sz w:val="16"/>
                <w:szCs w:val="16"/>
                <w:b w:val="1"/>
                <w:bCs w:val="1"/>
                <w:color w:val="auto"/>
                <w:w w:val="91"/>
              </w:rPr>
              <w:t>95-3038279</w:t>
            </w:r>
          </w:p>
        </w:tc>
        <w:tc>
          <w:tcPr>
            <w:tcW w:w="0" w:type="dxa"/>
            <w:vAlign w:val="bottom"/>
          </w:tcPr>
          <w:p>
            <w:pPr>
              <w:spacing w:after="0"/>
              <w:rPr>
                <w:sz w:val="1"/>
                <w:szCs w:val="1"/>
                <w:color w:val="auto"/>
              </w:rPr>
            </w:pPr>
          </w:p>
        </w:tc>
      </w:tr>
      <w:tr>
        <w:trPr>
          <w:trHeight w:val="203"/>
        </w:trPr>
        <w:tc>
          <w:tcPr>
            <w:tcW w:w="6580" w:type="dxa"/>
            <w:vAlign w:val="bottom"/>
          </w:tcPr>
          <w:p>
            <w:pPr>
              <w:jc w:val="center"/>
              <w:ind w:right="1637"/>
              <w:spacing w:after="0"/>
              <w:rPr>
                <w:sz w:val="20"/>
                <w:szCs w:val="20"/>
                <w:color w:val="auto"/>
              </w:rPr>
            </w:pPr>
            <w:r>
              <w:rPr>
                <w:rFonts w:ascii="Arial" w:cs="Arial" w:eastAsia="Arial" w:hAnsi="Arial"/>
                <w:sz w:val="16"/>
                <w:szCs w:val="16"/>
                <w:color w:val="auto"/>
                <w:w w:val="94"/>
              </w:rPr>
              <w:t>(State or other jurisdiction of incorporation or</w:t>
            </w: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80" w:type="dxa"/>
            <w:vAlign w:val="bottom"/>
          </w:tcPr>
          <w:p>
            <w:pPr>
              <w:jc w:val="center"/>
              <w:ind w:right="1637"/>
              <w:spacing w:after="0"/>
              <w:rPr>
                <w:sz w:val="20"/>
                <w:szCs w:val="20"/>
                <w:color w:val="auto"/>
              </w:rPr>
            </w:pPr>
            <w:r>
              <w:rPr>
                <w:rFonts w:ascii="Arial" w:cs="Arial" w:eastAsia="Arial" w:hAnsi="Arial"/>
                <w:sz w:val="16"/>
                <w:szCs w:val="16"/>
                <w:color w:val="auto"/>
                <w:w w:val="92"/>
              </w:rPr>
              <w:t>organization)</w:t>
            </w:r>
          </w:p>
        </w:tc>
        <w:tc>
          <w:tcPr>
            <w:tcW w:w="2960" w:type="dxa"/>
            <w:vAlign w:val="bottom"/>
          </w:tcPr>
          <w:p>
            <w:pPr>
              <w:jc w:val="center"/>
              <w:ind w:left="519"/>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374"/>
        </w:trPr>
        <w:tc>
          <w:tcPr>
            <w:tcW w:w="6580" w:type="dxa"/>
            <w:vAlign w:val="bottom"/>
          </w:tcPr>
          <w:p>
            <w:pPr>
              <w:jc w:val="center"/>
              <w:ind w:right="1637"/>
              <w:spacing w:after="0"/>
              <w:rPr>
                <w:sz w:val="20"/>
                <w:szCs w:val="20"/>
                <w:color w:val="auto"/>
              </w:rPr>
            </w:pPr>
            <w:r>
              <w:rPr>
                <w:rFonts w:ascii="Arial" w:cs="Arial" w:eastAsia="Arial" w:hAnsi="Arial"/>
                <w:sz w:val="16"/>
                <w:szCs w:val="16"/>
                <w:b w:val="1"/>
                <w:bCs w:val="1"/>
                <w:color w:val="auto"/>
                <w:w w:val="94"/>
              </w:rPr>
              <w:t xml:space="preserve">450 North Brand Boulevard, Glendale, California </w:t>
            </w:r>
            <w:r>
              <w:rPr>
                <w:rFonts w:ascii="Arial" w:cs="Arial" w:eastAsia="Arial" w:hAnsi="Arial"/>
                <w:sz w:val="16"/>
                <w:szCs w:val="16"/>
                <w:color w:val="auto"/>
                <w:w w:val="94"/>
              </w:rPr>
              <w:t>(Address of principal</w:t>
            </w:r>
          </w:p>
        </w:tc>
        <w:tc>
          <w:tcPr>
            <w:tcW w:w="2960" w:type="dxa"/>
            <w:vAlign w:val="bottom"/>
            <w:vMerge w:val="restart"/>
          </w:tcPr>
          <w:p>
            <w:pPr>
              <w:jc w:val="center"/>
              <w:ind w:left="539"/>
              <w:spacing w:after="0"/>
              <w:rPr>
                <w:sz w:val="20"/>
                <w:szCs w:val="20"/>
                <w:color w:val="auto"/>
              </w:rPr>
            </w:pPr>
            <w:r>
              <w:rPr>
                <w:rFonts w:ascii="Arial" w:cs="Arial" w:eastAsia="Arial" w:hAnsi="Arial"/>
                <w:sz w:val="16"/>
                <w:szCs w:val="16"/>
                <w:b w:val="1"/>
                <w:bCs w:val="1"/>
                <w:color w:val="auto"/>
                <w:w w:val="93"/>
              </w:rPr>
              <w:t xml:space="preserve">91203-1903 </w:t>
            </w: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06"/>
        </w:trPr>
        <w:tc>
          <w:tcPr>
            <w:tcW w:w="6580" w:type="dxa"/>
            <w:vAlign w:val="bottom"/>
          </w:tcPr>
          <w:p>
            <w:pPr>
              <w:jc w:val="center"/>
              <w:ind w:right="1637"/>
              <w:spacing w:after="0"/>
              <w:rPr>
                <w:sz w:val="20"/>
                <w:szCs w:val="20"/>
                <w:color w:val="auto"/>
              </w:rPr>
            </w:pPr>
            <w:r>
              <w:rPr>
                <w:rFonts w:ascii="Arial" w:cs="Arial" w:eastAsia="Arial" w:hAnsi="Arial"/>
                <w:sz w:val="16"/>
                <w:szCs w:val="16"/>
                <w:color w:val="auto"/>
                <w:w w:val="92"/>
              </w:rPr>
              <w:t>executive offices)</w:t>
            </w: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580" w:type="dxa"/>
            <w:vAlign w:val="bottom"/>
          </w:tcPr>
          <w:p>
            <w:pPr>
              <w:jc w:val="right"/>
              <w:ind w:right="537"/>
              <w:spacing w:after="0"/>
              <w:rPr>
                <w:sz w:val="20"/>
                <w:szCs w:val="20"/>
                <w:color w:val="auto"/>
              </w:rPr>
            </w:pPr>
            <w:r>
              <w:rPr>
                <w:rFonts w:ascii="Arial" w:cs="Arial" w:eastAsia="Arial" w:hAnsi="Arial"/>
                <w:sz w:val="18"/>
                <w:szCs w:val="18"/>
                <w:b w:val="1"/>
                <w:bCs w:val="1"/>
                <w:color w:val="auto"/>
              </w:rPr>
              <w:t>(818) 240-6055</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line="203" w:lineRule="auto"/>
        <w:rPr>
          <w:sz w:val="20"/>
          <w:szCs w:val="20"/>
          <w:color w:val="auto"/>
        </w:rPr>
      </w:pPr>
      <w:r>
        <w:rPr>
          <w:rFonts w:ascii="Arial" w:cs="Arial" w:eastAsia="Arial" w:hAnsi="Arial"/>
          <w:sz w:val="18"/>
          <w:szCs w:val="18"/>
          <w:color w:val="auto"/>
        </w:rPr>
        <w:t>(Registrant’s telephone number, including area code)</w:t>
      </w:r>
    </w:p>
    <w:p>
      <w:pPr>
        <w:ind w:left="29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28"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9" w:lineRule="exact"/>
        <w:rPr>
          <w:sz w:val="24"/>
          <w:szCs w:val="24"/>
          <w:color w:val="auto"/>
        </w:rPr>
      </w:pPr>
    </w:p>
    <w:p>
      <w:pPr>
        <w:ind w:right="260" w:firstLine="36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ind w:right="120" w:firstLine="36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p>
      <w:pPr>
        <w:ind w:left="1960"/>
        <w:spacing w:after="0"/>
        <w:tabs>
          <w:tab w:leader="none" w:pos="798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7"/>
          <w:szCs w:val="17"/>
          <w:color w:val="auto"/>
        </w:rPr>
        <w:t>Accelerated filer o</w:t>
      </w:r>
    </w:p>
    <w:p>
      <w:pPr>
        <w:spacing w:after="0" w:line="185"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Non-accelerated filer o (Do not check if a smaller reporting company)</w:t>
      </w:r>
    </w:p>
    <w:p>
      <w:pPr>
        <w:spacing w:after="0" w:line="63" w:lineRule="exact"/>
        <w:rPr>
          <w:sz w:val="24"/>
          <w:szCs w:val="24"/>
          <w:color w:val="auto"/>
        </w:rPr>
      </w:pPr>
    </w:p>
    <w:p>
      <w:pPr>
        <w:ind w:left="7640"/>
        <w:spacing w:after="0"/>
        <w:rPr>
          <w:sz w:val="20"/>
          <w:szCs w:val="20"/>
          <w:color w:val="auto"/>
        </w:rPr>
      </w:pPr>
      <w:r>
        <w:rPr>
          <w:rFonts w:ascii="Arial" w:cs="Arial" w:eastAsia="Arial" w:hAnsi="Arial"/>
          <w:sz w:val="18"/>
          <w:szCs w:val="18"/>
          <w:color w:val="auto"/>
        </w:rPr>
        <w:t>Smaller reporting company o</w:t>
      </w:r>
    </w:p>
    <w:p>
      <w:pPr>
        <w:spacing w:after="0" w:line="63" w:lineRule="exact"/>
        <w:rPr>
          <w:sz w:val="24"/>
          <w:szCs w:val="24"/>
          <w:color w:val="auto"/>
        </w:rPr>
      </w:pPr>
    </w:p>
    <w:p>
      <w:pPr>
        <w:ind w:left="7640"/>
        <w:spacing w:after="0"/>
        <w:rPr>
          <w:sz w:val="20"/>
          <w:szCs w:val="20"/>
          <w:color w:val="auto"/>
        </w:rPr>
      </w:pPr>
      <w:r>
        <w:rPr>
          <w:rFonts w:ascii="Arial" w:cs="Arial" w:eastAsia="Arial" w:hAnsi="Arial"/>
          <w:sz w:val="18"/>
          <w:szCs w:val="18"/>
          <w:color w:val="auto"/>
        </w:rPr>
        <w:t>Emerging growth company o</w:t>
      </w:r>
    </w:p>
    <w:p>
      <w:pPr>
        <w:spacing w:after="0" w:line="198" w:lineRule="exact"/>
        <w:rPr>
          <w:sz w:val="24"/>
          <w:szCs w:val="24"/>
          <w:color w:val="auto"/>
        </w:rPr>
      </w:pPr>
    </w:p>
    <w:p>
      <w:pPr>
        <w:ind w:right="20" w:firstLine="324"/>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1" w:lineRule="exact"/>
        <w:rPr>
          <w:sz w:val="24"/>
          <w:szCs w:val="24"/>
          <w:color w:val="auto"/>
        </w:rPr>
      </w:pPr>
    </w:p>
    <w:p>
      <w:pPr>
        <w:ind w:left="340" w:right="2040"/>
        <w:spacing w:after="0" w:line="518"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Indicate the number of shares outstanding of each of the issuer’s classes of common stock, as of the latest practicable date.</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as of April 27, 2018</w:t>
            </w:r>
          </w:p>
        </w:tc>
      </w:tr>
      <w:tr>
        <w:trPr>
          <w:trHeight w:val="243"/>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Common Stock, $0.01 par value</w:t>
            </w:r>
          </w:p>
        </w:tc>
        <w:tc>
          <w:tcPr>
            <w:tcW w:w="5460" w:type="dxa"/>
            <w:vAlign w:val="bottom"/>
          </w:tcPr>
          <w:p>
            <w:pPr>
              <w:jc w:val="right"/>
              <w:ind w:right="2239"/>
              <w:spacing w:after="0"/>
              <w:rPr>
                <w:sz w:val="20"/>
                <w:szCs w:val="20"/>
                <w:color w:val="auto"/>
              </w:rPr>
            </w:pPr>
            <w:r>
              <w:rPr>
                <w:rFonts w:ascii="Arial" w:cs="Arial" w:eastAsia="Arial" w:hAnsi="Arial"/>
                <w:sz w:val="18"/>
                <w:szCs w:val="18"/>
                <w:color w:val="auto"/>
              </w:rPr>
              <w:t>17,831,460</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3"/>
        </w:trPr>
        <w:tc>
          <w:tcPr>
            <w:tcW w:w="1040" w:type="dxa"/>
            <w:vAlign w:val="bottom"/>
            <w:gridSpan w:val="3"/>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780" w:type="dxa"/>
            <w:vAlign w:val="bottom"/>
            <w:gridSpan w:val="18"/>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6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tcBorders>
              <w:top w:val="single" w:sz="8" w:color="0000EE"/>
            </w:tcBorders>
            <w:gridSpan w:val="8"/>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1—Financial Statements</w:t>
              </w:r>
            </w:hyperlink>
          </w:p>
        </w:tc>
        <w:tc>
          <w:tcPr>
            <w:tcW w:w="7540" w:type="dxa"/>
            <w:vAlign w:val="bottom"/>
            <w:gridSpan w:val="10"/>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March 31, 2018 (unaudited) and December 31, 2017</w:t>
              </w:r>
            </w:hyperlink>
          </w:p>
        </w:tc>
        <w:tc>
          <w:tcPr>
            <w:tcW w:w="3520" w:type="dxa"/>
            <w:vAlign w:val="bottom"/>
            <w:gridSpan w:val="4"/>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Comprehensive Income (unaudited)—Three Months Ended March 31, 2018 and 2017</w:t>
              </w:r>
            </w:hyperlink>
          </w:p>
        </w:tc>
        <w:tc>
          <w:tcPr>
            <w:tcW w:w="14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(unaudited)—Three Months Ended March 31, 2018 and 2017</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4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28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5"/>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2—Management’s Discussion and Analysis of Financial Condition and Results of Operations</w:t>
              </w:r>
            </w:hyperlink>
          </w:p>
        </w:tc>
        <w:tc>
          <w:tcPr>
            <w:tcW w:w="26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3—Quantitative and Qualitative Disclosures about Market Risk</w:t>
              </w:r>
            </w:hyperlink>
          </w:p>
        </w:tc>
        <w:tc>
          <w:tcPr>
            <w:tcW w:w="26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4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4—Controls and Procedures</w:t>
              </w:r>
            </w:hyperlink>
          </w:p>
        </w:tc>
        <w:tc>
          <w:tcPr>
            <w:tcW w:w="484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PART II.</w:t>
              </w:r>
            </w:hyperlink>
          </w:p>
        </w:tc>
        <w:tc>
          <w:tcPr>
            <w:tcW w:w="340" w:type="dxa"/>
            <w:vAlign w:val="bottom"/>
            <w:vMerge w:val="restart"/>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2"/>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880" w:type="dxa"/>
            <w:vAlign w:val="bottom"/>
            <w:gridSpan w:val="5"/>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OTHER INFORMATION</w:t>
              </w:r>
            </w:hyperlink>
          </w:p>
        </w:tc>
        <w:tc>
          <w:tcPr>
            <w:tcW w:w="520" w:type="dxa"/>
            <w:vAlign w:val="bottom"/>
            <w:gridSpan w:val="4"/>
          </w:tcPr>
          <w:p>
            <w:pPr>
              <w:spacing w:after="0"/>
              <w:rPr>
                <w:sz w:val="21"/>
                <w:szCs w:val="21"/>
                <w:color w:val="auto"/>
              </w:rPr>
            </w:pPr>
          </w:p>
        </w:tc>
        <w:tc>
          <w:tcPr>
            <w:tcW w:w="738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Item 1—Legal Proceedings</w:t>
              </w:r>
            </w:hyperlink>
          </w:p>
        </w:tc>
        <w:tc>
          <w:tcPr>
            <w:tcW w:w="78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1A—Risk Factors</w:t>
              </w:r>
            </w:hyperlink>
          </w:p>
        </w:tc>
        <w:tc>
          <w:tcPr>
            <w:tcW w:w="280" w:type="dxa"/>
            <w:vAlign w:val="bottom"/>
            <w:gridSpan w:val="2"/>
          </w:tcPr>
          <w:p>
            <w:pPr>
              <w:spacing w:after="0"/>
              <w:rPr>
                <w:sz w:val="21"/>
                <w:szCs w:val="21"/>
                <w:color w:val="auto"/>
              </w:rPr>
            </w:pPr>
          </w:p>
        </w:tc>
        <w:tc>
          <w:tcPr>
            <w:tcW w:w="78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78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80" w:type="dxa"/>
            <w:vAlign w:val="bottom"/>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3—Defaults Upon Senior Securities</w:t>
              </w:r>
            </w:hyperlink>
          </w:p>
        </w:tc>
        <w:tc>
          <w:tcPr>
            <w:tcW w:w="480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8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4—Mine Safety Disclosures</w:t>
              </w:r>
            </w:hyperlink>
          </w:p>
        </w:tc>
        <w:tc>
          <w:tcPr>
            <w:tcW w:w="682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6"/>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5—Other Information</w:t>
              </w:r>
            </w:hyperlink>
          </w:p>
        </w:tc>
        <w:tc>
          <w:tcPr>
            <w:tcW w:w="440" w:type="dxa"/>
            <w:vAlign w:val="bottom"/>
            <w:gridSpan w:val="3"/>
          </w:tcPr>
          <w:p>
            <w:pPr>
              <w:spacing w:after="0"/>
              <w:rPr>
                <w:sz w:val="21"/>
                <w:szCs w:val="21"/>
                <w:color w:val="auto"/>
              </w:rPr>
            </w:pPr>
          </w:p>
        </w:tc>
        <w:tc>
          <w:tcPr>
            <w:tcW w:w="738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8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Item 6—Exhibits</w:t>
              </w:r>
            </w:hyperlink>
          </w:p>
        </w:tc>
        <w:tc>
          <w:tcPr>
            <w:tcW w:w="720" w:type="dxa"/>
            <w:vAlign w:val="bottom"/>
            <w:gridSpan w:val="3"/>
          </w:tcPr>
          <w:p>
            <w:pPr>
              <w:spacing w:after="0"/>
              <w:rPr>
                <w:sz w:val="21"/>
                <w:szCs w:val="21"/>
                <w:color w:val="auto"/>
              </w:rPr>
            </w:pPr>
          </w:p>
        </w:tc>
        <w:tc>
          <w:tcPr>
            <w:tcW w:w="78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480" w:type="dxa"/>
            <w:vAlign w:val="bottom"/>
          </w:tcPr>
          <w:p>
            <w:pPr>
              <w:spacing w:after="0"/>
              <w:rPr>
                <w:sz w:val="21"/>
                <w:szCs w:val="21"/>
                <w:color w:val="auto"/>
              </w:rPr>
            </w:pPr>
          </w:p>
        </w:tc>
        <w:tc>
          <w:tcPr>
            <w:tcW w:w="854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the Company does not intend to, nor does it assume any obligation to, update or supplement any forward-looking statements after the date of this report to reflect actual results or future events or circumstances.</w:t>
      </w:r>
    </w:p>
    <w:p>
      <w:pPr>
        <w:spacing w:after="0" w:line="182"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Factors that could cause actual results to differ materially from the projections, forecasts, estimates and expectations discussed in this Quarterly Report on Form 10-Q include, among other things: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our franchisees’ and other licensees’ compliance with our quality standards and trademark usage; general risks associated with the restaurant industry; potential harm to our brands’ reputation; possible future impairment charges; the effects of tax reform;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our ability to attract and retain management and other key employees; compliance with federal, state and local governmental regulations; risks associated with our self-insurance; natural disasters or other series incidents; our success with development initiatives outside of our core business; the adequacy of our internal controls over financial reporting and future changes in accounting standards.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2018 began on January 1, 2018 and ended on April 1, 2018. The first fiscal quarter of 2017 began on January 2, 2017 and ended on April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121" w:right="3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20" w:type="dxa"/>
            <w:vAlign w:val="bottom"/>
          </w:tcPr>
          <w:p>
            <w:pPr>
              <w:ind w:left="400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March 31,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(Unaudited)</w:t>
            </w:r>
          </w:p>
        </w:tc>
        <w:tc>
          <w:tcPr>
            <w:tcW w:w="180" w:type="dxa"/>
            <w:vAlign w:val="bottom"/>
          </w:tcPr>
          <w:p>
            <w:pPr>
              <w:spacing w:after="0"/>
              <w:rPr>
                <w:sz w:val="18"/>
                <w:szCs w:val="18"/>
                <w:color w:val="auto"/>
              </w:rPr>
            </w:pPr>
          </w:p>
        </w:tc>
        <w:tc>
          <w:tcPr>
            <w:tcW w:w="1640" w:type="dxa"/>
            <w:vAlign w:val="bottom"/>
          </w:tcPr>
          <w:p>
            <w:pPr>
              <w:jc w:val="right"/>
              <w:ind w:right="37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76"/>
        </w:trPr>
        <w:tc>
          <w:tcPr>
            <w:tcW w:w="7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117,010</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105,834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140,188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31,436</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Prepaid gift card costs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31,174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40,725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45,981</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387,955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Long-term receivables, net</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122,362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126,570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582,787</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339,236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339,236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199,585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Deferred rent receivable</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81,720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82,971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1,651,046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1,737,939</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45,236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55,028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Gift card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164,441</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17,748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maturities of capital lease and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Accrued employee compensation and benefits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franchise revenue, short-term</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11,001</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16,001</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304,924</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1,267,468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1,269,849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less current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61,895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Financing obligations, less current maturities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38,981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39,200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119,996</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Deferred franchise revenue, long-term</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68,581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70,432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69,112</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19,772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18,071</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1,867,932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1,953,479</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180"/>
              <w:spacing w:after="0"/>
              <w:rPr>
                <w:sz w:val="20"/>
                <w:szCs w:val="20"/>
                <w:color w:val="auto"/>
              </w:rPr>
            </w:pPr>
            <w:r>
              <w:rPr>
                <w:rFonts w:ascii="Arial" w:cs="Arial" w:eastAsia="Arial" w:hAnsi="Arial"/>
                <w:sz w:val="18"/>
                <w:szCs w:val="18"/>
                <w:color w:val="auto"/>
                <w:w w:val="91"/>
              </w:rPr>
              <w:t>Common stock, $0.01 par value, shares: 40,000,000 authorized; March 31, 2018 - 25,013,067 issued,</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8"/>
                <w:szCs w:val="18"/>
                <w:color w:val="auto"/>
              </w:rPr>
              <w:t>17,922,137 outstanding; December 31, 2017 - 25,022,312 issued, 17,993,124 outstanding</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276,408</w:t>
            </w:r>
          </w:p>
        </w:tc>
        <w:tc>
          <w:tcPr>
            <w:tcW w:w="0" w:type="dxa"/>
            <w:vAlign w:val="bottom"/>
          </w:tcPr>
          <w:p>
            <w:pPr>
              <w:spacing w:after="0"/>
              <w:rPr>
                <w:sz w:val="1"/>
                <w:szCs w:val="1"/>
                <w:color w:val="auto"/>
              </w:rPr>
            </w:pP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(52,867)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(69,940)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rPr>
              <w:t>Treasury stock, at cost; shares: March 31, 2018 - 7,090,930; December 31, 2017 - 7,029,188</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(429,205)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(422,153)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(215,540)</w:t>
            </w:r>
          </w:p>
        </w:tc>
        <w:tc>
          <w:tcPr>
            <w:tcW w:w="0" w:type="dxa"/>
            <w:vAlign w:val="bottom"/>
          </w:tcPr>
          <w:p>
            <w:pPr>
              <w:spacing w:after="0"/>
              <w:rPr>
                <w:sz w:val="1"/>
                <w:szCs w:val="1"/>
                <w:color w:val="auto"/>
              </w:rPr>
            </w:pPr>
          </w:p>
        </w:tc>
      </w:tr>
      <w:tr>
        <w:trPr>
          <w:trHeight w:val="257"/>
        </w:trPr>
        <w:tc>
          <w:tcPr>
            <w:tcW w:w="7620" w:type="dxa"/>
            <w:vAlign w:val="bottom"/>
          </w:tcPr>
          <w:p>
            <w:pPr>
              <w:ind w:left="56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1,651,046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1,737,939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00"/>
          </w:cols>
          <w:pgMar w:left="240" w:top="122" w:right="259" w:bottom="516"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2" w:right="259" w:bottom="516"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4"/>
          </w:tcPr>
          <w:p>
            <w:pPr>
              <w:jc w:val="right"/>
              <w:ind w:right="89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70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(as adjusted)</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154,725</w:t>
            </w:r>
          </w:p>
        </w:tc>
        <w:tc>
          <w:tcPr>
            <w:tcW w:w="0" w:type="dxa"/>
            <w:vAlign w:val="bottom"/>
          </w:tcPr>
          <w:p>
            <w:pPr>
              <w:spacing w:after="0"/>
              <w:rPr>
                <w:sz w:val="1"/>
                <w:szCs w:val="1"/>
                <w:color w:val="auto"/>
              </w:rPr>
            </w:pPr>
          </w:p>
        </w:tc>
      </w:tr>
      <w:tr>
        <w:trPr>
          <w:trHeight w:val="243"/>
        </w:trPr>
        <w:tc>
          <w:tcPr>
            <w:tcW w:w="7700" w:type="dxa"/>
            <w:vAlign w:val="bottom"/>
          </w:tcPr>
          <w:p>
            <w:pPr>
              <w:ind w:left="280"/>
              <w:spacing w:after="0"/>
              <w:rPr>
                <w:sz w:val="20"/>
                <w:szCs w:val="20"/>
                <w:color w:val="auto"/>
              </w:rPr>
            </w:pPr>
            <w:r>
              <w:rPr>
                <w:rFonts w:ascii="Arial" w:cs="Arial" w:eastAsia="Arial" w:hAnsi="Arial"/>
                <w:sz w:val="18"/>
                <w:szCs w:val="18"/>
                <w:color w:val="auto"/>
              </w:rPr>
              <w:t>Rental revenues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30,841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30,465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43"/>
        </w:trPr>
        <w:tc>
          <w:tcPr>
            <w:tcW w:w="7700" w:type="dxa"/>
            <w:vAlign w:val="bottom"/>
          </w:tcPr>
          <w:p>
            <w:pPr>
              <w:ind w:left="280"/>
              <w:spacing w:after="0"/>
              <w:rPr>
                <w:sz w:val="20"/>
                <w:szCs w:val="20"/>
                <w:color w:val="auto"/>
              </w:rPr>
            </w:pPr>
            <w:r>
              <w:rPr>
                <w:rFonts w:ascii="Arial" w:cs="Arial" w:eastAsia="Arial" w:hAnsi="Arial"/>
                <w:sz w:val="18"/>
                <w:szCs w:val="18"/>
                <w:color w:val="auto"/>
              </w:rPr>
              <w:t>Company restaurant sales</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191,461</w:t>
            </w:r>
          </w:p>
        </w:tc>
        <w:tc>
          <w:tcPr>
            <w:tcW w:w="0" w:type="dxa"/>
            <w:vAlign w:val="bottom"/>
          </w:tcPr>
          <w:p>
            <w:pPr>
              <w:spacing w:after="0"/>
              <w:rPr>
                <w:sz w:val="1"/>
                <w:szCs w:val="1"/>
                <w:color w:val="auto"/>
              </w:rPr>
            </w:pPr>
          </w:p>
        </w:tc>
      </w:tr>
      <w:tr>
        <w:trPr>
          <w:trHeight w:val="237"/>
        </w:trPr>
        <w:tc>
          <w:tcPr>
            <w:tcW w:w="7700" w:type="dxa"/>
            <w:vAlign w:val="bottom"/>
          </w:tcPr>
          <w:p>
            <w:pPr>
              <w:ind w:left="520"/>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70,167</w:t>
            </w:r>
          </w:p>
        </w:tc>
        <w:tc>
          <w:tcPr>
            <w:tcW w:w="0" w:type="dxa"/>
            <w:vAlign w:val="bottom"/>
          </w:tcPr>
          <w:p>
            <w:pPr>
              <w:spacing w:after="0"/>
              <w:rPr>
                <w:sz w:val="1"/>
                <w:szCs w:val="1"/>
                <w:color w:val="auto"/>
              </w:rPr>
            </w:pPr>
          </w:p>
        </w:tc>
      </w:tr>
      <w:tr>
        <w:trPr>
          <w:trHeight w:val="243"/>
        </w:trPr>
        <w:tc>
          <w:tcPr>
            <w:tcW w:w="770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22,666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tcPr>
          <w:p>
            <w:pPr>
              <w:ind w:left="280"/>
              <w:spacing w:after="0"/>
              <w:rPr>
                <w:sz w:val="20"/>
                <w:szCs w:val="20"/>
                <w:color w:val="auto"/>
              </w:rPr>
            </w:pPr>
            <w:r>
              <w:rPr>
                <w:rFonts w:ascii="Arial" w:cs="Arial" w:eastAsia="Arial" w:hAnsi="Arial"/>
                <w:sz w:val="18"/>
                <w:szCs w:val="18"/>
                <w:color w:val="auto"/>
              </w:rPr>
              <w:t>Company restaurant expenses</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97,176</w:t>
            </w:r>
          </w:p>
        </w:tc>
        <w:tc>
          <w:tcPr>
            <w:tcW w:w="0" w:type="dxa"/>
            <w:vAlign w:val="bottom"/>
          </w:tcPr>
          <w:p>
            <w:pPr>
              <w:spacing w:after="0"/>
              <w:rPr>
                <w:sz w:val="1"/>
                <w:szCs w:val="1"/>
                <w:color w:val="auto"/>
              </w:rPr>
            </w:pPr>
          </w:p>
        </w:tc>
      </w:tr>
      <w:tr>
        <w:trPr>
          <w:trHeight w:val="237"/>
        </w:trPr>
        <w:tc>
          <w:tcPr>
            <w:tcW w:w="7700" w:type="dxa"/>
            <w:vAlign w:val="bottom"/>
          </w:tcPr>
          <w:p>
            <w:pPr>
              <w:ind w:left="5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83,500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94,285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50,305</w:t>
            </w:r>
          </w:p>
        </w:tc>
        <w:tc>
          <w:tcPr>
            <w:tcW w:w="0" w:type="dxa"/>
            <w:vAlign w:val="bottom"/>
          </w:tcPr>
          <w:p>
            <w:pPr>
              <w:spacing w:after="0"/>
              <w:rPr>
                <w:sz w:val="1"/>
                <w:szCs w:val="1"/>
                <w:color w:val="auto"/>
              </w:rPr>
            </w:pPr>
          </w:p>
        </w:tc>
      </w:tr>
      <w:tr>
        <w:trPr>
          <w:trHeight w:val="243"/>
        </w:trPr>
        <w:tc>
          <w:tcPr>
            <w:tcW w:w="7700" w:type="dxa"/>
            <w:vAlign w:val="bottom"/>
          </w:tcPr>
          <w:p>
            <w:pPr>
              <w:ind w:left="5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15,363</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Closure and 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7700" w:type="dxa"/>
            <w:vAlign w:val="bottom"/>
          </w:tcPr>
          <w:p>
            <w:pPr>
              <w:ind w:left="5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Gain on disposition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7700" w:type="dxa"/>
            <w:vAlign w:val="bottom"/>
          </w:tcPr>
          <w:p>
            <w:pPr>
              <w:ind w:left="520"/>
              <w:spacing w:after="0"/>
              <w:rPr>
                <w:sz w:val="20"/>
                <w:szCs w:val="20"/>
                <w:color w:val="auto"/>
              </w:rPr>
            </w:pPr>
            <w:r>
              <w:rPr>
                <w:rFonts w:ascii="Arial" w:cs="Arial" w:eastAsia="Arial" w:hAnsi="Arial"/>
                <w:sz w:val="18"/>
                <w:szCs w:val="18"/>
                <w:color w:val="auto"/>
              </w:rPr>
              <w:t>Income before income tax provision</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26,009</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37"/>
        </w:trPr>
        <w:tc>
          <w:tcPr>
            <w:tcW w:w="7700" w:type="dxa"/>
            <w:vAlign w:val="bottom"/>
          </w:tcPr>
          <w:p>
            <w:pPr>
              <w:ind w:left="5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270"/>
        </w:trPr>
        <w:tc>
          <w:tcPr>
            <w:tcW w:w="7700" w:type="dxa"/>
            <w:vAlign w:val="bottom"/>
          </w:tcPr>
          <w:p>
            <w:pPr>
              <w:ind w:left="520"/>
              <w:spacing w:after="0"/>
              <w:rPr>
                <w:sz w:val="20"/>
                <w:szCs w:val="20"/>
                <w:color w:val="auto"/>
              </w:rPr>
            </w:pPr>
            <w:r>
              <w:rPr>
                <w:rFonts w:ascii="Arial" w:cs="Arial" w:eastAsia="Arial" w:hAnsi="Arial"/>
                <w:sz w:val="18"/>
                <w:szCs w:val="18"/>
                <w:b w:val="1"/>
                <w:bCs w:val="1"/>
                <w:color w:val="auto"/>
              </w:rPr>
              <w:t>Other comprehensive (loss) income, net of tax:</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 to unrealized loss on available-for-sale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income and 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Net income available to common stockholders: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243"/>
        </w:trPr>
        <w:tc>
          <w:tcPr>
            <w:tcW w:w="7700" w:type="dxa"/>
            <w:vAlign w:val="bottom"/>
          </w:tcPr>
          <w:p>
            <w:pPr>
              <w:ind w:left="28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Net income available to common stockholders per share: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17,845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Dividends declared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00" w:type="dxa"/>
            <w:vAlign w:val="bottom"/>
          </w:tcPr>
          <w:p>
            <w:pPr>
              <w:ind w:left="520"/>
              <w:spacing w:after="0"/>
              <w:rPr>
                <w:sz w:val="20"/>
                <w:szCs w:val="20"/>
                <w:color w:val="auto"/>
              </w:rPr>
            </w:pPr>
            <w:r>
              <w:rPr>
                <w:rFonts w:ascii="Arial" w:cs="Arial" w:eastAsia="Arial" w:hAnsi="Arial"/>
                <w:sz w:val="18"/>
                <w:szCs w:val="18"/>
                <w:b w:val="1"/>
                <w:bCs w:val="1"/>
                <w:color w:val="auto"/>
              </w:rPr>
              <w:t>Dividends paid per common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0400"/>
          </w:cols>
          <w:pgMar w:left="240" w:top="122" w:right="1259" w:bottom="1440"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00"/>
          </w:cols>
          <w:pgMar w:left="240" w:top="122" w:right="125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57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8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4"/>
          </w:tcPr>
          <w:p>
            <w:pPr>
              <w:jc w:val="right"/>
              <w:ind w:right="95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6"/>
                <w:szCs w:val="16"/>
                <w:b w:val="1"/>
                <w:bCs w:val="1"/>
                <w:color w:val="auto"/>
                <w:w w:val="93"/>
              </w:rPr>
              <w:t>(as adjusted)</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Closure and impairment charges</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Non-cash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Gain on disposition of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Current income tax receivables and payables</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7,176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Gift card receivables and payables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Accrued employee compensation and benefits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37"/>
        </w:trPr>
        <w:tc>
          <w:tcPr>
            <w:tcW w:w="8560" w:type="dxa"/>
            <w:vAlign w:val="bottom"/>
          </w:tcPr>
          <w:p>
            <w:pPr>
              <w:ind w:left="920"/>
              <w:spacing w:after="0"/>
              <w:rPr>
                <w:sz w:val="20"/>
                <w:szCs w:val="20"/>
                <w:color w:val="auto"/>
              </w:rPr>
            </w:pPr>
            <w:r>
              <w:rPr>
                <w:rFonts w:ascii="Arial" w:cs="Arial" w:eastAsia="Arial" w:hAnsi="Arial"/>
                <w:sz w:val="18"/>
                <w:szCs w:val="18"/>
                <w:color w:val="auto"/>
              </w:rPr>
              <w:t>Cash flows provided by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19,543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Additions to property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Additions to long-term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Cash flows (used in) provided by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Dividends paid on common stock</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(17,432)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Principal payments on capital lease and financing obligations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Tax payments for restricted stock upon vesting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Proceeds from stock options exercised</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Cash flows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(31,591)</w:t>
            </w:r>
          </w:p>
        </w:tc>
        <w:tc>
          <w:tcPr>
            <w:tcW w:w="0" w:type="dxa"/>
            <w:vAlign w:val="bottom"/>
          </w:tcPr>
          <w:p>
            <w:pPr>
              <w:spacing w:after="0"/>
              <w:rPr>
                <w:sz w:val="1"/>
                <w:szCs w:val="1"/>
                <w:color w:val="auto"/>
              </w:rPr>
            </w:pPr>
          </w:p>
        </w:tc>
      </w:tr>
      <w:tr>
        <w:trPr>
          <w:trHeight w:val="237"/>
        </w:trPr>
        <w:tc>
          <w:tcPr>
            <w:tcW w:w="8560" w:type="dxa"/>
            <w:vAlign w:val="bottom"/>
          </w:tcPr>
          <w:p>
            <w:pPr>
              <w:ind w:left="480"/>
              <w:spacing w:after="0"/>
              <w:rPr>
                <w:sz w:val="20"/>
                <w:szCs w:val="20"/>
                <w:color w:val="auto"/>
              </w:rPr>
            </w:pPr>
            <w:r>
              <w:rPr>
                <w:rFonts w:ascii="Arial" w:cs="Arial" w:eastAsia="Arial" w:hAnsi="Arial"/>
                <w:sz w:val="18"/>
                <w:szCs w:val="18"/>
                <w:color w:val="auto"/>
              </w:rPr>
              <w:t>Net change in cash, cash equivalents and restricted cash</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185,491</w:t>
            </w: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143,490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175,260</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80"/>
              <w:spacing w:after="0"/>
              <w:rPr>
                <w:sz w:val="20"/>
                <w:szCs w:val="20"/>
                <w:color w:val="auto"/>
              </w:rPr>
            </w:pPr>
            <w:r>
              <w:rPr>
                <w:rFonts w:ascii="Arial" w:cs="Arial" w:eastAsia="Arial" w:hAnsi="Arial"/>
                <w:sz w:val="18"/>
                <w:szCs w:val="18"/>
                <w:color w:val="auto"/>
              </w:rPr>
              <w:t>Interest paid in 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16,621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16,231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paid in 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(consisting of normal recurring accruals) considered necessary for a fair presentation have been included. The operating results for the three months ended March 31, 2018 are not necessarily indicative of the results that may be expected for the twelve months ending December 31, 2018.</w:t>
      </w:r>
    </w:p>
    <w:p>
      <w:pPr>
        <w:spacing w:after="0" w:line="15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consolidated balance sheet at December 31, 2017 has been derived from the audited consolidated financial statements at that date, but does not include all of the information and footnotes required by U.S. GAAP for complete financial statements.</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2018 began on January 1, 2018 and ended on April 1, 2018. The first fiscal quarter of 2017 began on January 2, 2017 and ended on April 2, 2017.</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goodwill, other intangible assets and tangible assets;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200" w:lineRule="exact"/>
        <w:rPr>
          <w:sz w:val="20"/>
          <w:szCs w:val="20"/>
          <w:color w:val="auto"/>
        </w:rPr>
      </w:pPr>
    </w:p>
    <w:p>
      <w:pPr>
        <w:spacing w:after="0" w:line="355" w:lineRule="exact"/>
        <w:rPr>
          <w:sz w:val="20"/>
          <w:szCs w:val="20"/>
          <w:color w:val="auto"/>
        </w:rPr>
      </w:pPr>
    </w:p>
    <w:p>
      <w:pPr>
        <w:ind w:left="340" w:right="4340" w:hanging="332"/>
        <w:spacing w:after="0" w:line="456" w:lineRule="auto"/>
        <w:tabs>
          <w:tab w:leader="none" w:pos="19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Standards Adopted and Newly Issued Accounting Standards Not Yet Adopted </w:t>
      </w:r>
      <w:r>
        <w:rPr>
          <w:rFonts w:ascii="Arial" w:cs="Arial" w:eastAsia="Arial" w:hAnsi="Arial"/>
          <w:sz w:val="18"/>
          <w:szCs w:val="18"/>
          <w:b w:val="1"/>
          <w:bCs w:val="1"/>
          <w:i w:val="1"/>
          <w:iCs w:val="1"/>
          <w:color w:val="auto"/>
        </w:rPr>
        <w:t>Accounting Standards Adopted Effective January 1, 2018</w:t>
      </w:r>
    </w:p>
    <w:p>
      <w:pPr>
        <w:spacing w:after="0" w:line="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January 1, 2018, the Company adopted the guidance of Accounting Standards Codification 606 - Revenue from Contracts with Customers (“ASC 606”). The Company adopted this change in accounting principles using the full retrospective method. Accordingly, previously reported financial information has been restated to reflect the application of ASC 606 to all comparative periods presented. The Company utilized all of the practical expedients for adoption allowed under the full retrospective method. The Company believes utilization of the practical expedients did not have a significant impact on the consolidated financial statements of the periods presented herein.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Accounting Standards Adopted and Newly Issued Accounting Standards Not Yet Adopted (Continued)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Adoption of ASC 606 impacted our previously reported Consolidated Balance Sheet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w w:val="95"/>
              </w:rPr>
              <w:t>Balance at December</w:t>
            </w:r>
          </w:p>
        </w:tc>
        <w:tc>
          <w:tcPr>
            <w:tcW w:w="2240" w:type="dxa"/>
            <w:vAlign w:val="bottom"/>
            <w:gridSpan w:val="2"/>
          </w:tcPr>
          <w:p>
            <w:pPr>
              <w:ind w:left="100"/>
              <w:spacing w:after="0"/>
              <w:rPr>
                <w:sz w:val="20"/>
                <w:szCs w:val="20"/>
                <w:color w:val="auto"/>
              </w:rPr>
            </w:pPr>
            <w:r>
              <w:rPr>
                <w:rFonts w:ascii="Arial" w:cs="Arial" w:eastAsia="Arial" w:hAnsi="Arial"/>
                <w:sz w:val="16"/>
                <w:szCs w:val="16"/>
                <w:b w:val="1"/>
                <w:bCs w:val="1"/>
                <w:color w:val="auto"/>
                <w:w w:val="91"/>
              </w:rPr>
              <w:t>Adjustments/Reclassifications</w:t>
            </w:r>
          </w:p>
        </w:tc>
        <w:tc>
          <w:tcPr>
            <w:tcW w:w="17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Balance at December</w:t>
            </w:r>
          </w:p>
        </w:tc>
      </w:tr>
      <w:tr>
        <w:trPr>
          <w:trHeight w:val="210"/>
        </w:trPr>
        <w:tc>
          <w:tcPr>
            <w:tcW w:w="5780" w:type="dxa"/>
            <w:vAlign w:val="bottom"/>
          </w:tcPr>
          <w:p>
            <w:pPr>
              <w:spacing w:after="0"/>
              <w:rPr>
                <w:sz w:val="18"/>
                <w:szCs w:val="18"/>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w w:val="95"/>
              </w:rPr>
              <w:t>31, 2017, as reported</w:t>
            </w:r>
          </w:p>
        </w:tc>
        <w:tc>
          <w:tcPr>
            <w:tcW w:w="220" w:type="dxa"/>
            <w:vAlign w:val="bottom"/>
          </w:tcPr>
          <w:p>
            <w:pPr>
              <w:spacing w:after="0"/>
              <w:rPr>
                <w:sz w:val="18"/>
                <w:szCs w:val="18"/>
                <w:color w:val="auto"/>
              </w:rPr>
            </w:pPr>
          </w:p>
        </w:tc>
        <w:tc>
          <w:tcPr>
            <w:tcW w:w="2020" w:type="dxa"/>
            <w:vAlign w:val="bottom"/>
          </w:tcPr>
          <w:p>
            <w:pPr>
              <w:jc w:val="right"/>
              <w:ind w:right="152"/>
              <w:spacing w:after="0"/>
              <w:rPr>
                <w:sz w:val="20"/>
                <w:szCs w:val="20"/>
                <w:color w:val="auto"/>
              </w:rPr>
            </w:pPr>
            <w:r>
              <w:rPr>
                <w:rFonts w:ascii="Arial" w:cs="Arial" w:eastAsia="Arial" w:hAnsi="Arial"/>
                <w:sz w:val="16"/>
                <w:szCs w:val="16"/>
                <w:b w:val="1"/>
                <w:bCs w:val="1"/>
                <w:color w:val="auto"/>
                <w:w w:val="92"/>
              </w:rPr>
              <w:t>Due to ASC 606 adoption</w:t>
            </w:r>
          </w:p>
        </w:tc>
        <w:tc>
          <w:tcPr>
            <w:tcW w:w="17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7"/>
              </w:rPr>
              <w:t>31, 2017, as adjusted</w:t>
            </w:r>
          </w:p>
        </w:tc>
      </w:tr>
      <w:tr>
        <w:trPr>
          <w:trHeight w:val="33"/>
        </w:trPr>
        <w:tc>
          <w:tcPr>
            <w:tcW w:w="5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7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Receivables, net</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150,174</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(9,986)</w:t>
            </w:r>
          </w:p>
        </w:tc>
        <w:tc>
          <w:tcPr>
            <w:tcW w:w="58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140,188</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Prepaid income taxes</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43,654</w:t>
            </w:r>
          </w:p>
        </w:tc>
        <w:tc>
          <w:tcPr>
            <w:tcW w:w="220" w:type="dxa"/>
            <w:vAlign w:val="bottom"/>
          </w:tcPr>
          <w:p>
            <w:pPr>
              <w:spacing w:after="0"/>
              <w:rPr>
                <w:sz w:val="21"/>
                <w:szCs w:val="21"/>
                <w:color w:val="auto"/>
              </w:rPr>
            </w:pP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2,327</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45,981</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net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131,212</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(4,642)</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126,570</w:t>
            </w:r>
          </w:p>
        </w:tc>
      </w:tr>
      <w:tr>
        <w:trPr>
          <w:trHeight w:val="162"/>
        </w:trPr>
        <w:tc>
          <w:tcPr>
            <w:tcW w:w="5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Deferred franchise revenue (short-term)</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11,001</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11,001</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expenses</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17,780</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(1,779)</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16,001</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Deferred franchise revenue (long-term)</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70,432</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70,432</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23,003</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(4,932)</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Deferred income taxes, net</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138,177</w:t>
            </w:r>
          </w:p>
        </w:tc>
        <w:tc>
          <w:tcPr>
            <w:tcW w:w="220" w:type="dxa"/>
            <w:vAlign w:val="bottom"/>
          </w:tcPr>
          <w:p>
            <w:pPr>
              <w:spacing w:after="0"/>
              <w:rPr>
                <w:sz w:val="21"/>
                <w:szCs w:val="21"/>
                <w:color w:val="auto"/>
              </w:rPr>
            </w:pPr>
          </w:p>
        </w:tc>
        <w:tc>
          <w:tcPr>
            <w:tcW w:w="2020" w:type="dxa"/>
            <w:vAlign w:val="bottom"/>
          </w:tcPr>
          <w:p>
            <w:pPr>
              <w:jc w:val="right"/>
              <w:ind w:right="52"/>
              <w:spacing w:after="0"/>
              <w:rPr>
                <w:sz w:val="20"/>
                <w:szCs w:val="20"/>
                <w:color w:val="auto"/>
              </w:rPr>
            </w:pPr>
            <w:r>
              <w:rPr>
                <w:rFonts w:ascii="Arial" w:cs="Arial" w:eastAsia="Arial" w:hAnsi="Arial"/>
                <w:sz w:val="18"/>
                <w:szCs w:val="18"/>
                <w:color w:val="auto"/>
              </w:rPr>
              <w:t>(18,181)</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119,996</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5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Equity:</w:t>
            </w: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(68,842)</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(69,940)</w:t>
            </w:r>
          </w:p>
        </w:tc>
      </w:tr>
      <w:tr>
        <w:trPr>
          <w:trHeight w:val="27"/>
        </w:trPr>
        <w:tc>
          <w:tcPr>
            <w:tcW w:w="5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right="240" w:firstLine="324"/>
        <w:spacing w:after="0" w:line="248" w:lineRule="auto"/>
        <w:rPr>
          <w:sz w:val="20"/>
          <w:szCs w:val="20"/>
          <w:color w:val="auto"/>
        </w:rPr>
      </w:pPr>
      <w:r>
        <w:rPr>
          <w:rFonts w:ascii="Arial" w:cs="Arial" w:eastAsia="Arial" w:hAnsi="Arial"/>
          <w:sz w:val="18"/>
          <w:szCs w:val="18"/>
          <w:color w:val="auto"/>
        </w:rPr>
        <w:t>In conjunction with its adoption of ASC 606, the Company has separated “franchise and restaurant revenues” and “franchise and restaurant expenses,” previously combined when reported in the Statement of Comprehensive Income for the three months ended March 31, 2017, into “franchise revenues/expense” and “company restaurant sales/expense”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r>
      <w:tr>
        <w:trPr>
          <w:trHeight w:val="276"/>
        </w:trPr>
        <w:tc>
          <w:tcPr>
            <w:tcW w:w="9700" w:type="dxa"/>
            <w:vAlign w:val="bottom"/>
          </w:tcPr>
          <w:p>
            <w:pPr>
              <w:ind w:left="40"/>
              <w:spacing w:after="0"/>
              <w:rPr>
                <w:sz w:val="20"/>
                <w:szCs w:val="20"/>
                <w:color w:val="auto"/>
              </w:rPr>
            </w:pPr>
            <w:r>
              <w:rPr>
                <w:rFonts w:ascii="Arial" w:cs="Arial" w:eastAsia="Arial" w:hAnsi="Arial"/>
                <w:sz w:val="18"/>
                <w:szCs w:val="18"/>
                <w:color w:val="auto"/>
              </w:rPr>
              <w:t>Franchise and restaurant revenues, as reported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123,578</w:t>
            </w:r>
          </w:p>
        </w:tc>
      </w:tr>
      <w:tr>
        <w:trPr>
          <w:trHeight w:val="20"/>
        </w:trPr>
        <w:tc>
          <w:tcPr>
            <w:tcW w:w="9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09"/>
        </w:trPr>
        <w:tc>
          <w:tcPr>
            <w:tcW w:w="9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revenues, as reclassified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119,438</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Company restaurant sales, as reclassified</w:t>
            </w:r>
          </w:p>
        </w:tc>
        <w:tc>
          <w:tcPr>
            <w:tcW w:w="1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4,140</w:t>
            </w:r>
          </w:p>
        </w:tc>
      </w:tr>
      <w:tr>
        <w:trPr>
          <w:trHeight w:val="27"/>
        </w:trPr>
        <w:tc>
          <w:tcPr>
            <w:tcW w:w="9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123,578</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9700" w:type="dxa"/>
            <w:vAlign w:val="bottom"/>
          </w:tcPr>
          <w:p>
            <w:pPr>
              <w:ind w:left="40"/>
              <w:spacing w:after="0"/>
              <w:rPr>
                <w:sz w:val="20"/>
                <w:szCs w:val="20"/>
                <w:color w:val="auto"/>
              </w:rPr>
            </w:pPr>
            <w:r>
              <w:rPr>
                <w:rFonts w:ascii="Arial" w:cs="Arial" w:eastAsia="Arial" w:hAnsi="Arial"/>
                <w:sz w:val="18"/>
                <w:szCs w:val="18"/>
                <w:color w:val="auto"/>
              </w:rPr>
              <w:t>Franchise and restaurant expenses, as reported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41,007</w:t>
            </w:r>
          </w:p>
        </w:tc>
      </w:tr>
      <w:tr>
        <w:trPr>
          <w:trHeight w:val="20"/>
        </w:trPr>
        <w:tc>
          <w:tcPr>
            <w:tcW w:w="9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09"/>
        </w:trPr>
        <w:tc>
          <w:tcPr>
            <w:tcW w:w="9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 as reclassified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36,664</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Company restaurant expenses, as reclassified</w:t>
            </w:r>
          </w:p>
        </w:tc>
        <w:tc>
          <w:tcPr>
            <w:tcW w:w="1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4,343</w:t>
            </w:r>
          </w:p>
        </w:tc>
      </w:tr>
      <w:tr>
        <w:trPr>
          <w:trHeight w:val="27"/>
        </w:trPr>
        <w:tc>
          <w:tcPr>
            <w:tcW w:w="9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41,007</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Adoption of ASC 606 impacted our previously reported Consolidated Statement of Comprehensive Income for the three months ended March 31, 2017,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center"/>
              <w:ind w:right="153"/>
              <w:spacing w:after="0"/>
              <w:rPr>
                <w:sz w:val="20"/>
                <w:szCs w:val="20"/>
                <w:color w:val="auto"/>
              </w:rPr>
            </w:pPr>
            <w:r>
              <w:rPr>
                <w:rFonts w:ascii="Arial" w:cs="Arial" w:eastAsia="Arial" w:hAnsi="Arial"/>
                <w:sz w:val="16"/>
                <w:szCs w:val="16"/>
                <w:b w:val="1"/>
                <w:bCs w:val="1"/>
                <w:color w:val="auto"/>
                <w:w w:val="92"/>
              </w:rPr>
              <w:t>Three Months ended</w:t>
            </w: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Three Months ended</w:t>
            </w: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center"/>
              <w:ind w:right="133"/>
              <w:spacing w:after="0"/>
              <w:rPr>
                <w:sz w:val="20"/>
                <w:szCs w:val="20"/>
                <w:color w:val="auto"/>
              </w:rPr>
            </w:pPr>
            <w:r>
              <w:rPr>
                <w:rFonts w:ascii="Arial" w:cs="Arial" w:eastAsia="Arial" w:hAnsi="Arial"/>
                <w:sz w:val="16"/>
                <w:szCs w:val="16"/>
                <w:b w:val="1"/>
                <w:bCs w:val="1"/>
                <w:color w:val="auto"/>
                <w:w w:val="92"/>
              </w:rPr>
              <w:t>March 31, 2017, as</w:t>
            </w:r>
          </w:p>
        </w:tc>
        <w:tc>
          <w:tcPr>
            <w:tcW w:w="2040" w:type="dxa"/>
            <w:vAlign w:val="bottom"/>
            <w:gridSpan w:val="2"/>
          </w:tcPr>
          <w:p>
            <w:pPr>
              <w:jc w:val="right"/>
              <w:ind w:right="54"/>
              <w:spacing w:after="0"/>
              <w:rPr>
                <w:sz w:val="20"/>
                <w:szCs w:val="20"/>
                <w:color w:val="auto"/>
              </w:rPr>
            </w:pPr>
            <w:r>
              <w:rPr>
                <w:rFonts w:ascii="Arial" w:cs="Arial" w:eastAsia="Arial" w:hAnsi="Arial"/>
                <w:sz w:val="16"/>
                <w:szCs w:val="16"/>
                <w:b w:val="1"/>
                <w:bCs w:val="1"/>
                <w:color w:val="auto"/>
              </w:rPr>
              <w:t>Adjustments due to ASC</w:t>
            </w:r>
          </w:p>
        </w:tc>
        <w:tc>
          <w:tcPr>
            <w:tcW w:w="260" w:type="dxa"/>
            <w:vAlign w:val="bottom"/>
          </w:tcPr>
          <w:p>
            <w:pPr>
              <w:spacing w:after="0"/>
              <w:rPr>
                <w:sz w:val="17"/>
                <w:szCs w:val="17"/>
                <w:color w:val="auto"/>
              </w:rPr>
            </w:pPr>
          </w:p>
        </w:tc>
        <w:tc>
          <w:tcPr>
            <w:tcW w:w="174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March 31, 2017, as</w:t>
            </w:r>
          </w:p>
        </w:tc>
      </w:tr>
      <w:tr>
        <w:trPr>
          <w:trHeight w:val="210"/>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right="153"/>
              <w:spacing w:after="0"/>
              <w:rPr>
                <w:sz w:val="20"/>
                <w:szCs w:val="20"/>
                <w:color w:val="auto"/>
              </w:rPr>
            </w:pPr>
            <w:r>
              <w:rPr>
                <w:rFonts w:ascii="Arial" w:cs="Arial" w:eastAsia="Arial" w:hAnsi="Arial"/>
                <w:sz w:val="16"/>
                <w:szCs w:val="16"/>
                <w:b w:val="1"/>
                <w:bCs w:val="1"/>
                <w:color w:val="auto"/>
                <w:w w:val="92"/>
              </w:rPr>
              <w:t>reported</w:t>
            </w:r>
          </w:p>
        </w:tc>
        <w:tc>
          <w:tcPr>
            <w:tcW w:w="380" w:type="dxa"/>
            <w:vAlign w:val="bottom"/>
          </w:tcPr>
          <w:p>
            <w:pPr>
              <w:spacing w:after="0"/>
              <w:rPr>
                <w:sz w:val="18"/>
                <w:szCs w:val="18"/>
                <w:color w:val="auto"/>
              </w:rPr>
            </w:pPr>
          </w:p>
        </w:tc>
        <w:tc>
          <w:tcPr>
            <w:tcW w:w="1660" w:type="dxa"/>
            <w:vAlign w:val="bottom"/>
          </w:tcPr>
          <w:p>
            <w:pPr>
              <w:jc w:val="right"/>
              <w:ind w:right="474"/>
              <w:spacing w:after="0"/>
              <w:rPr>
                <w:sz w:val="20"/>
                <w:szCs w:val="20"/>
                <w:color w:val="auto"/>
              </w:rPr>
            </w:pPr>
            <w:r>
              <w:rPr>
                <w:rFonts w:ascii="Arial" w:cs="Arial" w:eastAsia="Arial" w:hAnsi="Arial"/>
                <w:sz w:val="16"/>
                <w:szCs w:val="16"/>
                <w:b w:val="1"/>
                <w:bCs w:val="1"/>
                <w:color w:val="auto"/>
              </w:rPr>
              <w:t>606 adoption</w:t>
            </w:r>
          </w:p>
        </w:tc>
        <w:tc>
          <w:tcPr>
            <w:tcW w:w="260" w:type="dxa"/>
            <w:vAlign w:val="bottom"/>
          </w:tcPr>
          <w:p>
            <w:pPr>
              <w:spacing w:after="0"/>
              <w:rPr>
                <w:sz w:val="18"/>
                <w:szCs w:val="18"/>
                <w:color w:val="auto"/>
              </w:rPr>
            </w:pPr>
          </w:p>
        </w:tc>
        <w:tc>
          <w:tcPr>
            <w:tcW w:w="174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adjusted</w:t>
            </w:r>
          </w:p>
        </w:tc>
      </w:tr>
      <w:tr>
        <w:trPr>
          <w:trHeight w:val="33"/>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revenues (as reclassified above)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119,438</w:t>
            </w:r>
          </w:p>
        </w:tc>
        <w:tc>
          <w:tcPr>
            <w:tcW w:w="3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35,287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154,725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Franchise expenses (as reclassified above)</w:t>
            </w:r>
          </w:p>
        </w:tc>
        <w:tc>
          <w:tcPr>
            <w:tcW w:w="200" w:type="dxa"/>
            <w:vAlign w:val="bottom"/>
          </w:tcPr>
          <w:p>
            <w:pPr>
              <w:spacing w:after="0"/>
              <w:rPr>
                <w:sz w:val="21"/>
                <w:szCs w:val="21"/>
                <w:color w:val="auto"/>
              </w:rPr>
            </w:pP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36,664</w:t>
            </w:r>
          </w:p>
        </w:tc>
        <w:tc>
          <w:tcPr>
            <w:tcW w:w="380" w:type="dxa"/>
            <w:vAlign w:val="bottom"/>
          </w:tcPr>
          <w:p>
            <w:pPr>
              <w:spacing w:after="0"/>
              <w:rPr>
                <w:sz w:val="21"/>
                <w:szCs w:val="21"/>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33,503</w:t>
            </w:r>
          </w:p>
        </w:tc>
        <w:tc>
          <w:tcPr>
            <w:tcW w:w="26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70,167</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provision</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24,225</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1,784</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26,009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(9,862)</w:t>
            </w:r>
          </w:p>
        </w:tc>
        <w:tc>
          <w:tcPr>
            <w:tcW w:w="3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(10,414)</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14,363</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1,232</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15,595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0.80</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0.87</w:t>
            </w:r>
          </w:p>
        </w:tc>
      </w:tr>
      <w:tr>
        <w:trPr>
          <w:trHeight w:val="243"/>
        </w:trPr>
        <w:tc>
          <w:tcPr>
            <w:tcW w:w="5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0.79</w:t>
            </w: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0.86</w:t>
            </w:r>
          </w:p>
        </w:tc>
      </w:tr>
    </w:tbl>
    <w:p>
      <w:pPr>
        <w:spacing w:after="0" w:line="215"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Recognition of Applebee's advertising revenue and expense comprised $33.5 million of the revenue adjustment and all of the expense adjustment. Approximately $1.8 million of the revenue adjustment is due to the change in method of recognizing franchise and development fees. See Note 4 - Revenue Disclosures, of the Notes to Consolidated Financial Statements for a description of these changes.</w:t>
      </w:r>
    </w:p>
    <w:p>
      <w:pPr>
        <w:sectPr>
          <w:pgSz w:w="11900" w:h="16838" w:orient="portrait"/>
          <w:cols w:equalWidth="0" w:num="1">
            <w:col w:w="11420"/>
          </w:cols>
          <w:pgMar w:left="240" w:top="12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Accounting Standards Adopted and Newly Issued Accounting Standards Not Yet Adopted (Continued)</w:t>
      </w:r>
    </w:p>
    <w:p>
      <w:pPr>
        <w:spacing w:after="0" w:line="200" w:lineRule="exact"/>
        <w:rPr>
          <w:sz w:val="20"/>
          <w:szCs w:val="20"/>
          <w:color w:val="auto"/>
        </w:rPr>
      </w:pP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adoption of ASC 606 had no impact on the Company's cash provided by or used in operating, investing or financing activities as previously reported in its Consolidated Statements of Cash Flows.</w:t>
      </w:r>
    </w:p>
    <w:p>
      <w:pPr>
        <w:spacing w:after="0" w:line="156" w:lineRule="exact"/>
        <w:rPr>
          <w:sz w:val="20"/>
          <w:szCs w:val="20"/>
          <w:color w:val="auto"/>
        </w:rPr>
      </w:pPr>
    </w:p>
    <w:p>
      <w:pPr>
        <w:ind w:right="160" w:firstLine="324"/>
        <w:spacing w:after="0" w:line="291" w:lineRule="auto"/>
        <w:rPr>
          <w:sz w:val="20"/>
          <w:szCs w:val="20"/>
          <w:color w:val="auto"/>
        </w:rPr>
      </w:pPr>
      <w:r>
        <w:rPr>
          <w:rFonts w:ascii="Arial" w:cs="Arial" w:eastAsia="Arial" w:hAnsi="Arial"/>
          <w:sz w:val="17"/>
          <w:szCs w:val="17"/>
          <w:color w:val="auto"/>
        </w:rPr>
        <w:t>Additional new accounting guidance became effective for the Company effective January 1, 2018 that the Company reviewed and concluded was either are not applicable to the Company's operations or had no material effect on the Company's consolidated financial statements.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198" w:lineRule="exact"/>
        <w:rPr>
          <w:sz w:val="20"/>
          <w:szCs w:val="20"/>
          <w:color w:val="auto"/>
        </w:rPr>
      </w:pPr>
    </w:p>
    <w:p>
      <w:pPr>
        <w:ind w:right="40" w:firstLine="324"/>
        <w:spacing w:after="0" w:line="255" w:lineRule="auto"/>
        <w:rPr>
          <w:sz w:val="20"/>
          <w:szCs w:val="20"/>
          <w:color w:val="auto"/>
        </w:rPr>
      </w:pPr>
      <w:r>
        <w:rPr>
          <w:rFonts w:ascii="Arial" w:cs="Arial" w:eastAsia="Arial" w:hAnsi="Arial"/>
          <w:sz w:val="17"/>
          <w:szCs w:val="17"/>
          <w:color w:val="auto"/>
        </w:rPr>
        <w:t>In June 2016, the FASB issued new guidance on the measurement of credit losses on financial instruments. The new guidance will replace the incurred loss methodology of recognizing credit losses on financial instruments that is currently required with a methodology that estimates the expected credit loss on financial instruments and reflects the net amount expected to be collected on the financial instrument. Application of the new guidance may result in the earlier recognition of credit losses as the new methodology will require entities to consider forward-looking information in addition to historical and current information used in assessing incurred losses. The Company will be required to adopt the new guidance on a modified retrospective basis beginning with its first fiscal quarter of 2020, with early adoption permitted in its first fiscal quarter of 2019. The Company is currently evaluating the impact of the new guidance on its consolidated financial statements and related disclosures and whether early adoption will be elected.</w:t>
      </w:r>
    </w:p>
    <w:p>
      <w:pPr>
        <w:spacing w:after="0" w:line="167"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In February 2016, the FASB issued new guidance with respect to the accounting for leases. The new guidance will require lessees to recognize a right-of-use asset and a lease liability for virtually all leases, other than leases with a term of 12 months or less, and to provide additional disclosures about leasing arrangements. Accounting by lessors is largely unchanged from existing accounting guidance. The Company will be required to adopt the new guidance on a modified retrospective basis beginning with its first fiscal quarter of 2019. Early adoption is permitted.</w:t>
      </w:r>
    </w:p>
    <w:p>
      <w:pPr>
        <w:spacing w:after="0" w:line="156"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While the Company is still in the process of evaluating the impact of the new guidance on its consolidated financial statements and disclosures, the Company expects adoption of the new guidance will have a material impact on its Consolidated Balance Sheets due to recognition of the right-of-use asset and lease liability related to its operating leases. While the new guidance is also expected to impact the measurement and presentation of elements of expenses and cash flows related to leasing arrangements, the Company does not presently believe there will be a material impact on its Consolidated Statements of Comprehensive Income or Consolidated Statements of Cash Flows. Recognition of a lease liability related to operating leases will not impact any covenants related to the Company's long-term debt because the debt agreements specify that covenant ratios be calculated using U.S. GAAP in effect at the time the debt agreements were entered into.</w:t>
      </w:r>
    </w:p>
    <w:p>
      <w:pPr>
        <w:spacing w:after="0" w:line="17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because of future adoption.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Disclosures</w:t>
      </w:r>
    </w:p>
    <w:p>
      <w:pPr>
        <w:spacing w:after="0" w:line="229"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Franchise revenue (which comprises the majority of the Company's revenues) and revenue from company-operated restaurants are recognized in accordance with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applicable U.S. GAAP accounting standards promulgated prior to the issuance of ASC 606 which remain in effect.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Franchising Activities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owns and franchises the Applebee’s and IHOP restaurant concepts.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of the utility is derived from its association with the Company’s past or ongoing activities. The nature of the Company’s promise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4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25" w:lineRule="exact"/>
        <w:rPr>
          <w:sz w:val="20"/>
          <w:szCs w:val="20"/>
          <w:color w:val="auto"/>
        </w:rPr>
      </w:pPr>
    </w:p>
    <w:p>
      <w:pPr>
        <w:ind w:left="580" w:right="40" w:hanging="329"/>
        <w:spacing w:after="0" w:line="25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80" w:right="20" w:hanging="329"/>
        <w:spacing w:after="0" w:line="281"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entitled to royalties and advertising fees based on a percentage of the franchisee's gross sales as defined in the franchise agreement. Royalty and advertising revenue is recognized when the franchisee's reported sales occur. Depending on timing within a fiscal period, the recognition of revenue results in either what is considered a contract asset (unbilled receivable) or, once billed, accounts receivable, on the balance sheet.</w:t>
      </w:r>
    </w:p>
    <w:p>
      <w:pPr>
        <w:spacing w:after="0" w:line="2" w:lineRule="exact"/>
        <w:rPr>
          <w:rFonts w:ascii="Arial" w:cs="Arial" w:eastAsia="Arial" w:hAnsi="Arial"/>
          <w:sz w:val="16"/>
          <w:szCs w:val="16"/>
          <w:color w:val="auto"/>
        </w:rPr>
      </w:pPr>
    </w:p>
    <w:p>
      <w:pPr>
        <w:ind w:left="580" w:right="540" w:hanging="329"/>
        <w:spacing w:after="0" w:line="261"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the sales of proprietary pancake and waffle dry mix is recognized in the period in which distributors ship the franchisee's order; recognition of revenue results in accounts receivable on the balance sheet.</w:t>
      </w:r>
    </w:p>
    <w:p>
      <w:pPr>
        <w:spacing w:after="0" w:line="18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franchise term, the month of reported sales by the franchisee or the date of product shipment, none of which require estimation.</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does not incur a significant amount of contract acquisition costs in conducting its franchising activities and has not capitalized any such costs. The Company believes its franchising arrangements do not contain a significant financing component.</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Prior to the adoption of ASC 606, the Company generally recognized the entire franchise and/or development fee as revenue at the restaurant opening date. The impact on the Company's previously reported financial statements of the change from that policy to the policy described above is presented in Note 3 - Accounting Standards Adopted and Newly Issued Accounting Standards Not Yet Adopted, of the Notes to Consolidated Financial Statements.</w:t>
      </w:r>
    </w:p>
    <w:p>
      <w:pPr>
        <w:spacing w:after="0" w:line="14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Prior to the adoption of ASC 606, the Company did not record advertising fees received under Applebee's franchise agreements as franchise revenue. In evaluating advertising activity under the guidance of ASC 606, the Company considers itself to be primarily responsible for fulfilling the promise to provide all of the services specified in the contract, including advertising activities, which are not considered to be distinct services in the context of providing the right to the symbolic intellectual property. Accordingly, under ASC 606, the Company will record advertising fees received under Applebee's franchise agreements as franchise revenue. The Company had previously recorded advertising fees received under IHOP franchise agreements as franchise revenue. Under previously issued accounting guidance for franchisors, advertising revenue and expense were recognized in the same amount in each period. That guidance was superceded by ASC 606 such that advertising expense may now be different than the advertising revenue recognized as described above. The impact of these changes with respect to Applebee's advertising fees and advertising expenses on the Company's previously reported financial statements is presented in Note 3 - Accounting Standards Adopted and Newly Issued Accounting Standards Not Yet Adopted, of the Notes to Consolidated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had no impact on the Company's recording of royalties and sales of proprietary pancake and waffle dry mix.</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franchise revenue by major type for the three months ended March 31, 2018 and 2017:</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93"/>
              </w:rPr>
              <w:t>Three Months Ended</w:t>
            </w:r>
          </w:p>
        </w:tc>
      </w:tr>
      <w:tr>
        <w:trPr>
          <w:trHeight w:val="270"/>
        </w:trPr>
        <w:tc>
          <w:tcPr>
            <w:tcW w:w="8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3"/>
          </w:tcPr>
          <w:p>
            <w:pPr>
              <w:jc w:val="center"/>
              <w:ind w:left="435"/>
              <w:spacing w:after="0"/>
              <w:rPr>
                <w:sz w:val="20"/>
                <w:szCs w:val="20"/>
                <w:color w:val="auto"/>
              </w:rPr>
            </w:pPr>
            <w:r>
              <w:rPr>
                <w:rFonts w:ascii="Arial" w:cs="Arial" w:eastAsia="Arial" w:hAnsi="Arial"/>
                <w:sz w:val="16"/>
                <w:szCs w:val="16"/>
                <w:b w:val="1"/>
                <w:bCs w:val="1"/>
                <w:color w:val="auto"/>
                <w:w w:val="97"/>
              </w:rPr>
              <w:t>March 31,</w:t>
            </w:r>
          </w:p>
        </w:tc>
        <w:tc>
          <w:tcPr>
            <w:tcW w:w="800" w:type="dxa"/>
            <w:vAlign w:val="bottom"/>
          </w:tcPr>
          <w:p>
            <w:pPr>
              <w:spacing w:after="0"/>
              <w:rPr>
                <w:sz w:val="23"/>
                <w:szCs w:val="23"/>
                <w:color w:val="auto"/>
              </w:rPr>
            </w:pPr>
          </w:p>
        </w:tc>
      </w:tr>
      <w:tr>
        <w:trPr>
          <w:trHeight w:val="33"/>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8"/>
        </w:trPr>
        <w:tc>
          <w:tcPr>
            <w:tcW w:w="8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center"/>
              <w:ind w:left="435"/>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20"/>
                <w:szCs w:val="20"/>
                <w:color w:val="auto"/>
              </w:rPr>
            </w:pPr>
          </w:p>
        </w:tc>
      </w:tr>
      <w:tr>
        <w:trPr>
          <w:trHeight w:val="255"/>
        </w:trPr>
        <w:tc>
          <w:tcPr>
            <w:tcW w:w="8540" w:type="dxa"/>
            <w:vAlign w:val="bottom"/>
          </w:tcPr>
          <w:p>
            <w:pPr>
              <w:ind w:left="500"/>
              <w:spacing w:after="0"/>
              <w:rPr>
                <w:sz w:val="20"/>
                <w:szCs w:val="20"/>
                <w:color w:val="auto"/>
              </w:rPr>
            </w:pPr>
            <w:r>
              <w:rPr>
                <w:rFonts w:ascii="Arial" w:cs="Arial" w:eastAsia="Arial" w:hAnsi="Arial"/>
                <w:sz w:val="18"/>
                <w:szCs w:val="18"/>
                <w:color w:val="auto"/>
              </w:rPr>
              <w:t>Franchise Revenue:</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
        </w:trPr>
        <w:tc>
          <w:tcPr>
            <w:tcW w:w="8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Royalties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75,097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77,772</w:t>
            </w:r>
          </w:p>
        </w:tc>
      </w:tr>
      <w:tr>
        <w:trPr>
          <w:trHeight w:val="243"/>
        </w:trPr>
        <w:tc>
          <w:tcPr>
            <w:tcW w:w="8540" w:type="dxa"/>
            <w:vAlign w:val="bottom"/>
          </w:tcPr>
          <w:p>
            <w:pPr>
              <w:ind w:left="260"/>
              <w:spacing w:after="0"/>
              <w:rPr>
                <w:sz w:val="20"/>
                <w:szCs w:val="20"/>
                <w:color w:val="auto"/>
              </w:rPr>
            </w:pPr>
            <w:r>
              <w:rPr>
                <w:rFonts w:ascii="Arial" w:cs="Arial" w:eastAsia="Arial" w:hAnsi="Arial"/>
                <w:sz w:val="18"/>
                <w:szCs w:val="18"/>
                <w:color w:val="auto"/>
              </w:rPr>
              <w:t>Advertising fees</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63,836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61,701</w:t>
            </w:r>
          </w:p>
        </w:tc>
      </w:tr>
      <w:tr>
        <w:trPr>
          <w:trHeight w:val="27"/>
        </w:trPr>
        <w:tc>
          <w:tcPr>
            <w:tcW w:w="8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Pancake and waffle dry mix sales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12,434</w:t>
            </w:r>
          </w:p>
        </w:tc>
      </w:tr>
      <w:tr>
        <w:trPr>
          <w:trHeight w:val="243"/>
        </w:trPr>
        <w:tc>
          <w:tcPr>
            <w:tcW w:w="8540" w:type="dxa"/>
            <w:vAlign w:val="bottom"/>
          </w:tcPr>
          <w:p>
            <w:pPr>
              <w:ind w:left="260"/>
              <w:spacing w:after="0"/>
              <w:rPr>
                <w:sz w:val="20"/>
                <w:szCs w:val="20"/>
                <w:color w:val="auto"/>
              </w:rPr>
            </w:pPr>
            <w:r>
              <w:rPr>
                <w:rFonts w:ascii="Arial" w:cs="Arial" w:eastAsia="Arial" w:hAnsi="Arial"/>
                <w:sz w:val="18"/>
                <w:szCs w:val="18"/>
                <w:color w:val="auto"/>
              </w:rPr>
              <w:t>Franchise and development fees</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2,818</w:t>
            </w:r>
          </w:p>
        </w:tc>
      </w:tr>
      <w:tr>
        <w:trPr>
          <w:trHeight w:val="27"/>
        </w:trPr>
        <w:tc>
          <w:tcPr>
            <w:tcW w:w="8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franchise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155,313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154,725</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Receivables (both unbilled and billed) from franchise revenue transactions as of March 31, 2018 and December 31, 2017 were $69.8 million (net of allowance of $21.3 million) and $66.2 million (net of allowance of $22.2 million), respectively, and were included in receivables, net in the Consolidated Balance Sheets.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Company's contract liability for deferred franchise and development fees during the three months ended March 31, 2018 are as follows: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Deferred Revenue</w:t>
            </w:r>
          </w:p>
        </w:tc>
      </w:tr>
      <w:tr>
        <w:trPr>
          <w:trHeight w:val="203"/>
        </w:trPr>
        <w:tc>
          <w:tcPr>
            <w:tcW w:w="9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(short- and long-</w:t>
            </w:r>
          </w:p>
        </w:tc>
      </w:tr>
      <w:tr>
        <w:trPr>
          <w:trHeight w:val="210"/>
        </w:trPr>
        <w:tc>
          <w:tcPr>
            <w:tcW w:w="9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term)</w:t>
            </w:r>
          </w:p>
        </w:tc>
      </w:tr>
      <w:tr>
        <w:trPr>
          <w:trHeight w:val="33"/>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81,433</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Recognized as revenue during the three months ended March 31, 2018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(2,848)</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Fees received and deferred during the three months ended March 31, 2018</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w:t>
            </w:r>
          </w:p>
        </w:tc>
      </w:tr>
      <w:tr>
        <w:trPr>
          <w:trHeight w:val="257"/>
        </w:trPr>
        <w:tc>
          <w:tcPr>
            <w:tcW w:w="9640" w:type="dxa"/>
            <w:vAlign w:val="bottom"/>
          </w:tcPr>
          <w:p>
            <w:pPr>
              <w:ind w:left="20"/>
              <w:spacing w:after="0"/>
              <w:rPr>
                <w:sz w:val="20"/>
                <w:szCs w:val="20"/>
                <w:color w:val="auto"/>
              </w:rPr>
            </w:pPr>
            <w:r>
              <w:rPr>
                <w:rFonts w:ascii="Arial" w:cs="Arial" w:eastAsia="Arial" w:hAnsi="Arial"/>
                <w:sz w:val="18"/>
                <w:szCs w:val="18"/>
                <w:color w:val="auto"/>
              </w:rPr>
              <w:t>Balance at March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79,432</w:t>
            </w:r>
          </w:p>
        </w:tc>
      </w:tr>
      <w:tr>
        <w:trPr>
          <w:trHeight w:val="20"/>
        </w:trPr>
        <w:tc>
          <w:tcPr>
            <w:tcW w:w="9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Company-operated Restaurants</w:t>
      </w:r>
    </w:p>
    <w:p>
      <w:pPr>
        <w:spacing w:after="0" w:line="225" w:lineRule="exact"/>
        <w:rPr>
          <w:sz w:val="20"/>
          <w:szCs w:val="20"/>
          <w:color w:val="auto"/>
        </w:rPr>
      </w:pPr>
    </w:p>
    <w:p>
      <w:pPr>
        <w:ind w:right="520" w:firstLine="324"/>
        <w:spacing w:after="0" w:line="259" w:lineRule="auto"/>
        <w:rPr>
          <w:sz w:val="20"/>
          <w:szCs w:val="20"/>
          <w:color w:val="auto"/>
        </w:rPr>
      </w:pPr>
      <w:r>
        <w:rPr>
          <w:rFonts w:ascii="Arial" w:cs="Arial" w:eastAsia="Arial" w:hAnsi="Arial"/>
          <w:sz w:val="18"/>
          <w:szCs w:val="18"/>
          <w:color w:val="auto"/>
        </w:rPr>
        <w:t>The Company currently does not operate any restaurants but did operate restaurants in the comparative prior period. Sales by company-operated restaurants were recognized when food and beverage items were sold and were reported net of sales taxes collected from guests that are remitted to the appropriate taxing authorities. Recognition of revenue from company-operated restaurants was not impacted by the adoption of ASC 606 using the full retrospective method.</w:t>
      </w:r>
    </w:p>
    <w:p>
      <w:pPr>
        <w:spacing w:after="0" w:line="183" w:lineRule="exact"/>
        <w:rPr>
          <w:sz w:val="20"/>
          <w:szCs w:val="20"/>
          <w:color w:val="auto"/>
        </w:rPr>
      </w:pPr>
    </w:p>
    <w:p>
      <w:pPr>
        <w:ind w:left="340" w:right="9600" w:hanging="332"/>
        <w:spacing w:after="0" w:line="483" w:lineRule="auto"/>
        <w:tabs>
          <w:tab w:leader="none" w:pos="19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Deficit </w:t>
      </w:r>
      <w:r>
        <w:rPr>
          <w:rFonts w:ascii="Arial" w:cs="Arial" w:eastAsia="Arial" w:hAnsi="Arial"/>
          <w:sz w:val="17"/>
          <w:szCs w:val="17"/>
          <w:b w:val="1"/>
          <w:bCs w:val="1"/>
          <w:i w:val="1"/>
          <w:iCs w:val="1"/>
          <w:color w:val="auto"/>
        </w:rPr>
        <w:t>Dividends</w:t>
      </w:r>
    </w:p>
    <w:p>
      <w:pPr>
        <w:spacing w:after="0" w:line="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three months ended March 31, 2018, the Company paid dividends on common stock of $17.5 million, representing cash dividends of $0.97 per share declared in the fourth quarter of 2017. On February 14, 2018, the Company's Board of Directors declared a first quarter 2018 cash dividend of $0.63 per share of common stock. This dividend was paid on April 6, 2018 to the Company's stockholders of record at the close of business on March 19, 2018. The Company reported dividends payable of $11.5 million at March 31,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8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October 2015, the Company's Board of Directors approved a stock repurchase program authorizing the Company to repurchase up to $150 million of its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does not require the repurchase of a specific number of shares and can be terminated at any time. A summary of shares repurchased under the 2015 Repurchase Program, during the three months ended March 31, 2018 and cumulatively, is as follows: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gridSpan w:val="3"/>
          </w:tcPr>
          <w:p>
            <w:pPr>
              <w:spacing w:after="0"/>
              <w:rPr>
                <w:sz w:val="20"/>
                <w:szCs w:val="20"/>
                <w:color w:val="auto"/>
              </w:rPr>
            </w:pPr>
            <w:r>
              <w:rPr>
                <w:rFonts w:ascii="Arial" w:cs="Arial" w:eastAsia="Arial" w:hAnsi="Arial"/>
                <w:sz w:val="16"/>
                <w:szCs w:val="16"/>
                <w:b w:val="1"/>
                <w:bCs w:val="1"/>
                <w:color w:val="auto"/>
              </w:rPr>
              <w:t>5. Stockholders' Equity (Continued)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573"/>
        </w:trPr>
        <w:tc>
          <w:tcPr>
            <w:tcW w:w="834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Repurchase Program</w:t>
            </w:r>
          </w:p>
        </w:tc>
        <w:tc>
          <w:tcPr>
            <w:tcW w:w="160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 of shares</w:t>
            </w:r>
          </w:p>
        </w:tc>
      </w:tr>
      <w:tr>
        <w:trPr>
          <w:trHeight w:val="48"/>
        </w:trPr>
        <w:tc>
          <w:tcPr>
            <w:tcW w:w="40" w:type="dxa"/>
            <w:vAlign w:val="bottom"/>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646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8"/>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Repurchased during the three months ended March 31,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138,638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Cumulative repurchases as of March 31, 2018</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1,139,295</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92.9</w:t>
            </w: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Remaining dollar value of shares that may be repurchased</w:t>
            </w:r>
          </w:p>
        </w:tc>
        <w:tc>
          <w:tcPr>
            <w:tcW w:w="16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57.1</w:t>
            </w:r>
          </w:p>
        </w:tc>
      </w:tr>
      <w:tr>
        <w:trPr>
          <w:trHeight w:val="27"/>
        </w:trPr>
        <w:tc>
          <w:tcPr>
            <w:tcW w:w="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6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three months ended March 31, 2018, the Company re-issued 76,896 shares of treasury stock at a total FIFO cost of $3.0 million.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ind w:right="60" w:firstLine="324"/>
        <w:spacing w:after="0" w:line="296" w:lineRule="auto"/>
        <w:rPr>
          <w:sz w:val="20"/>
          <w:szCs w:val="20"/>
          <w:color w:val="auto"/>
        </w:rPr>
      </w:pPr>
      <w:r>
        <w:rPr>
          <w:rFonts w:ascii="Arial" w:cs="Arial" w:eastAsia="Arial" w:hAnsi="Arial"/>
          <w:sz w:val="17"/>
          <w:szCs w:val="17"/>
          <w:color w:val="auto"/>
        </w:rPr>
        <w:t xml:space="preserve">The Company's effective tax rate was 24.8% for the three months ended March 31, 2018 as compared to 40.0% for the three months ended March 31, 2017. </w:t>
      </w:r>
      <w:r>
        <w:rPr>
          <w:rFonts w:ascii="Arial" w:cs="Arial" w:eastAsia="Arial" w:hAnsi="Arial"/>
          <w:sz w:val="18"/>
          <w:szCs w:val="18"/>
          <w:color w:val="auto"/>
        </w:rPr>
        <w:t>T</w:t>
      </w:r>
      <w:r>
        <w:rPr>
          <w:rFonts w:ascii="Arial" w:cs="Arial" w:eastAsia="Arial" w:hAnsi="Arial"/>
          <w:sz w:val="17"/>
          <w:szCs w:val="17"/>
          <w:color w:val="auto"/>
        </w:rPr>
        <w:t>he effective tax rate of 24.8% for the three months ended March 31, 2018 was significantly lower than the rate of the prior period primarily due to the federal statutory tax rate decreasing from 35% to 21% in accordance with the Tax Cuts and Jobs Act enacted in December 2017.</w:t>
      </w:r>
    </w:p>
    <w:p>
      <w:pPr>
        <w:spacing w:after="0" w:line="15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total gross unrecognized tax benefit as of March 31, 2018 and December 31, 2017 was $6.1 million and $5.9 million, respectively, excluding interest, penalties and related tax benefits. The Company estimates the unrecognized tax benefit may decrease over the upcoming 12 months by an amount up to $3.1 million related to settlements with taxing authorities and the lapse of statutes of limitations. For the remaining liability, due to the uncertainties related to these tax matters, the Company is unable to make a reasonably reliable estimate as to when cash settlement with a taxing authority will occur.</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2018, accrued interest was $1.0 million and accrued penalties were less than $0.1 million, excluding any related income tax benefits. As of December 31, 2017, accrued interest was $1.1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files federal income tax returns and the Company or one of its subsidiaries files income tax returns in various states and foreign jurisdictions. With few exceptions, the Company is no longer subject to federal, state or non-United States tax examinations by tax authorities for years before 2011. The Internal Revenue Service commenced examination of the Company’s U.S. federal income tax return for the tax years 2011 to 2013 in fiscal year 2016. The examination is anticipated to conclude during fiscal year 2018. The Company believes that adequate reserves have been provided relating to all matters contained in the tax periods open to examination.</w:t>
      </w:r>
    </w:p>
    <w:p>
      <w:pPr>
        <w:spacing w:after="0" w:line="18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Securities and Exchange Commission has issued guidance which provides for a measurement period of one year from the enactment date to finalize the accounting for effects of the Tax Act. Consistent with that guidance, the Company provisionally recorded income tax benefit of $77.5 million related to the Tax Act in the fourth quarter of 2017. As of March 31, 2018, we have not yet completed our accounting for the tax effects of the enactment of the Tax Act. The Internal Revenue Service is expected to issue additional guidance clarifying provisions of the Act. As additional guidance is issued, one or more of the provisional amounts may change.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Pr>
          <w:p>
            <w:pPr>
              <w:spacing w:after="0"/>
              <w:rPr>
                <w:sz w:val="20"/>
                <w:szCs w:val="20"/>
                <w:color w:val="auto"/>
              </w:rPr>
            </w:pPr>
            <w:r>
              <w:rPr>
                <w:rFonts w:ascii="Arial" w:cs="Arial" w:eastAsia="Arial" w:hAnsi="Arial"/>
                <w:sz w:val="16"/>
                <w:szCs w:val="16"/>
                <w:b w:val="1"/>
                <w:bCs w:val="1"/>
                <w:color w:val="auto"/>
              </w:rPr>
              <w:t>7. Stock-Based Compensation (Continued)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608"/>
        </w:trPr>
        <w:tc>
          <w:tcPr>
            <w:tcW w:w="8600" w:type="dxa"/>
            <w:vAlign w:val="bottom"/>
          </w:tcPr>
          <w:p>
            <w:pPr>
              <w:spacing w:after="0"/>
              <w:rPr>
                <w:sz w:val="24"/>
                <w:szCs w:val="24"/>
                <w:color w:val="auto"/>
              </w:rPr>
            </w:pPr>
          </w:p>
        </w:tc>
        <w:tc>
          <w:tcPr>
            <w:tcW w:w="2420" w:type="dxa"/>
            <w:vAlign w:val="bottom"/>
            <w:gridSpan w:val="5"/>
          </w:tcPr>
          <w:p>
            <w:pPr>
              <w:jc w:val="right"/>
              <w:ind w:right="11"/>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8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86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5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8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8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r>
      <w:tr>
        <w:trPr>
          <w:trHeight w:val="255"/>
        </w:trPr>
        <w:tc>
          <w:tcPr>
            <w:tcW w:w="86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
        </w:trPr>
        <w:tc>
          <w:tcPr>
            <w:tcW w:w="8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classified awards expense</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Liability classified awards expense</w:t>
            </w:r>
          </w:p>
        </w:tc>
        <w:tc>
          <w:tcPr>
            <w:tcW w:w="720" w:type="dxa"/>
            <w:vAlign w:val="bottom"/>
          </w:tcPr>
          <w:p>
            <w:pPr>
              <w:spacing w:after="0"/>
              <w:rPr>
                <w:sz w:val="21"/>
                <w:szCs w:val="21"/>
                <w:color w:val="auto"/>
              </w:rPr>
            </w:pPr>
          </w:p>
        </w:tc>
        <w:tc>
          <w:tcPr>
            <w:tcW w:w="3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Book income tax benefit</w:t>
            </w: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 net of tax</w:t>
            </w: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0"/>
        </w:trPr>
        <w:tc>
          <w:tcPr>
            <w:tcW w:w="8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March 31, 2018, total unrecognized compensation expense of $22.8 million related to restricted stock and restricted stock units and $5.0 million related to stock options are expected to be recognized over a weighted average period of 2.0 years for restricted stock and restricted stock units and 2.0 years for stock options.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granted 209,634 stock options during the three months ended March 31, 2018 for which the fair value was estimated using a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following summarizes the assumptions used in the Black-Scholes model: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Weighted average historical volatility</w:t>
            </w:r>
          </w:p>
        </w:tc>
        <w:tc>
          <w:tcPr>
            <w:tcW w:w="42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716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Expected years until exercise</w:t>
            </w:r>
          </w:p>
        </w:tc>
        <w:tc>
          <w:tcPr>
            <w:tcW w:w="4260" w:type="dxa"/>
            <w:vAlign w:val="bottom"/>
          </w:tcPr>
          <w:p>
            <w:pPr>
              <w:jc w:val="right"/>
              <w:ind w:right="90"/>
              <w:spacing w:after="0"/>
              <w:rPr>
                <w:sz w:val="20"/>
                <w:szCs w:val="20"/>
                <w:color w:val="auto"/>
              </w:rPr>
            </w:pPr>
            <w:r>
              <w:rPr>
                <w:rFonts w:ascii="Arial" w:cs="Arial" w:eastAsia="Arial" w:hAnsi="Arial"/>
                <w:sz w:val="18"/>
                <w:szCs w:val="18"/>
                <w:color w:val="auto"/>
              </w:rPr>
              <w:t>4.6</w:t>
            </w:r>
          </w:p>
        </w:tc>
      </w:tr>
      <w:tr>
        <w:trPr>
          <w:trHeight w:val="27"/>
        </w:trPr>
        <w:tc>
          <w:tcPr>
            <w:tcW w:w="716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43"/>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options granted</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7"/>
        </w:trPr>
        <w:tc>
          <w:tcPr>
            <w:tcW w:w="716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The Company granted 25,330 performance-based stock options and 26,670 performance-based restricted stock units during the three months ended March 31, 2018 for which the fair value was estimated using a Monte Carlo simulation method. The following summarizes the assumptions used in estimating the fair values: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historical volatility</w:t>
            </w:r>
          </w:p>
        </w:tc>
        <w:tc>
          <w:tcPr>
            <w:tcW w:w="37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76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3760" w:type="dxa"/>
            <w:vAlign w:val="bottom"/>
          </w:tcPr>
          <w:p>
            <w:pPr>
              <w:jc w:val="right"/>
              <w:ind w:right="110"/>
              <w:spacing w:after="0"/>
              <w:rPr>
                <w:sz w:val="20"/>
                <w:szCs w:val="20"/>
                <w:color w:val="auto"/>
              </w:rPr>
            </w:pPr>
            <w:r>
              <w:rPr>
                <w:rFonts w:ascii="Arial" w:cs="Arial" w:eastAsia="Arial" w:hAnsi="Arial"/>
                <w:sz w:val="18"/>
                <w:szCs w:val="18"/>
                <w:color w:val="auto"/>
              </w:rPr>
              <w:t>3.0</w:t>
            </w:r>
          </w:p>
        </w:tc>
      </w:tr>
      <w:tr>
        <w:trPr>
          <w:trHeight w:val="27"/>
        </w:trPr>
        <w:tc>
          <w:tcPr>
            <w:tcW w:w="76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fair value of restricted stock units granted</w:t>
            </w:r>
          </w:p>
        </w:tc>
        <w:tc>
          <w:tcPr>
            <w:tcW w:w="3760" w:type="dxa"/>
            <w:vAlign w:val="bottom"/>
          </w:tcPr>
          <w:p>
            <w:pPr>
              <w:jc w:val="right"/>
              <w:spacing w:after="0"/>
              <w:rPr>
                <w:sz w:val="20"/>
                <w:szCs w:val="20"/>
                <w:color w:val="auto"/>
              </w:rPr>
            </w:pPr>
            <w:r>
              <w:rPr>
                <w:rFonts w:ascii="Arial" w:cs="Arial" w:eastAsia="Arial" w:hAnsi="Arial"/>
                <w:sz w:val="18"/>
                <w:szCs w:val="18"/>
                <w:color w:val="auto"/>
              </w:rPr>
              <w:t>$34.53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balances at March 31, 2018, and activity for the three months ended March 31, 2018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 Average</w:t>
            </w:r>
          </w:p>
        </w:tc>
        <w:tc>
          <w:tcPr>
            <w:tcW w:w="1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Arial" w:cs="Arial" w:eastAsia="Arial" w:hAnsi="Arial"/>
                <w:sz w:val="16"/>
                <w:szCs w:val="16"/>
                <w:b w:val="1"/>
                <w:bCs w:val="1"/>
                <w:color w:val="auto"/>
                <w:w w:val="96"/>
              </w:rPr>
              <w:t>Intrinsic</w:t>
            </w:r>
          </w:p>
        </w:tc>
      </w:t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18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92"/>
              </w:rPr>
              <w:t>Value (in</w:t>
            </w:r>
          </w:p>
        </w:tc>
      </w:tr>
      <w:tr>
        <w:trPr>
          <w:trHeight w:val="210"/>
        </w:trPr>
        <w:tc>
          <w:tcPr>
            <w:tcW w:w="5700" w:type="dxa"/>
            <w:vAlign w:val="bottom"/>
          </w:tcPr>
          <w:p>
            <w:pPr>
              <w:spacing w:after="0"/>
              <w:rPr>
                <w:sz w:val="18"/>
                <w:szCs w:val="18"/>
                <w:color w:val="auto"/>
              </w:rPr>
            </w:pPr>
          </w:p>
        </w:tc>
        <w:tc>
          <w:tcPr>
            <w:tcW w:w="128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Years)</w:t>
            </w:r>
          </w:p>
        </w:tc>
        <w:tc>
          <w:tcPr>
            <w:tcW w:w="180" w:type="dxa"/>
            <w:vAlign w:val="bottom"/>
          </w:tcPr>
          <w:p>
            <w:pPr>
              <w:spacing w:after="0"/>
              <w:rPr>
                <w:sz w:val="18"/>
                <w:szCs w:val="18"/>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95"/>
              </w:rPr>
              <w:t>Millions)</w:t>
            </w:r>
          </w:p>
        </w:tc>
      </w:tr>
      <w:tr>
        <w:trPr>
          <w:trHeight w:val="33"/>
        </w:trPr>
        <w:tc>
          <w:tcPr>
            <w:tcW w:w="5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1,272,048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234,964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68.71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97"/>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2018</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1,498,485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62.63</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7.2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15.1</w:t>
            </w:r>
          </w:p>
        </w:tc>
      </w:tr>
      <w:tr>
        <w:trPr>
          <w:trHeight w:val="25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at March 31, 2018 and Expected to Vest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1,295,298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w:t>
            </w:r>
          </w:p>
        </w:tc>
      </w:tr>
      <w:tr>
        <w:trPr>
          <w:trHeight w:val="20"/>
        </w:trPr>
        <w:tc>
          <w:tcPr>
            <w:tcW w:w="5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1"/>
        </w:trPr>
        <w:tc>
          <w:tcPr>
            <w:tcW w:w="5700" w:type="dxa"/>
            <w:vAlign w:val="bottom"/>
          </w:tcPr>
          <w:p>
            <w:pPr>
              <w:ind w:left="40"/>
              <w:spacing w:after="0"/>
              <w:rPr>
                <w:sz w:val="20"/>
                <w:szCs w:val="20"/>
                <w:color w:val="auto"/>
              </w:rPr>
            </w:pPr>
            <w:r>
              <w:rPr>
                <w:rFonts w:ascii="Arial" w:cs="Arial" w:eastAsia="Arial" w:hAnsi="Arial"/>
                <w:sz w:val="18"/>
                <w:szCs w:val="18"/>
                <w:color w:val="auto"/>
              </w:rPr>
              <w:t>Exercisable at March 31, 2018</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632,737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3.3</w:t>
            </w:r>
          </w:p>
        </w:tc>
      </w:tr>
      <w:tr>
        <w:trPr>
          <w:trHeight w:val="20"/>
        </w:trPr>
        <w:tc>
          <w:tcPr>
            <w:tcW w:w="5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the Company’s common stock on the last trading day of the first quarter of 2018 and the exercise price, multiplied by the number of in-the-money options) that would have been received by the option holders had all option holders</w:t>
      </w:r>
    </w:p>
    <w:p>
      <w:pPr>
        <w:sectPr>
          <w:pgSz w:w="11900" w:h="16838" w:orient="portrait"/>
          <w:cols w:equalWidth="0" w:num="1">
            <w:col w:w="11420"/>
          </w:cols>
          <w:pgMar w:left="240" w:top="1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Stock-Based Compensation (Continued)</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exercised their options on March 31, 2018. The aggregate intrinsic value will change based on the fair market value of the Company’s common stock and the number of in-the-money options.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18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Outstanding balances as of March 31, 2018, and activity related to restricted stock and restricted stock units for the three months ended March 31, 2018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8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Restricted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Grant Date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080" w:type="dxa"/>
            <w:vAlign w:val="bottom"/>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1360" w:type="dxa"/>
            <w:vAlign w:val="bottom"/>
          </w:tcPr>
          <w:p>
            <w:pPr>
              <w:jc w:val="right"/>
              <w:ind w:right="193"/>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275,191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303,348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68,369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49,706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47.85</w:t>
            </w:r>
          </w:p>
        </w:tc>
      </w:tr>
      <w:tr>
        <w:trPr>
          <w:trHeight w:val="27"/>
        </w:trPr>
        <w:tc>
          <w:tcPr>
            <w:tcW w:w="6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112.74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(4,628)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53.49</w:t>
            </w:r>
          </w:p>
        </w:tc>
      </w:tr>
      <w:tr>
        <w:trPr>
          <w:trHeight w:val="27"/>
        </w:trPr>
        <w:tc>
          <w:tcPr>
            <w:tcW w:w="6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299,204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342,248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w:t>
            </w:r>
          </w:p>
        </w:tc>
      </w:tr>
      <w:tr>
        <w:trPr>
          <w:trHeight w:val="20"/>
        </w:trPr>
        <w:tc>
          <w:tcPr>
            <w:tcW w:w="6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 During the three months ended March 31, 2018, 54,822 units were issued and 365 units were forfeited. At March 31, 2018, there were 54,457 units outstanding. For the three months ended March 31, 2018, $0.1 million was included as stock-based compensation expense related to cash-settled restricted stock units.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4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has granted cash long-term incentive awards (“LTIP awards”) to certain employees. Annual LTIP awards vest over a three-year period and are determined using a multiplier from 0% to 200% of the target award based on the total stockholder return of Dine Brands Global common stock compared to the total stockholder returns of a peer group of companies. Although LTIP awards are only paid in cash, since the multiplier is based on the price of the Company's common stock, the awards are considered stock-based compensation in accordance with U.S. GAAP and are classified as liabilities. For the three months ended March 31, 2018 and 2017, $0.4 million and $0.2 million, respectively was included in total stock-based compensation expense related to LTIP awards. At March 31, 2018 and December 31, 2017, liabilities of $0.6 million and $0.2 million, respectively, related to LTIP awards were included as part of accrued employee compensation and benefits in the Consolidated Balance Sheets.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Segments</w:t>
      </w:r>
    </w:p>
    <w:p>
      <w:pPr>
        <w:spacing w:after="0" w:line="18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Company identifies its reporting segments based on the organizational units used by management to monitor performance and make operating decisions. The Company currently has four operating segments: Applebee's franchise operations, IHOP franchise operations, rental operations and financing operations. Prior to June 2017, the Company operated 10 IHOP restaurants and those operations were considered to be a fifth operating segment. The Company has four reportable segments: franchise operations, (an aggregation of Applebee's and IHOP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138"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As of March 31, 2018, the franchise operations segment consisted of (i) 1,912 restaurants operated by Applebee’s franchisees in the United States, two U.S. territories and 15 countries outside the United States and (ii) 1,791 restaurants operated by IHOP franchisees and area licensees in the United States, three U.S. territories and 12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capital leases on franchisee-operated restaurants.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Segments (Continued)</w:t>
      </w:r>
    </w:p>
    <w:p>
      <w:pPr>
        <w:spacing w:after="0" w:line="200" w:lineRule="exact"/>
        <w:rPr>
          <w:sz w:val="20"/>
          <w:szCs w:val="20"/>
          <w:color w:val="auto"/>
        </w:rPr>
      </w:pPr>
    </w:p>
    <w:p>
      <w:pPr>
        <w:spacing w:after="0" w:line="223"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Financing operations revenue primarily consists of interest income from the financing of franchise fees and equipment leases and sales of equipment associated with refranchised IHOP restaurants. Financing expenses are primarily the cost of restaurant equipment associated with refranchised IHOP restaurants.</w:t>
      </w:r>
    </w:p>
    <w:p>
      <w:pPr>
        <w:spacing w:after="0" w:line="181" w:lineRule="exact"/>
        <w:rPr>
          <w:sz w:val="20"/>
          <w:szCs w:val="20"/>
          <w:color w:val="auto"/>
        </w:rPr>
      </w:pPr>
    </w:p>
    <w:p>
      <w:pPr>
        <w:ind w:firstLine="324"/>
        <w:spacing w:after="0" w:line="320" w:lineRule="auto"/>
        <w:rPr>
          <w:sz w:val="20"/>
          <w:szCs w:val="20"/>
          <w:color w:val="auto"/>
        </w:rPr>
      </w:pPr>
      <w:r>
        <w:rPr>
          <w:rFonts w:ascii="Arial" w:cs="Arial" w:eastAsia="Arial" w:hAnsi="Arial"/>
          <w:sz w:val="15"/>
          <w:szCs w:val="15"/>
          <w:color w:val="auto"/>
        </w:rPr>
        <w:t>Company restaurant sales were retail sales at company-operated restaurants. Company restaurant expenses were operating expenses at company-operated restaurants and include food, labor, utilities, rent and other restaurant operating costs. In June 2017, the Company refranchised nine of ten company-operated restaurants in the Cincinnati, Ohio market area; the one restaurant not refranchised was permanently closed. As a result, the Company no longer operates any restaurants on a permanent basis. The Company has not presented these restaurants as discontinued operations as defined by U.S. GAAP because the refranchising of nine restaurants out of a total of over 3,700 restaurants did not represent a strategic shift that had a major effect on the Company's operations.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From time to time, the Company may operate restaurants reacquired from franchisees on a temporary basis until those restaurants are refranchised. There were no restaurants under temporary operation at March 31, 2018.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rPr>
              <w:t>2017 (as adjusted)</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Revenues from external customers:</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4280" w:type="dxa"/>
            <w:vAlign w:val="bottom"/>
            <w:tcBorders>
              <w:bottom w:val="single" w:sz="8" w:color="CCEEFF"/>
            </w:tcBorders>
            <w:gridSpan w:val="3"/>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80" w:type="dxa"/>
            <w:vAlign w:val="bottom"/>
            <w:gridSpan w:val="3"/>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Interest expense:</w:t>
            </w: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44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4280" w:type="dxa"/>
            <w:vAlign w:val="bottom"/>
            <w:tcBorders>
              <w:bottom w:val="single" w:sz="8" w:color="CCEEFF"/>
            </w:tcBorders>
            <w:gridSpan w:val="3"/>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4440" w:type="dxa"/>
            <w:vAlign w:val="bottom"/>
          </w:tcPr>
          <w:p>
            <w:pPr>
              <w:ind w:left="120"/>
              <w:spacing w:after="0"/>
              <w:rPr>
                <w:sz w:val="20"/>
                <w:szCs w:val="20"/>
                <w:color w:val="auto"/>
              </w:rPr>
            </w:pPr>
            <w:r>
              <w:rPr>
                <w:rFonts w:ascii="Arial" w:cs="Arial" w:eastAsia="Arial" w:hAnsi="Arial"/>
                <w:sz w:val="18"/>
                <w:szCs w:val="18"/>
                <w:color w:val="auto"/>
              </w:rPr>
              <w:t>Total</w:t>
            </w:r>
          </w:p>
        </w:tc>
        <w:tc>
          <w:tcPr>
            <w:tcW w:w="3200" w:type="dxa"/>
            <w:vAlign w:val="bottom"/>
            <w:gridSpan w:val="2"/>
          </w:tcPr>
          <w:p>
            <w:pPr>
              <w:spacing w:after="0"/>
              <w:rPr>
                <w:sz w:val="22"/>
                <w:szCs w:val="22"/>
                <w:color w:val="auto"/>
              </w:rPr>
            </w:pP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1"/>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44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4280" w:type="dxa"/>
            <w:vAlign w:val="bottom"/>
            <w:tcBorders>
              <w:bottom w:val="single" w:sz="8" w:color="CCEEFF"/>
            </w:tcBorders>
            <w:gridSpan w:val="3"/>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80" w:type="dxa"/>
            <w:vAlign w:val="bottom"/>
            <w:gridSpan w:val="3"/>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 by segment:</w:t>
            </w: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44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4280" w:type="dxa"/>
            <w:vAlign w:val="bottom"/>
            <w:tcBorders>
              <w:bottom w:val="single" w:sz="8" w:color="CCEEFF"/>
            </w:tcBorders>
            <w:gridSpan w:val="3"/>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BFE4FF"/>
            </w:tcBorders>
          </w:tcPr>
          <w:p>
            <w:pPr>
              <w:spacing w:after="0"/>
              <w:rPr>
                <w:sz w:val="2"/>
                <w:szCs w:val="2"/>
                <w:color w:val="auto"/>
              </w:rPr>
            </w:pPr>
          </w:p>
        </w:tc>
        <w:tc>
          <w:tcPr>
            <w:tcW w:w="3100" w:type="dxa"/>
            <w:vAlign w:val="bottom"/>
            <w:tcBorders>
              <w:bottom w:val="single" w:sz="8" w:color="BFE4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Total gross profit</w:t>
            </w:r>
          </w:p>
        </w:tc>
        <w:tc>
          <w:tcPr>
            <w:tcW w:w="3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8"/>
                <w:szCs w:val="18"/>
                <w:color w:val="auto"/>
              </w:rPr>
              <w:t>Corporate and unallocated expenses, net</w:t>
            </w: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 provision</w:t>
            </w:r>
          </w:p>
        </w:tc>
        <w:tc>
          <w:tcPr>
            <w:tcW w:w="4280" w:type="dxa"/>
            <w:vAlign w:val="bottom"/>
            <w:gridSpan w:val="3"/>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1651"/>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30" w:right="2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Income per Share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pacing w:after="0" w:line="162" w:lineRule="exact"/>
        <w:rPr>
          <w:sz w:val="20"/>
          <w:szCs w:val="20"/>
          <w:color w:val="auto"/>
        </w:rPr>
      </w:pPr>
    </w:p>
    <w:p>
      <w:pPr>
        <w:ind w:left="850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36830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2017 (as adjusted)</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60" w:type="dxa"/>
            <w:vAlign w:val="bottom"/>
          </w:tcPr>
          <w:p>
            <w:pPr>
              <w:spacing w:after="0"/>
              <w:rPr>
                <w:sz w:val="16"/>
                <w:szCs w:val="16"/>
                <w:color w:val="auto"/>
              </w:rPr>
            </w:pPr>
          </w:p>
        </w:tc>
        <w:tc>
          <w:tcPr>
            <w:tcW w:w="3540" w:type="dxa"/>
            <w:vAlign w:val="bottom"/>
            <w:gridSpan w:val="5"/>
          </w:tcPr>
          <w:p>
            <w:pPr>
              <w:jc w:val="right"/>
              <w:ind w:right="531"/>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7860" w:type="dxa"/>
            <w:vAlign w:val="bottom"/>
          </w:tcPr>
          <w:p>
            <w:pPr>
              <w:ind w:left="40"/>
              <w:spacing w:after="0"/>
              <w:rPr>
                <w:sz w:val="20"/>
                <w:szCs w:val="20"/>
                <w:color w:val="auto"/>
              </w:rPr>
            </w:pPr>
            <w:r>
              <w:rPr>
                <w:rFonts w:ascii="Arial" w:cs="Arial" w:eastAsia="Arial" w:hAnsi="Arial"/>
                <w:sz w:val="18"/>
                <w:szCs w:val="18"/>
                <w:color w:val="auto"/>
              </w:rPr>
              <w:t>Numerator for basic and diluted income per common share:</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17,073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16,505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Effect of unvested participating restricted stock in two-class calculation</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 diluted</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16,507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17,703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17,694</w:t>
            </w:r>
          </w:p>
        </w:tc>
        <w:tc>
          <w:tcPr>
            <w:tcW w:w="0" w:type="dxa"/>
            <w:vAlign w:val="bottom"/>
          </w:tcPr>
          <w:p>
            <w:pPr>
              <w:spacing w:after="0"/>
              <w:rPr>
                <w:sz w:val="1"/>
                <w:szCs w:val="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Dilutive effect of stock options</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diluted</w:t>
            </w: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17,845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17,737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8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8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48"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on a recurring basis at fair value. The Company is not a party to any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1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fair values of the Company's Series 2014-1 Class A-2 Notes (the “Class A-2 Notes”) at March 31, 2018 and December 31, 2017 were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46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Fair Value</w:t>
            </w:r>
          </w:p>
        </w:tc>
      </w:tr>
      <w:tr>
        <w:trPr>
          <w:trHeight w:val="244"/>
        </w:trPr>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94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4660" w:type="dxa"/>
            <w:vAlign w:val="bottom"/>
          </w:tcPr>
          <w:p>
            <w:pPr>
              <w:spacing w:after="0"/>
              <w:rPr>
                <w:sz w:val="20"/>
                <w:szCs w:val="20"/>
                <w:color w:val="auto"/>
              </w:rPr>
            </w:pPr>
            <w:r>
              <w:rPr>
                <w:rFonts w:ascii="Arial" w:cs="Arial" w:eastAsia="Arial" w:hAnsi="Arial"/>
                <w:sz w:val="18"/>
                <w:szCs w:val="18"/>
                <w:color w:val="auto"/>
              </w:rPr>
              <w:t>Long-term debt, current and long-term</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1,280.4</w:t>
            </w:r>
          </w:p>
        </w:tc>
        <w:tc>
          <w:tcPr>
            <w:tcW w:w="100" w:type="dxa"/>
            <w:vAlign w:val="bottom"/>
          </w:tcPr>
          <w:p>
            <w:pPr>
              <w:spacing w:after="0"/>
              <w:rPr>
                <w:sz w:val="23"/>
                <w:szCs w:val="23"/>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1,277.3</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1,265.5</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66"/>
        <w:spacing w:after="0" w:line="277" w:lineRule="auto"/>
        <w:rPr>
          <w:sz w:val="20"/>
          <w:szCs w:val="20"/>
          <w:color w:val="auto"/>
        </w:rPr>
      </w:pPr>
      <w:r>
        <w:rPr>
          <w:rFonts w:ascii="Arial" w:cs="Arial" w:eastAsia="Arial" w:hAnsi="Arial"/>
          <w:sz w:val="18"/>
          <w:szCs w:val="18"/>
          <w:color w:val="auto"/>
        </w:rPr>
        <w:t>The fair values were determined based on Level 2 inputs, including information gathered from brokers who trade in the Company’s Class A-2 Notes and information on notes that are similar to those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340" w:right="8600" w:hanging="332"/>
        <w:spacing w:after="0" w:line="513" w:lineRule="auto"/>
        <w:tabs>
          <w:tab w:leader="none" w:pos="2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Litigation, Claims and Disputes</w:t>
      </w:r>
    </w:p>
    <w:p>
      <w:pPr>
        <w:spacing w:after="0" w:line="1" w:lineRule="exact"/>
        <w:rPr>
          <w:sz w:val="20"/>
          <w:szCs w:val="20"/>
          <w:color w:val="auto"/>
        </w:rPr>
      </w:pPr>
    </w:p>
    <w:p>
      <w:pPr>
        <w:ind w:right="100" w:firstLine="324"/>
        <w:spacing w:after="0" w:line="274" w:lineRule="auto"/>
        <w:rPr>
          <w:sz w:val="20"/>
          <w:szCs w:val="20"/>
          <w:color w:val="auto"/>
        </w:rPr>
      </w:pPr>
      <w:r>
        <w:rPr>
          <w:rFonts w:ascii="Arial" w:cs="Arial" w:eastAsia="Arial" w:hAnsi="Arial"/>
          <w:sz w:val="16"/>
          <w:szCs w:val="16"/>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8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connection with the sale of Applebee’s restaurants or previous brands to franchisees and other parties, the Company has, in certain cases, guaranteed or has potential continuing liability for lease payments totaling $300.6 million as of March 31, 2018. This amount represents the maximum potential liability for future payments under these leases. These leases have been assigned to the buyers and expire at the end of the respective lease terms, which range from 2018 through 2048. Excluding unexercised option periods, the Company's potential liability for future payments under these leases is $50.0 million. In the event of default, the indemnity and default clauses in the sale or assignment agreements govern the Company's ability to pursue and recover damages incurred.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Restricted Cash</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Current restricted cash of $32.4 million at March 31, 2018 primarily consisted of $31.2 million of funds required to be held in trust in connection with the Company's securitized debt and $1.2 million of funds from Applebee's franchisees pursuant to franchise agreements, usage of which was restricted to advertising activities. Current restricted cash of $31.4 million at December 31, 2017 primarily consisted of $29.3 million of funds required to be held in trust in connection with the Company's securitized debt and $2.1 million of funds from Applebee's franchisees pursuant to franchise agreements, usage of which was restricted to advertising activities. Non-current restricted cash of $14.7 million at March 31, 2018 and December 31, 2017 represents interest reserves required to be set aside for the duration of the Company's securitized debt.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Statements contained in this report may constitute forward-looking statements within the meaning of the Private Securities Litigation Reform Act of 1995. These statements involve known and unknown risks, uncertainties and other factors, which may cause actual results to be materially different from those expressed or implied in such statements. You can identify these forward-looking statements by words such as “may,” “will,”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the Company assumes no obligation to update or supplement any forward-looking statements.</w:t>
      </w:r>
    </w:p>
    <w:p>
      <w:pPr>
        <w:spacing w:after="0" w:line="19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2017. Except where the context indicates otherwise, the words “we,” “us,” “our,” “Dine Brands Global” and the “Company” refer to Dine Brands Global, Inc. (formerly DineEquity, Inc.), together with its subsidiaries that are consolidated in accordance with United States generally accepted accounting principles (“U.S. GAAP”).</w:t>
      </w:r>
    </w:p>
    <w:p>
      <w:pPr>
        <w:spacing w:after="0" w:line="178" w:lineRule="exact"/>
        <w:rPr>
          <w:sz w:val="20"/>
          <w:szCs w:val="20"/>
          <w:color w:val="auto"/>
        </w:rPr>
      </w:pPr>
    </w:p>
    <w:p>
      <w:pPr>
        <w:ind w:right="120" w:firstLine="324"/>
        <w:spacing w:after="0" w:line="205" w:lineRule="auto"/>
        <w:rPr>
          <w:sz w:val="20"/>
          <w:szCs w:val="20"/>
          <w:color w:val="auto"/>
        </w:rPr>
      </w:pPr>
      <w:r>
        <w:rPr>
          <w:rFonts w:ascii="Arial" w:cs="Arial" w:eastAsia="Arial" w:hAnsi="Arial"/>
          <w:sz w:val="18"/>
          <w:szCs w:val="18"/>
          <w:color w:val="auto"/>
        </w:rPr>
        <w:t>Through various subsidiaries, we own and franchise the Applebee's Neighborhood Grill &amp; Bar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(“Applebee's”) concept in the bar and grill segment within the casual dining category of the restaurant industry and the International House of Pancakes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(“IHOP”) concept in the family dining category of the restaurant industry. References herein to Applebee's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restaurants are to these two restaurant concepts, whether operated by franchisees or area licensees and their sub-licensees (collectively, “area licensees”). With over 3,700 restaurants combined, all of which are franchised, we believe we are one of the largest full-service restaurant companies in the world.</w:t>
      </w:r>
    </w:p>
    <w:p>
      <w:pPr>
        <w:spacing w:after="0" w:line="20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identify our reporting segments based on the organizational units used by management to monitor performance and make operating decisions. We currently have four operating segments: Applebee's franchise operations, IHOP franchise operations, rental operations and financing operations. Prior to June 2017, we operated 10 IHOP restaurants and those operations were considered to be a fifth operating segment. We have four reportable segments: franchise operations, (an aggregation of Applebee's and IHOP franchise operations), rental operations, financing operations and company-operated restaurant operations. We consider these to be our reportable segments, regardless of whether any segment exceeds 10% of consolidated revenues, income before income tax provision or total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420" w:type="dxa"/>
            <w:vAlign w:val="bottom"/>
            <w:gridSpan w:val="6"/>
          </w:tcPr>
          <w:p>
            <w:pPr>
              <w:ind w:left="58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6"/>
                <w:szCs w:val="16"/>
                <w:color w:val="auto"/>
              </w:rPr>
            </w:pPr>
          </w:p>
        </w:tc>
        <w:tc>
          <w:tcPr>
            <w:tcW w:w="116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38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2800" w:type="dxa"/>
            <w:vAlign w:val="bottom"/>
            <w:vMerge w:val="restart"/>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7"/>
              </w:rPr>
              <w:t>2017 (as adjusted)</w:t>
            </w:r>
          </w:p>
        </w:tc>
        <w:tc>
          <w:tcPr>
            <w:tcW w:w="10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40" w:type="dxa"/>
            <w:vAlign w:val="bottom"/>
            <w:gridSpan w:val="5"/>
          </w:tcPr>
          <w:p>
            <w:pPr>
              <w:ind w:left="280"/>
              <w:spacing w:after="0"/>
              <w:rPr>
                <w:sz w:val="20"/>
                <w:szCs w:val="20"/>
                <w:color w:val="auto"/>
              </w:rPr>
            </w:pPr>
            <w:r>
              <w:rPr>
                <w:rFonts w:ascii="Arial" w:cs="Arial" w:eastAsia="Arial" w:hAnsi="Arial"/>
                <w:sz w:val="14"/>
                <w:szCs w:val="14"/>
                <w:b w:val="1"/>
                <w:bCs w:val="1"/>
                <w:color w:val="auto"/>
                <w:w w:val="92"/>
              </w:rPr>
              <w:t>(In millions, except per share data)</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780" w:type="dxa"/>
            <w:vAlign w:val="bottom"/>
            <w:tcBorders>
              <w:bottom w:val="single" w:sz="8" w:color="CCEEFF"/>
            </w:tcBorders>
            <w:gridSpan w:val="2"/>
            <w:shd w:val="clear" w:color="auto" w:fill="CCEEFF"/>
          </w:tcPr>
          <w:p>
            <w:pPr>
              <w:jc w:val="right"/>
              <w:ind w:right="78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780" w:type="dxa"/>
            <w:vAlign w:val="bottom"/>
            <w:gridSpan w:val="2"/>
            <w:shd w:val="clear" w:color="auto" w:fill="CCEEFF"/>
          </w:tcPr>
          <w:p>
            <w:pPr>
              <w:jc w:val="right"/>
              <w:ind w:right="78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8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303"/>
        </w:trPr>
        <w:tc>
          <w:tcPr>
            <w:tcW w:w="3860" w:type="dxa"/>
            <w:vAlign w:val="bottom"/>
          </w:tcPr>
          <w:p>
            <w:pPr>
              <w:ind w:left="40"/>
              <w:spacing w:after="0"/>
              <w:rPr>
                <w:sz w:val="20"/>
                <w:szCs w:val="20"/>
                <w:color w:val="auto"/>
              </w:rPr>
            </w:pPr>
            <w:r>
              <w:rPr>
                <w:rFonts w:ascii="Arial" w:cs="Arial" w:eastAsia="Arial" w:hAnsi="Arial"/>
                <w:sz w:val="18"/>
                <w:szCs w:val="18"/>
                <w:color w:val="auto"/>
              </w:rPr>
              <w:t>Net income per diluted share</w:t>
            </w:r>
          </w:p>
        </w:tc>
        <w:tc>
          <w:tcPr>
            <w:tcW w:w="3780" w:type="dxa"/>
            <w:vAlign w:val="bottom"/>
            <w:gridSpan w:val="2"/>
          </w:tcPr>
          <w:p>
            <w:pPr>
              <w:jc w:val="right"/>
              <w:ind w:right="783"/>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1"/>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800" w:type="dxa"/>
            <w:vAlign w:val="bottom"/>
            <w:vMerge w:val="restart"/>
          </w:tcPr>
          <w:p>
            <w:pPr>
              <w:jc w:val="right"/>
              <w:ind w:right="770"/>
              <w:spacing w:after="0"/>
              <w:rPr>
                <w:sz w:val="20"/>
                <w:szCs w:val="20"/>
                <w:color w:val="auto"/>
              </w:rPr>
            </w:pPr>
            <w:r>
              <w:rPr>
                <w:rFonts w:ascii="Arial" w:cs="Arial" w:eastAsia="Arial" w:hAnsi="Arial"/>
                <w:sz w:val="18"/>
                <w:szCs w:val="18"/>
                <w:color w:val="auto"/>
              </w:rPr>
              <w:t>17</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8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Our net income for the three months ended March 31, 2018 increased 9.5% from the the comparable period of 2017 (as adjusted). A decrease in income before income taxes was more than offset by a larger decrease in the effective tax rate and, in turn, the income tax provision. The December 2017 enactment of the Tax Cuts and Jobs Act (the “Tax Act”) reduced the federal statutory tax rate from 35% to 21%, effective January 1, 2018. The decrease in our effective tax rate was approximately the same as the decrease in the federal statutory rate resulting from the Tax Act.</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On January 1, 2018, we adopted the guidance of Accounting Standards Codification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full retrospective method. Accordingly, previously reported financial information has been restated to reflect the application of ASC 606 to all comparative periods presented. The retrospective adoption of ASC 606 increased our net income for the three months ended March 31, 2017 by $1.2 million, approximately $0.07 per diluted share. See Notes 3 and 4 of the Notes to Consolidated Financial Statements for additional discussion of our adoption of ASC 606.</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sets forth the significant reasons for the decrease in our income before income taxes between the three months ended March 31, 2018 and the comparable period of 2017 (as adjusted):</w:t>
      </w:r>
    </w:p>
    <w:p>
      <w:pPr>
        <w:spacing w:after="0" w:line="176"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9260" w:type="dxa"/>
            <w:vAlign w:val="bottom"/>
          </w:tcPr>
          <w:p>
            <w:pPr>
              <w:ind w:left="20"/>
              <w:spacing w:after="0"/>
              <w:rPr>
                <w:sz w:val="20"/>
                <w:szCs w:val="20"/>
                <w:color w:val="auto"/>
              </w:rPr>
            </w:pPr>
            <w:r>
              <w:rPr>
                <w:rFonts w:ascii="Arial" w:cs="Arial" w:eastAsia="Arial" w:hAnsi="Arial"/>
                <w:sz w:val="18"/>
                <w:szCs w:val="18"/>
                <w:color w:val="auto"/>
              </w:rPr>
              <w:t>Decrease in gross profit:</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Applebee's franchise operations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60"/>
              <w:spacing w:after="0"/>
              <w:rPr>
                <w:sz w:val="20"/>
                <w:szCs w:val="20"/>
                <w:color w:val="auto"/>
              </w:rPr>
            </w:pPr>
            <w:r>
              <w:rPr>
                <w:rFonts w:ascii="Arial" w:cs="Arial" w:eastAsia="Arial" w:hAnsi="Arial"/>
                <w:sz w:val="18"/>
                <w:szCs w:val="18"/>
                <w:color w:val="auto"/>
              </w:rPr>
              <w:t>IHOP franchise operations</w:t>
            </w:r>
          </w:p>
        </w:tc>
        <w:tc>
          <w:tcPr>
            <w:tcW w:w="3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 other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CEEFF"/>
            </w:tcBorders>
            <w:shd w:val="clear" w:color="auto" w:fill="CCEEFF"/>
          </w:tcPr>
          <w:p>
            <w:pPr>
              <w:spacing w:after="0"/>
              <w:rPr>
                <w:sz w:val="23"/>
                <w:szCs w:val="23"/>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Total gross profit decrease</w:t>
            </w: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0"/>
                <w:szCs w:val="20"/>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General and Administrative (“G&amp;A”) expenses:</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60"/>
              <w:spacing w:after="0"/>
              <w:rPr>
                <w:sz w:val="20"/>
                <w:szCs w:val="20"/>
                <w:color w:val="auto"/>
              </w:rPr>
            </w:pPr>
            <w:r>
              <w:rPr>
                <w:rFonts w:ascii="Arial" w:cs="Arial" w:eastAsia="Arial" w:hAnsi="Arial"/>
                <w:sz w:val="18"/>
                <w:szCs w:val="18"/>
                <w:color w:val="auto"/>
              </w:rPr>
              <w:t>Decrease due to executive separation costs in 2017</w:t>
            </w:r>
          </w:p>
        </w:tc>
        <w:tc>
          <w:tcPr>
            <w:tcW w:w="3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in all other G&amp;A (net)</w:t>
            </w: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CCEEFF"/>
            </w:tcBorders>
            <w:shd w:val="clear" w:color="auto" w:fill="CCEEFF"/>
          </w:tcPr>
          <w:p>
            <w:pPr>
              <w:spacing w:after="0"/>
              <w:rPr>
                <w:sz w:val="23"/>
                <w:szCs w:val="23"/>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Total G&amp;A decrease</w:t>
            </w: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20"/>
                <w:szCs w:val="20"/>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closure charges</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Increase in gain on disposition of assets</w:t>
            </w:r>
          </w:p>
        </w:tc>
        <w:tc>
          <w:tcPr>
            <w:tcW w:w="3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CCEEFF"/>
            </w:tcBorders>
            <w:shd w:val="clear" w:color="auto" w:fill="CCEEFF"/>
          </w:tcPr>
          <w:p>
            <w:pPr>
              <w:spacing w:after="0"/>
              <w:rPr>
                <w:sz w:val="23"/>
                <w:szCs w:val="23"/>
                <w:color w:val="auto"/>
              </w:rPr>
            </w:pPr>
          </w:p>
        </w:tc>
      </w:tr>
      <w:tr>
        <w:trPr>
          <w:trHeight w:val="257"/>
        </w:trPr>
        <w:tc>
          <w:tcPr>
            <w:tcW w:w="9260" w:type="dxa"/>
            <w:vAlign w:val="bottom"/>
          </w:tcPr>
          <w:p>
            <w:pPr>
              <w:ind w:left="20"/>
              <w:spacing w:after="0"/>
              <w:rPr>
                <w:sz w:val="20"/>
                <w:szCs w:val="20"/>
                <w:color w:val="auto"/>
              </w:rPr>
            </w:pPr>
            <w:r>
              <w:rPr>
                <w:rFonts w:ascii="Arial" w:cs="Arial" w:eastAsia="Arial" w:hAnsi="Arial"/>
                <w:sz w:val="18"/>
                <w:szCs w:val="18"/>
                <w:color w:val="auto"/>
              </w:rPr>
              <w:t>Decrease in income before income taxes</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2"/>
                <w:szCs w:val="22"/>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and net franchise restaurant development. Changes in both domestic same-restaurant sales and in the number of Applebee's and IHOP franchise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overview of these key performance indicators for the three months ended March 31, 2018 is as follows:</w:t>
      </w:r>
    </w:p>
    <w:p>
      <w:pPr>
        <w:spacing w:after="0" w:line="172" w:lineRule="exact"/>
        <w:rPr>
          <w:sz w:val="20"/>
          <w:szCs w:val="20"/>
          <w:color w:val="auto"/>
        </w:rPr>
      </w:pPr>
    </w:p>
    <w:p>
      <w:pPr>
        <w:jc w:val="center"/>
        <w:ind w:left="9140"/>
        <w:spacing w:after="0"/>
        <w:rPr>
          <w:sz w:val="20"/>
          <w:szCs w:val="20"/>
          <w:color w:val="auto"/>
        </w:rPr>
      </w:pPr>
      <w:r>
        <w:rPr>
          <w:rFonts w:ascii="Arial" w:cs="Arial" w:eastAsia="Arial" w:hAnsi="Arial"/>
          <w:sz w:val="15"/>
          <w:szCs w:val="15"/>
          <w:b w:val="1"/>
          <w:bCs w:val="1"/>
          <w:color w:val="auto"/>
        </w:rPr>
        <w:t>Three months ended March 31,</w:t>
      </w:r>
    </w:p>
    <w:p>
      <w:pPr>
        <w:spacing w:after="0" w:line="38" w:lineRule="exact"/>
        <w:rPr>
          <w:sz w:val="20"/>
          <w:szCs w:val="20"/>
          <w:color w:val="auto"/>
        </w:rPr>
      </w:pPr>
    </w:p>
    <w:p>
      <w:pPr>
        <w:jc w:val="center"/>
        <w:ind w:left="9140"/>
        <w:spacing w:after="0"/>
        <w:rPr>
          <w:sz w:val="20"/>
          <w:szCs w:val="20"/>
          <w:color w:val="auto"/>
        </w:rPr>
      </w:pP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33020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40" w:type="dxa"/>
            <w:vAlign w:val="bottom"/>
          </w:tcPr>
          <w:p>
            <w:pPr>
              <w:spacing w:after="0"/>
              <w:rPr>
                <w:sz w:val="16"/>
                <w:szCs w:val="16"/>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87"/>
              </w:rPr>
              <w:t>Applebee's</w:t>
            </w:r>
          </w:p>
        </w:tc>
        <w:tc>
          <w:tcPr>
            <w:tcW w:w="8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IHOP</w:t>
            </w:r>
          </w:p>
        </w:tc>
      </w:tr>
      <w:tr>
        <w:trPr>
          <w:trHeight w:val="48"/>
        </w:trPr>
        <w:tc>
          <w:tcPr>
            <w:tcW w:w="93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percentage increase</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 increase in domestic same-restaurant sales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9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9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franchise restaurant (reduction) development </w:t>
            </w:r>
            <w:r>
              <w:rPr>
                <w:rFonts w:ascii="Arial" w:cs="Arial" w:eastAsia="Arial" w:hAnsi="Arial"/>
                <w:sz w:val="21"/>
                <w:szCs w:val="21"/>
                <w:color w:val="auto"/>
                <w:vertAlign w:val="superscript"/>
              </w:rPr>
              <w:t>(1)</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r>
      <w:tr>
        <w:trPr>
          <w:trHeight w:val="230"/>
        </w:trPr>
        <w:tc>
          <w:tcPr>
            <w:tcW w:w="9340" w:type="dxa"/>
            <w:vAlign w:val="bottom"/>
          </w:tcPr>
          <w:p>
            <w:pPr>
              <w:jc w:val="right"/>
              <w:ind w:right="4930"/>
              <w:spacing w:after="0"/>
              <w:rPr>
                <w:sz w:val="20"/>
                <w:szCs w:val="20"/>
                <w:color w:val="auto"/>
              </w:rPr>
            </w:pPr>
            <w:r>
              <w:rPr>
                <w:rFonts w:ascii="Arial" w:cs="Arial" w:eastAsia="Arial" w:hAnsi="Arial"/>
                <w:sz w:val="18"/>
                <w:szCs w:val="18"/>
                <w:color w:val="auto"/>
                <w:w w:val="89"/>
              </w:rPr>
              <w:t>________________________________________________</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4"/>
          <w:szCs w:val="14"/>
          <w:color w:val="auto"/>
        </w:rPr>
        <w:t>Franchise and area license restaurant openings, net of closings</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Applebee's sales percentage increase for the three months ended March 31, 2018 was due to an increase in domestic same-restaurant sales that was partially offset by restaurant closures. The IHOP sales percentage increase for the three months ended March 31, 2018 was due to net restaurant development over the past 12 months and an increase in domestic same-restaurant sales.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Detailed information on each of these key performance indicators is presented under the captions “Domestic Same-Restaurant Sales,” “Restaurant Data” and “Restaurant Development Activity” that follow.</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154940</wp:posOffset>
            </wp:positionV>
            <wp:extent cx="5145405" cy="2795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Applebee’s domestic same-restaurant sales increased 3.3% for the three months ended March 31, 2018 from the same period in 2017. This was the largest increase for a quarterly period for Applebee's since the first quarter of 2011.The improvement resulted from an increase in customer traffic that was partially offset by a small decrease in average customer check.</w:t>
      </w:r>
    </w:p>
    <w:p>
      <w:pPr>
        <w:spacing w:after="0" w:line="18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Based on data from Black Box Intelligence, a restaurant sales reporting firm (“Black Box”), Applebee's outperformed the casual dining segment of the restaurant industry during the three months ended March 31, 2018. During that period, the casual dining segment experienced a decrease in same-restaurant sales due to a decline in customer traffic that was partially offset by an increase in average customer check.</w:t>
      </w:r>
    </w:p>
    <w:p>
      <w:pPr>
        <w:spacing w:after="0" w:line="166"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believe the differential between Applebee's performance and that of the casual dining segment is due to a multi-faceted strategy we began implementing in the latter half of 2017 to address a two-year decline in Applebee's same-restaurant sales that started in the second half of 2015. The goal of that strategy was to redefine the Applebee's brand identity and culture and reconnect with what historically had been our core customer base. Our recent marketing, culinary and operational initiatives appear to have resonated positively with our guests as customer traffic has increased in each of the past two quarters.</w:t>
      </w:r>
    </w:p>
    <w:p>
      <w:pPr>
        <w:spacing w:after="0" w:line="18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and the Applebee's franchisees are making significant investments in national marketing. Virtually all domestic Applebee’s franchisees have entered into an amendment to their franchise agreements that will increase their contribution to the Applebee’s National Advertising Fund (the “Applebee's NAF”) by 0.25% to 3.50% of their gross sales and decrease their minimum local promotional expenditures to 0.25% of their gross sales for the period from January 1, 2018 to December 31, 2019. Such franchisees have also agreed to an incremental temporary increase in the advertising contribution rate, subject to certain contingencies. We will contribute $30 million to the Applebee's NAF during the first six months of 2018, of which $13.5 million was contributed during the three months ended March 31, 2018. As discussed under Consolidated Results of Operations - Franchise Operations, our contributions to the Applebee's NAF had an adverse impact on franchise operations gross profit for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5257165" cy="2452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716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20" w:firstLine="324"/>
        <w:spacing w:after="0" w:line="294" w:lineRule="auto"/>
        <w:rPr>
          <w:sz w:val="20"/>
          <w:szCs w:val="20"/>
          <w:color w:val="auto"/>
        </w:rPr>
      </w:pPr>
      <w:r>
        <w:rPr>
          <w:rFonts w:ascii="Arial" w:cs="Arial" w:eastAsia="Arial" w:hAnsi="Arial"/>
          <w:sz w:val="16"/>
          <w:szCs w:val="16"/>
          <w:color w:val="auto"/>
        </w:rPr>
        <w:t>IHOP’s domestic same-restaurant sales increased 1.0% for the three months ended March 31, 2018 from the same period in 2017. The improvement resulted from an increase in average customer check that was partially offset by a decline in customer traffic. IHOP customer traffic has declined for ten consecutive quarters; however, the percentage decrease has been progressively smaller in the two most recent fiscal quarters.</w:t>
      </w:r>
    </w:p>
    <w:p>
      <w:pPr>
        <w:spacing w:after="0" w:line="134" w:lineRule="exact"/>
        <w:rPr>
          <w:sz w:val="20"/>
          <w:szCs w:val="20"/>
          <w:color w:val="auto"/>
        </w:rPr>
      </w:pPr>
    </w:p>
    <w:p>
      <w:pPr>
        <w:ind w:right="60" w:firstLine="324"/>
        <w:spacing w:after="0" w:line="257" w:lineRule="auto"/>
        <w:rPr>
          <w:sz w:val="20"/>
          <w:szCs w:val="20"/>
          <w:color w:val="auto"/>
        </w:rPr>
      </w:pPr>
      <w:r>
        <w:rPr>
          <w:rFonts w:ascii="Arial" w:cs="Arial" w:eastAsia="Arial" w:hAnsi="Arial"/>
          <w:sz w:val="17"/>
          <w:szCs w:val="17"/>
          <w:color w:val="auto"/>
        </w:rPr>
        <w:t>Based on data from Black Box, the family dining segment of the restaurant industry experienced a decrease in same-restaurant sales during the three months ended March 31, 2018, compared to the same periods of the prior year, due to a decrease in customer traffic that was partially offset by an increase in average customer check. The IHOP decline in customer traffic was smaller than that experienced by the overall family dining segment for the three months ended March 31, 2018. IHOP's increase in average customer check was also smaller than that of the overall family dining segment for that same period. We believe that IHOP's moderated increase in average customer check was in part responsible for the differentially favorable performance in customer traffic and overall same-restaurant sales compared to the family dining segment.</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20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Applebee's Restaurant Data</w:t>
            </w:r>
          </w:p>
        </w:tc>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bottom w:val="single" w:sz="8" w:color="auto"/>
            </w:tcBorders>
            <w:gridSpan w:val="2"/>
            <w:vMerge w:val="continue"/>
          </w:tcPr>
          <w:p>
            <w:pPr>
              <w:spacing w:after="0"/>
              <w:rPr>
                <w:sz w:val="15"/>
                <w:szCs w:val="15"/>
                <w:color w:val="auto"/>
              </w:rPr>
            </w:pPr>
          </w:p>
        </w:tc>
        <w:tc>
          <w:tcPr>
            <w:tcW w:w="5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7940" w:type="dxa"/>
            <w:vAlign w:val="bottom"/>
            <w:gridSpan w:val="4"/>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5"/>
                <w:szCs w:val="25"/>
                <w:b w:val="1"/>
                <w:bCs w:val="1"/>
                <w:color w:val="auto"/>
                <w:vertAlign w:val="superscript"/>
              </w:rPr>
              <w:t>(a)</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9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79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vMerge w:val="continue"/>
          </w:tcPr>
          <w:p>
            <w:pPr>
              <w:spacing w:after="0"/>
              <w:rPr>
                <w:sz w:val="21"/>
                <w:szCs w:val="21"/>
                <w:color w:val="auto"/>
              </w:rPr>
            </w:pPr>
          </w:p>
        </w:tc>
        <w:tc>
          <w:tcPr>
            <w:tcW w:w="7940" w:type="dxa"/>
            <w:vAlign w:val="bottom"/>
            <w:gridSpan w:val="4"/>
            <w:vMerge w:val="continue"/>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92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gridSpan w:val="3"/>
          </w:tcPr>
          <w:p>
            <w:pPr>
              <w:ind w:left="220"/>
              <w:spacing w:after="0" w:line="278"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940" w:type="dxa"/>
            <w:vAlign w:val="bottom"/>
            <w:gridSpan w:val="4"/>
          </w:tcPr>
          <w:p>
            <w:pPr>
              <w:spacing w:after="0" w:line="262"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92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2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weekly domestic unit sales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IHOP Restaurant Data</w:t>
            </w:r>
          </w:p>
        </w:tc>
        <w:tc>
          <w:tcPr>
            <w:tcW w:w="61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7940" w:type="dxa"/>
            <w:vAlign w:val="bottom"/>
            <w:gridSpan w:val="4"/>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5"/>
                <w:szCs w:val="25"/>
                <w:b w:val="1"/>
                <w:bCs w:val="1"/>
                <w:color w:val="auto"/>
                <w:vertAlign w:val="superscript"/>
              </w:rPr>
              <w:t>(a)</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20" w:type="dxa"/>
            <w:vAlign w:val="bottom"/>
            <w:gridSpan w:val="3"/>
          </w:tcPr>
          <w:p>
            <w:pPr>
              <w:ind w:left="220"/>
              <w:spacing w:after="0"/>
              <w:rPr>
                <w:sz w:val="20"/>
                <w:szCs w:val="20"/>
                <w:color w:val="auto"/>
              </w:rPr>
            </w:pPr>
            <w:r>
              <w:rPr>
                <w:rFonts w:ascii="Arial" w:cs="Arial" w:eastAsia="Arial" w:hAnsi="Arial"/>
                <w:sz w:val="18"/>
                <w:szCs w:val="18"/>
                <w:color w:val="auto"/>
              </w:rPr>
              <w:t>Area license</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9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Company</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9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92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gridSpan w:val="3"/>
          </w:tcPr>
          <w:p>
            <w:pPr>
              <w:ind w:left="220"/>
              <w:spacing w:after="0" w:line="278"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940" w:type="dxa"/>
            <w:vAlign w:val="bottom"/>
            <w:gridSpan w:val="4"/>
          </w:tcPr>
          <w:p>
            <w:pPr>
              <w:spacing w:after="0" w:line="262"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92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2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weekly domestic unit sales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940" w:type="dxa"/>
            <w:vAlign w:val="bottom"/>
            <w:gridSpan w:val="4"/>
          </w:tcPr>
          <w:p>
            <w:pPr>
              <w:spacing w:after="0" w:line="270"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5"/>
                <w:szCs w:val="25"/>
                <w:b w:val="1"/>
                <w:bCs w:val="1"/>
                <w:color w:val="auto"/>
                <w:vertAlign w:val="superscript"/>
              </w:rPr>
              <w:t>(b)</w:t>
            </w: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92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340" w:right="20" w:hanging="332"/>
        <w:spacing w:after="0" w:line="254" w:lineRule="auto"/>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w:t>
      </w:r>
    </w:p>
    <w:p>
      <w:pPr>
        <w:ind w:left="340" w:right="80" w:hanging="291"/>
        <w:spacing w:after="0" w:line="287" w:lineRule="auto"/>
        <w:tabs>
          <w:tab w:leader="none" w:pos="367" w:val="left"/>
        </w:tabs>
        <w:numPr>
          <w:ilvl w:val="1"/>
          <w:numId w:val="7"/>
        </w:numPr>
        <w:rPr>
          <w:rFonts w:ascii="Arial" w:cs="Arial" w:eastAsia="Arial" w:hAnsi="Arial"/>
          <w:sz w:val="16"/>
          <w:szCs w:val="16"/>
          <w:color w:val="auto"/>
        </w:rPr>
      </w:pPr>
      <w:r>
        <w:rPr>
          <w:rFonts w:ascii="Arial" w:cs="Arial" w:eastAsia="Arial" w:hAnsi="Arial"/>
          <w:sz w:val="16"/>
          <w:szCs w:val="16"/>
          <w:color w:val="auto"/>
        </w:rPr>
        <w:t>“System-wide sales” are retail sales at Applebee’s restaurants operated by franchisees and IHOP restaurants operated by franchisees and area licensees, as reported to the Company, in addition to retail sales at company-operated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IHOP franchise restaurants and IHOP area license restaurants were as follows:</w:t>
      </w:r>
    </w:p>
    <w:p>
      <w:pPr>
        <w:spacing w:after="0" w:line="16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23495</wp:posOffset>
            </wp:positionV>
            <wp:extent cx="1758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34" w:lineRule="exact"/>
        <w:rPr>
          <w:sz w:val="20"/>
          <w:szCs w:val="20"/>
          <w:color w:val="auto"/>
        </w:rPr>
      </w:pPr>
    </w:p>
    <w:p>
      <w:pPr>
        <w:ind w:left="360"/>
        <w:spacing w:after="0"/>
        <w:rPr>
          <w:sz w:val="20"/>
          <w:szCs w:val="20"/>
          <w:color w:val="auto"/>
        </w:rPr>
      </w:pPr>
      <w:r>
        <w:rPr>
          <w:rFonts w:ascii="Arial" w:cs="Arial" w:eastAsia="Arial" w:hAnsi="Arial"/>
          <w:sz w:val="16"/>
          <w:szCs w:val="16"/>
          <w:b w:val="1"/>
          <w:bCs w:val="1"/>
          <w:u w:val="single" w:color="auto"/>
          <w:color w:val="auto"/>
        </w:rPr>
        <w:t>Reported sales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114935</wp:posOffset>
            </wp:positionV>
            <wp:extent cx="70408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Applebee's domestic franchise restaurant sales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IHOP franchise 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70408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IHOP area license restaurant sales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r>
      <w:tr>
        <w:trPr>
          <w:trHeight w:val="231"/>
        </w:trPr>
        <w:tc>
          <w:tcPr>
            <w:tcW w:w="300" w:type="dxa"/>
            <w:vAlign w:val="bottom"/>
          </w:tcPr>
          <w:p>
            <w:pPr>
              <w:spacing w:after="0"/>
              <w:rPr>
                <w:sz w:val="20"/>
                <w:szCs w:val="20"/>
                <w:color w:val="auto"/>
              </w:rPr>
            </w:pPr>
          </w:p>
        </w:tc>
        <w:tc>
          <w:tcPr>
            <w:tcW w:w="15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0"/>
                <w:szCs w:val="20"/>
                <w:color w:val="auto"/>
              </w:rPr>
            </w:pPr>
          </w:p>
        </w:tc>
      </w:tr>
      <w:tr>
        <w:trPr>
          <w:trHeight w:val="371"/>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1,095.6</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1,086.2</w:t>
            </w:r>
          </w:p>
        </w:tc>
      </w:tr>
      <w:tr>
        <w:trPr>
          <w:trHeight w:val="270"/>
        </w:trPr>
        <w:tc>
          <w:tcPr>
            <w:tcW w:w="30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780.6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744.2</w:t>
            </w:r>
          </w:p>
        </w:tc>
      </w:tr>
      <w:tr>
        <w:trPr>
          <w:trHeight w:val="270"/>
        </w:trPr>
        <w:tc>
          <w:tcPr>
            <w:tcW w:w="30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72.5</w:t>
            </w:r>
          </w:p>
        </w:tc>
      </w:tr>
      <w:tr>
        <w:trPr>
          <w:trHeight w:val="33"/>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1,951.5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1,902.9</w:t>
            </w:r>
          </w:p>
        </w:tc>
      </w:tr>
      <w:tr>
        <w:trPr>
          <w:trHeight w:val="33"/>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2">
            <w:col w:w="7940" w:space="720"/>
            <w:col w:w="2760"/>
          </w:cols>
          <w:pgMar w:left="240" w:top="121" w:right="239" w:bottom="1440" w:gutter="0" w:footer="0" w:header="0"/>
          <w:type w:val="continuous"/>
        </w:sectPr>
      </w:pPr>
    </w:p>
    <w:p>
      <w:pPr>
        <w:ind w:left="340" w:right="300" w:hanging="332"/>
        <w:spacing w:after="0" w:line="275" w:lineRule="auto"/>
        <w:tabs>
          <w:tab w:leader="none" w:pos="317"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spacing w:after="0" w:line="145" w:lineRule="exact"/>
        <w:rPr>
          <w:rFonts w:ascii="Arial" w:cs="Arial" w:eastAsia="Arial" w:hAnsi="Arial"/>
          <w:sz w:val="16"/>
          <w:szCs w:val="16"/>
          <w:color w:val="auto"/>
        </w:rPr>
      </w:pPr>
    </w:p>
    <w:p>
      <w:pPr>
        <w:ind w:left="340" w:right="300" w:hanging="332"/>
        <w:spacing w:after="0" w:line="278" w:lineRule="auto"/>
        <w:tabs>
          <w:tab w:leader="none" w:pos="326" w:val="left"/>
        </w:tabs>
        <w:numPr>
          <w:ilvl w:val="0"/>
          <w:numId w:val="8"/>
        </w:numPr>
        <w:rPr>
          <w:rFonts w:ascii="Arial" w:cs="Arial" w:eastAsia="Arial" w:hAnsi="Arial"/>
          <w:sz w:val="15"/>
          <w:szCs w:val="15"/>
          <w:color w:val="auto"/>
        </w:rPr>
      </w:pPr>
      <w:r>
        <w:rPr>
          <w:rFonts w:ascii="Arial" w:cs="Arial" w:eastAsia="Arial" w:hAnsi="Arial"/>
          <w:sz w:val="15"/>
          <w:szCs w:val="15"/>
          <w:color w:val="auto"/>
        </w:rPr>
        <w:t>“Domestic same-restaurant sales percentage change” reflects the percentage change in sales in any given fiscal period, compared to the same weeks in the prior fiscal period, for domestic restaurants that have been operated throughout both fiscal periods that are being compared and have been open for at least 18 months. Because of new restaurant openings and restaurant closures, the domestic restaurants open throughout both fiscal periods being compared may be different from period to period. Domestic same-restaurant sales percentage change does not include data on IHOP area license restaurants.</w:t>
      </w:r>
    </w:p>
    <w:p>
      <w:pPr>
        <w:sectPr>
          <w:pgSz w:w="11900" w:h="16838" w:orient="portrait"/>
          <w:cols w:equalWidth="0" w:num="1">
            <w:col w:w="11420"/>
          </w:cols>
          <w:pgMar w:left="240" w:top="121" w:right="2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b w:val="1"/>
                <w:bCs w:val="1"/>
                <w:color w:val="auto"/>
              </w:rPr>
              <w:t>Restaurant Development Activity</w:t>
            </w:r>
          </w:p>
        </w:tc>
        <w:tc>
          <w:tcPr>
            <w:tcW w:w="28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Three months ended March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3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8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5"/>
              </w:rPr>
              <w:t>Applebee's</w:t>
            </w:r>
          </w:p>
        </w:tc>
        <w:tc>
          <w:tcPr>
            <w:tcW w:w="7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7680" w:type="dxa"/>
            <w:vAlign w:val="bottom"/>
          </w:tcPr>
          <w:p>
            <w:pPr>
              <w:spacing w:after="0"/>
              <w:rPr>
                <w:sz w:val="15"/>
                <w:szCs w:val="15"/>
                <w:color w:val="auto"/>
              </w:rPr>
            </w:pPr>
          </w:p>
        </w:tc>
        <w:tc>
          <w:tcPr>
            <w:tcW w:w="1880" w:type="dxa"/>
            <w:vAlign w:val="bottom"/>
            <w:gridSpan w:val="4"/>
          </w:tcPr>
          <w:p>
            <w:pPr>
              <w:jc w:val="center"/>
              <w:ind w:left="852"/>
              <w:spacing w:after="0"/>
              <w:rPr>
                <w:sz w:val="20"/>
                <w:szCs w:val="20"/>
                <w:color w:val="auto"/>
              </w:rPr>
            </w:pPr>
            <w:r>
              <w:rPr>
                <w:rFonts w:ascii="Arial" w:cs="Arial" w:eastAsia="Arial" w:hAnsi="Arial"/>
                <w:sz w:val="14"/>
                <w:szCs w:val="14"/>
                <w:b w:val="1"/>
                <w:bCs w:val="1"/>
                <w:color w:val="auto"/>
                <w:w w:val="95"/>
              </w:rPr>
              <w:t>(Unaudited)</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Beginning of period</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1,936</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Franchise restaurants opened:</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0" w:type="dxa"/>
            <w:vAlign w:val="bottom"/>
          </w:tcPr>
          <w:p>
            <w:pPr>
              <w:spacing w:after="0"/>
              <w:rPr>
                <w:sz w:val="24"/>
                <w:szCs w:val="24"/>
                <w:color w:val="auto"/>
              </w:rPr>
            </w:pPr>
          </w:p>
        </w:tc>
        <w:tc>
          <w:tcPr>
            <w:tcW w:w="852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Domestic</w:t>
            </w:r>
          </w:p>
        </w:tc>
        <w:tc>
          <w:tcPr>
            <w:tcW w:w="1880" w:type="dxa"/>
            <w:vAlign w:val="bottom"/>
            <w:tcBorders>
              <w:bottom w:val="single" w:sz="8" w:color="CCEEFF"/>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520" w:type="dxa"/>
            <w:vAlign w:val="bottom"/>
            <w:gridSpan w:val="3"/>
          </w:tcPr>
          <w:p>
            <w:pPr>
              <w:ind w:left="260"/>
              <w:spacing w:after="0"/>
              <w:rPr>
                <w:sz w:val="20"/>
                <w:szCs w:val="20"/>
                <w:color w:val="auto"/>
              </w:rPr>
            </w:pPr>
            <w:r>
              <w:rPr>
                <w:rFonts w:ascii="Arial" w:cs="Arial" w:eastAsia="Arial" w:hAnsi="Arial"/>
                <w:sz w:val="18"/>
                <w:szCs w:val="18"/>
                <w:color w:val="auto"/>
              </w:rPr>
              <w:t>International</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franchise restaurants opened</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Franchise restaurants closed:</w:t>
            </w: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Domestic</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520" w:type="dxa"/>
            <w:vAlign w:val="bottom"/>
            <w:gridSpan w:val="3"/>
          </w:tcPr>
          <w:p>
            <w:pPr>
              <w:ind w:left="260"/>
              <w:spacing w:after="0"/>
              <w:rPr>
                <w:sz w:val="20"/>
                <w:szCs w:val="20"/>
                <w:color w:val="auto"/>
              </w:rPr>
            </w:pPr>
            <w:r>
              <w:rPr>
                <w:rFonts w:ascii="Arial" w:cs="Arial" w:eastAsia="Arial" w:hAnsi="Arial"/>
                <w:sz w:val="18"/>
                <w:szCs w:val="18"/>
                <w:color w:val="auto"/>
              </w:rPr>
              <w:t>International</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franchise restaurants closed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Net franchise restaurant reduction</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8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Applebee's restaurants, end of period</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1,912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6"/>
                <w:szCs w:val="16"/>
                <w:color w:val="auto"/>
              </w:rPr>
              <w:t>Domestic</w:t>
            </w:r>
          </w:p>
        </w:tc>
        <w:tc>
          <w:tcPr>
            <w:tcW w:w="1360" w:type="dxa"/>
            <w:vAlign w:val="bottom"/>
          </w:tcPr>
          <w:p>
            <w:pPr>
              <w:jc w:val="right"/>
              <w:ind w:right="32"/>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6"/>
                <w:szCs w:val="16"/>
                <w:color w:val="auto"/>
              </w:rPr>
              <w:t>1,843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International</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IHOP</w:t>
            </w:r>
          </w:p>
        </w:tc>
        <w:tc>
          <w:tcPr>
            <w:tcW w:w="808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Summary - beginning of period: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Franchise</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520" w:type="dxa"/>
            <w:vAlign w:val="bottom"/>
            <w:gridSpan w:val="3"/>
          </w:tcPr>
          <w:p>
            <w:pPr>
              <w:ind w:left="300"/>
              <w:spacing w:after="0"/>
              <w:rPr>
                <w:sz w:val="20"/>
                <w:szCs w:val="20"/>
                <w:color w:val="auto"/>
              </w:rPr>
            </w:pPr>
            <w:r>
              <w:rPr>
                <w:rFonts w:ascii="Arial" w:cs="Arial" w:eastAsia="Arial" w:hAnsi="Arial"/>
                <w:sz w:val="18"/>
                <w:szCs w:val="18"/>
                <w:color w:val="auto"/>
              </w:rPr>
              <w:t>Area license</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8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Company</w:t>
            </w:r>
          </w:p>
        </w:tc>
        <w:tc>
          <w:tcPr>
            <w:tcW w:w="1880" w:type="dxa"/>
            <w:vAlign w:val="bottom"/>
            <w:tcBorders>
              <w:bottom w:val="single" w:sz="8" w:color="CCEEFF"/>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Total IHOP restaurants, beginning of period</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1,786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1,733</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Franchise/area license restaurants opened:</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0" w:type="dxa"/>
            <w:vAlign w:val="bottom"/>
          </w:tcPr>
          <w:p>
            <w:pPr>
              <w:spacing w:after="0"/>
              <w:rPr>
                <w:sz w:val="24"/>
                <w:szCs w:val="24"/>
                <w:color w:val="auto"/>
              </w:rPr>
            </w:pPr>
          </w:p>
        </w:tc>
        <w:tc>
          <w:tcPr>
            <w:tcW w:w="852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Domestic franchise</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520" w:type="dxa"/>
            <w:vAlign w:val="bottom"/>
            <w:gridSpan w:val="3"/>
          </w:tcPr>
          <w:p>
            <w:pPr>
              <w:ind w:left="300"/>
              <w:spacing w:after="0"/>
              <w:rPr>
                <w:sz w:val="20"/>
                <w:szCs w:val="20"/>
                <w:color w:val="auto"/>
              </w:rPr>
            </w:pPr>
            <w:r>
              <w:rPr>
                <w:rFonts w:ascii="Arial" w:cs="Arial" w:eastAsia="Arial" w:hAnsi="Arial"/>
                <w:sz w:val="18"/>
                <w:szCs w:val="18"/>
                <w:color w:val="auto"/>
              </w:rPr>
              <w:t>International franchise</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franchise/area license restaurants opened</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Franchise/area license restaurants closed:</w:t>
            </w: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520" w:type="dxa"/>
            <w:vAlign w:val="bottom"/>
            <w:gridSpan w:val="3"/>
          </w:tcPr>
          <w:p>
            <w:pPr>
              <w:ind w:left="300"/>
              <w:spacing w:after="0"/>
              <w:rPr>
                <w:sz w:val="20"/>
                <w:szCs w:val="20"/>
                <w:color w:val="auto"/>
              </w:rPr>
            </w:pPr>
            <w:r>
              <w:rPr>
                <w:rFonts w:ascii="Arial" w:cs="Arial" w:eastAsia="Arial" w:hAnsi="Arial"/>
                <w:sz w:val="18"/>
                <w:szCs w:val="18"/>
                <w:color w:val="auto"/>
              </w:rPr>
              <w:t>Domestic franchise</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8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International franchise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80" w:type="dxa"/>
            <w:vAlign w:val="bottom"/>
          </w:tcPr>
          <w:p>
            <w:pPr>
              <w:ind w:left="460"/>
              <w:spacing w:after="0"/>
              <w:rPr>
                <w:sz w:val="20"/>
                <w:szCs w:val="20"/>
                <w:color w:val="auto"/>
              </w:rPr>
            </w:pPr>
            <w:r>
              <w:rPr>
                <w:rFonts w:ascii="Arial" w:cs="Arial" w:eastAsia="Arial" w:hAnsi="Arial"/>
                <w:sz w:val="18"/>
                <w:szCs w:val="18"/>
                <w:color w:val="auto"/>
              </w:rPr>
              <w:t>Total franchise/area license restaurants closed</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franchise/area license restaurant development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Summary - end of period:</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0" w:type="dxa"/>
            <w:vAlign w:val="bottom"/>
          </w:tcPr>
          <w:p>
            <w:pPr>
              <w:spacing w:after="0"/>
              <w:rPr>
                <w:sz w:val="24"/>
                <w:szCs w:val="24"/>
                <w:color w:val="auto"/>
              </w:rPr>
            </w:pPr>
          </w:p>
        </w:tc>
        <w:tc>
          <w:tcPr>
            <w:tcW w:w="852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520" w:type="dxa"/>
            <w:vAlign w:val="bottom"/>
            <w:gridSpan w:val="3"/>
          </w:tcPr>
          <w:p>
            <w:pPr>
              <w:ind w:left="300"/>
              <w:spacing w:after="0"/>
              <w:rPr>
                <w:sz w:val="20"/>
                <w:szCs w:val="20"/>
                <w:color w:val="auto"/>
              </w:rPr>
            </w:pPr>
            <w:r>
              <w:rPr>
                <w:rFonts w:ascii="Arial" w:cs="Arial" w:eastAsia="Arial" w:hAnsi="Arial"/>
                <w:sz w:val="18"/>
                <w:szCs w:val="18"/>
                <w:color w:val="auto"/>
              </w:rPr>
              <w:t>Franchise</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Area license</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520" w:type="dxa"/>
            <w:vAlign w:val="bottom"/>
            <w:gridSpan w:val="3"/>
          </w:tcPr>
          <w:p>
            <w:pPr>
              <w:ind w:left="300"/>
              <w:spacing w:after="0"/>
              <w:rPr>
                <w:sz w:val="20"/>
                <w:szCs w:val="20"/>
                <w:color w:val="auto"/>
              </w:rPr>
            </w:pPr>
            <w:r>
              <w:rPr>
                <w:rFonts w:ascii="Arial" w:cs="Arial" w:eastAsia="Arial" w:hAnsi="Arial"/>
                <w:sz w:val="18"/>
                <w:szCs w:val="18"/>
                <w:color w:val="auto"/>
              </w:rPr>
              <w:t>Company</w:t>
            </w:r>
          </w:p>
        </w:tc>
        <w:tc>
          <w:tcPr>
            <w:tcW w:w="188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IHOP restaurants, end of period</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1,791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 w:type="dxa"/>
            <w:vAlign w:val="bottom"/>
          </w:tcPr>
          <w:p>
            <w:pPr>
              <w:spacing w:after="0"/>
              <w:rPr>
                <w:sz w:val="18"/>
                <w:szCs w:val="18"/>
                <w:color w:val="auto"/>
              </w:rPr>
            </w:pPr>
          </w:p>
        </w:tc>
        <w:tc>
          <w:tcPr>
            <w:tcW w:w="8520" w:type="dxa"/>
            <w:vAlign w:val="bottom"/>
            <w:gridSpan w:val="3"/>
          </w:tcPr>
          <w:p>
            <w:pPr>
              <w:ind w:left="300"/>
              <w:spacing w:after="0"/>
              <w:rPr>
                <w:sz w:val="20"/>
                <w:szCs w:val="20"/>
                <w:color w:val="auto"/>
              </w:rPr>
            </w:pPr>
            <w:r>
              <w:rPr>
                <w:rFonts w:ascii="Arial" w:cs="Arial" w:eastAsia="Arial" w:hAnsi="Arial"/>
                <w:sz w:val="16"/>
                <w:szCs w:val="16"/>
                <w:color w:val="auto"/>
              </w:rPr>
              <w:t>Domestic</w:t>
            </w:r>
          </w:p>
        </w:tc>
        <w:tc>
          <w:tcPr>
            <w:tcW w:w="1360" w:type="dxa"/>
            <w:vAlign w:val="bottom"/>
          </w:tcPr>
          <w:p>
            <w:pPr>
              <w:jc w:val="right"/>
              <w:ind w:right="32"/>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right w:val="single" w:sz="8" w:color="CCEEFF"/>
            </w:tcBorders>
            <w:shd w:val="clear" w:color="auto" w:fill="CCEEFF"/>
          </w:tcPr>
          <w:p>
            <w:pPr>
              <w:spacing w:after="0"/>
              <w:rPr>
                <w:sz w:val="20"/>
                <w:szCs w:val="20"/>
                <w:color w:val="auto"/>
              </w:rPr>
            </w:pPr>
          </w:p>
        </w:tc>
        <w:tc>
          <w:tcPr>
            <w:tcW w:w="852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International</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the full year of 2018, we expect Applebee's franchisees to develop between 10 and 15 new restaurants globally, the majority of which are expected to be international openings. IHOP franchisees are projected to develop between 85 and 100 new IHOP restaurants globally, the majority of which are expected to be domestic openings. Historically, the majority of restaurant openings have taken place in the second half of any given year. We anticipate the closing of between 60 and 80 Applebee's restaurants in 2018 as part of the continuation of a system-wide analysis to optimize the health of the franchisee system. We expect to close between 30 and 40 IHOP restaurants in 2018, due to lease expirations and system optimization.</w:t>
      </w:r>
    </w:p>
    <w:p>
      <w:pPr>
        <w:spacing w:after="0" w:line="17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actual number of openings may differ from both our expectations and development commitments. Historically, the actual number of restaurants developed in any given year has been less than the total number committed to be developed due to various factors, including economic conditions and franchisee noncompliance with development agreements. The timing of new restaurant openings also may be affected by various factors including weather-related and other construction delays, difficulties in obtaining timely regulatory approvals and the impact of currency fluctuations on our international franchisees. The actual number of closures also may differ from expectations. Our franchisees are independent businesses and decisions to close restaurants can be impacted by numerous factors in addition to declines in same-restaurant sales that are outside of our control, including but not limited to, franchisees' agreements with landlords and lenders.</w:t>
      </w:r>
    </w:p>
    <w:p>
      <w:pPr>
        <w:sectPr>
          <w:pgSz w:w="11900" w:h="16838" w:orient="portrait"/>
          <w:cols w:equalWidth="0" w:num="1">
            <w:col w:w="11420"/>
          </w:cols>
          <w:pgMar w:left="240" w:top="121" w:right="239" w:bottom="946"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946"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the Three Months Ended March 31, 2018 and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Known Events, Trends or Uncertainties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Franchisee Financial Health</w:t>
      </w:r>
    </w:p>
    <w:p>
      <w:pPr>
        <w:spacing w:after="0" w:line="22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Applebee's experienced a decline in system-wide sales between the third quarter of 2015 and the third quarter of 2017 that was primarily due to a decrease in customer traffic. This decline in sales at our franchisees' restaurants adversely impacted the financial health of some of the franchisees and the timely payment of amounts they owe us for royalty payments and advertising fund contributions. The non-timely or partial payments are primarily concentrated amongst three franchisees. Two franchisees representing approximately 13% of Applebee's domestic system-wide sales are exhibiting a higher level of financial difficulty than the other franchisees. These franchisee health issues, in turn, have had an adverse impact on our financial results in the form of increased bad debt expense, lower royalty and advertising revenue due to uncertainty as to its collectibility and the need for us to contribute to the Applebee's NAF to mitigate the decline in franchisee contributions due to restaurant closures and the non-timely payment by certain franchisees.</w:t>
      </w:r>
    </w:p>
    <w:p>
      <w:pPr>
        <w:spacing w:after="0" w:line="167" w:lineRule="exact"/>
        <w:rPr>
          <w:sz w:val="20"/>
          <w:szCs w:val="20"/>
          <w:color w:val="auto"/>
        </w:rPr>
      </w:pPr>
    </w:p>
    <w:p>
      <w:pPr>
        <w:jc w:val="both"/>
        <w:ind w:right="80" w:firstLine="324"/>
        <w:spacing w:after="0" w:line="297" w:lineRule="auto"/>
        <w:rPr>
          <w:sz w:val="20"/>
          <w:szCs w:val="20"/>
          <w:color w:val="auto"/>
        </w:rPr>
      </w:pPr>
      <w:r>
        <w:rPr>
          <w:rFonts w:ascii="Arial" w:cs="Arial" w:eastAsia="Arial" w:hAnsi="Arial"/>
          <w:sz w:val="16"/>
          <w:szCs w:val="16"/>
          <w:color w:val="auto"/>
        </w:rPr>
        <w:t>We continue to address franchisee financial health through a collaborative effort between ourselves, a third-party advisor and franchisee representatives. We have provided, and may continue to provide, various forms of assistance to franchisees, such as approval of restaurant closures, assessing franchisee debt arrangements, temporary forbearance on payment obligations, extensions of credit and other support programs. To date, the assistance provided primarily has been the approved closures of non-viable restaurants and waiver of related termination fees, as well as making loans to certain franchisees, of which there are approximately $8 million outstanding at March 31, 2018. Any additional assistance to franchisees may entail incremental costs.</w:t>
      </w:r>
    </w:p>
    <w:p>
      <w:pPr>
        <w:spacing w:after="0" w:line="15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While we are encouraged by the improvement in Applebee's same-restaurant sales and customer traffic during the first quarter of 2018 and the fourth quarter of 2017, there can be no assurance that this favorable trend will continue or to what extent any improvement in same-restaurant sales and customer traffic might mitigate the franchisee health issues discussed above. Until such mitigation occurs, we may, in the future, continue to experience one or more of the adverse financial impacts discussed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 in Accounting Policy</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On January 1, 2018, we adopted the guidance of Accounting Standards Codification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two most significant impacts of this change in accounting policy are as follows:</w:t>
      </w:r>
    </w:p>
    <w:p>
      <w:pPr>
        <w:spacing w:after="0" w:line="170" w:lineRule="exact"/>
        <w:rPr>
          <w:sz w:val="20"/>
          <w:szCs w:val="20"/>
          <w:color w:val="auto"/>
        </w:rPr>
      </w:pPr>
    </w:p>
    <w:p>
      <w:pPr>
        <w:ind w:left="980" w:hanging="324"/>
        <w:spacing w:after="0" w:line="271"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Prior to the adoption of ASC 606, we did not record advertising fees received under Applebee's franchise agreements as franchise revenue and expense; we did record advertising fees received under IHOP franchise agreements as franchise revenue and expense. In evaluating advertising activity under the guidance of ASC 606, we consider ourselves to be primarily responsible for fulfilling the promise to provide all of the services specified in the contract, including advertising activities, which are not considered to be distinct services in the context of providing the right to the symbolic intellectual property. Accordingly, under ASC 606, we are recording advertising fees received under Applebee's franchise agreements as franchise revenue. Under previous accounting guidance for franchisors, advertising revenue and expense were recognized in the same amount in each period. That guidance was superceded by ASC 606, such that advertising expense may now be recognized in a different period than the advertising revenue recognized as described above.</w:t>
      </w:r>
    </w:p>
    <w:p>
      <w:pPr>
        <w:spacing w:after="0" w:line="178" w:lineRule="exact"/>
        <w:rPr>
          <w:rFonts w:ascii="Arial" w:cs="Arial" w:eastAsia="Arial" w:hAnsi="Arial"/>
          <w:sz w:val="17"/>
          <w:szCs w:val="17"/>
          <w:color w:val="auto"/>
        </w:rPr>
      </w:pPr>
    </w:p>
    <w:p>
      <w:pPr>
        <w:jc w:val="both"/>
        <w:ind w:left="980" w:right="2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the adoption of ASC 606, the Company generally recognized the entire franchise and/or development fee as revenue at the restaurant opening date. Under ASC 606, franchise and development fees are recognized as revenue ratably on a straight-line basis over the term of the franchise agreement commencing with the restaurant opening date.</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adopted this change in accounting principles using the full retrospective method. Accordingly, previously reported financial information for the three months ended March 31, 2017 has been restated to reflect the changes as described above from application of ASC 606. See Notes 3 and 4 of the Notes to Consolidated Financial Statements for additional discussion of our adoption of ASC 606 and our policies for recognition of revenue from contracts with customers.</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conjunction with the adoption of ASC 606, we implemented internal controls to ensure we adequately evaluated our contracts with franchisees and properly assessed the impact of ASC 606 on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Impacting Comparability of Financial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Tax Cuts and Jobs Act</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Tax Cuts and Jobs Act (the “Tax Act”) enacted in December 2017 lowered the federal statutory corporate tax rate from 35% to 21%, beginning in 2018. We expect to benefit meaningfully from the Tax Act in future periods, primarily due to the impact of reducing the statutory federal tax rate to 21%.</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Executive Separation Costs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2017, we announced the resignation of our former Chairman and Chief Executive Officer (the “former CEO”), effective March 1, 2017. In accordance with the terms of the Separation Agreement and General Release filed as Exhibit 10.1 to Form 8-K filed on February 17, 2017, we recorded approximately $5.9 million for severance, separation pay and ancillary costs in the first quarter of 2017. All stock options and restricted stock awards held by the former CEO that were unvested at the time of the announcement became vested in connection with the separation. We recorded a charge of approximately $2.9 million related to the accelerated vesting of the equity awards in the first quarter of 2017. Total costs of $8.8 million related to the separation were included in G&amp;A expenses for the three months ended March 31, 2017.</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Refranchising of Company-operated Restaurants</w:t>
      </w:r>
    </w:p>
    <w:p>
      <w:pPr>
        <w:spacing w:after="0" w:line="225"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In June 2017, we refranchised nine of our ten company-operated IHOP restaurants in the Cincinnati, Ohio market area; the one restaurant not refranchised was closed. As a result, we no longer operate any IHOP restaurants on a permanent basis. While this refranchising reduced our gross revenue by approximately $4 million for the three months ended March 31, 2018 compared to the same period of the prior year, there was minimal impact on our gross profit.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gridSpan w:val="3"/>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29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9"/>
                <w:szCs w:val="19"/>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1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8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2017 (as adjusted)</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155.3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 restaurant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Financing operations</w:t>
            </w:r>
          </w:p>
        </w:tc>
        <w:tc>
          <w:tcPr>
            <w:tcW w:w="32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Change vs. prior period</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66"/>
        <w:spacing w:after="0" w:line="342" w:lineRule="auto"/>
        <w:rPr>
          <w:sz w:val="20"/>
          <w:szCs w:val="20"/>
          <w:color w:val="auto"/>
        </w:rPr>
      </w:pPr>
      <w:r>
        <w:rPr>
          <w:rFonts w:ascii="Arial" w:cs="Arial" w:eastAsia="Arial" w:hAnsi="Arial"/>
          <w:sz w:val="16"/>
          <w:szCs w:val="16"/>
          <w:color w:val="auto"/>
        </w:rPr>
        <w:t>Total revenue for the three months ended March 31, 2018 decreased compared with the same period of the prior year, primarily due to the refranchising of IHOP company-operated restaurants discussed above. Smaller changes in franchise and rental revenues are discussed in the sections that follow.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Profit (Loss)</w:t>
            </w:r>
          </w:p>
        </w:tc>
        <w:tc>
          <w:tcPr>
            <w:tcW w:w="300" w:type="dxa"/>
            <w:vAlign w:val="bottom"/>
          </w:tcPr>
          <w:p>
            <w:pPr>
              <w:spacing w:after="0"/>
              <w:rPr>
                <w:sz w:val="19"/>
                <w:szCs w:val="19"/>
                <w:color w:val="auto"/>
              </w:rPr>
            </w:pPr>
          </w:p>
        </w:tc>
        <w:tc>
          <w:tcPr>
            <w:tcW w:w="29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9"/>
                <w:szCs w:val="19"/>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53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1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2017 (as adjusted)</w:t>
            </w: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73.4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Rental operations</w:t>
            </w:r>
          </w:p>
        </w:tc>
        <w:tc>
          <w:tcPr>
            <w:tcW w:w="30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 restaurant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Financing operations</w:t>
            </w:r>
          </w:p>
        </w:tc>
        <w:tc>
          <w:tcPr>
            <w:tcW w:w="30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83.5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Change vs. prior period</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Total gross profit for the three months ended March 31, 2018 declined compared with the same periods of the prior year, primarily due to increased franchisor contributions to the Applebee's NAF, partially offset by IHOP restaurant development over the past twelve months and increases in Applebee's and IHOP's domestic same-restaurant sales. Smaller changes in rental and financing operations are discussed in the sections that follow.</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88"/>
              </w:rPr>
              <w:t>Franchise Operations</w:t>
            </w:r>
          </w:p>
        </w:tc>
        <w:tc>
          <w:tcPr>
            <w:tcW w:w="50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center"/>
              <w:ind w:right="73"/>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5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5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ind w:right="533"/>
              <w:spacing w:after="0" w:line="12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jc w:val="right"/>
              <w:ind w:right="191"/>
              <w:spacing w:after="0" w:line="125" w:lineRule="exact"/>
              <w:rPr>
                <w:sz w:val="20"/>
                <w:szCs w:val="20"/>
                <w:color w:val="auto"/>
              </w:rPr>
            </w:pPr>
            <w:r>
              <w:rPr>
                <w:rFonts w:ascii="Arial" w:cs="Arial" w:eastAsia="Arial" w:hAnsi="Arial"/>
                <w:sz w:val="14"/>
                <w:szCs w:val="14"/>
                <w:b w:val="1"/>
                <w:bCs w:val="1"/>
                <w:color w:val="auto"/>
                <w:w w:val="95"/>
              </w:rPr>
              <w:t>2017 (as adjusted)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73"/>
              <w:spacing w:after="0" w:line="125" w:lineRule="exact"/>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0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gridSpan w:val="7"/>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gridSpan w:val="7"/>
          </w:tcPr>
          <w:p>
            <w:pPr>
              <w:jc w:val="right"/>
              <w:ind w:right="913"/>
              <w:spacing w:after="0"/>
              <w:rPr>
                <w:sz w:val="20"/>
                <w:szCs w:val="20"/>
                <w:color w:val="auto"/>
              </w:rPr>
            </w:pPr>
            <w:r>
              <w:rPr>
                <w:rFonts w:ascii="Arial" w:cs="Arial" w:eastAsia="Arial" w:hAnsi="Arial"/>
                <w:sz w:val="14"/>
                <w:szCs w:val="14"/>
                <w:b w:val="1"/>
                <w:bCs w:val="1"/>
                <w:color w:val="auto"/>
              </w:rPr>
              <w:t>(In millions, except number of restaurants)</w:t>
            </w:r>
          </w:p>
        </w:tc>
        <w:tc>
          <w:tcPr>
            <w:tcW w:w="0" w:type="dxa"/>
            <w:vAlign w:val="bottom"/>
          </w:tcPr>
          <w:p>
            <w:pPr>
              <w:spacing w:after="0"/>
              <w:rPr>
                <w:sz w:val="1"/>
                <w:szCs w:val="1"/>
                <w:color w:val="auto"/>
              </w:rPr>
            </w:pPr>
          </w:p>
        </w:tc>
      </w:tr>
      <w:tr>
        <w:trPr>
          <w:trHeight w:val="282"/>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Effective Franchise Restaurants:</w:t>
            </w:r>
            <w:r>
              <w:rPr>
                <w:rFonts w:ascii="Arial" w:cs="Arial" w:eastAsia="Arial" w:hAnsi="Arial"/>
                <w:sz w:val="21"/>
                <w:szCs w:val="21"/>
                <w:color w:val="auto"/>
                <w:vertAlign w:val="superscript"/>
              </w:rPr>
              <w:t>(1)</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IHOP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67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Revenues: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franchise revenues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Expenses: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franchise expenses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Gross Profit:</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franchise gross profit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740" w:type="dxa"/>
            <w:vAlign w:val="bottom"/>
            <w:gridSpan w:val="3"/>
          </w:tcPr>
          <w:p>
            <w:pPr>
              <w:ind w:left="40"/>
              <w:spacing w:after="0" w:line="257"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60"/>
              <w:spacing w:after="0"/>
              <w:rPr>
                <w:sz w:val="20"/>
                <w:szCs w:val="20"/>
                <w:color w:val="auto"/>
              </w:rPr>
            </w:pPr>
            <w:r>
              <w:rPr>
                <w:rFonts w:ascii="Arial" w:cs="Arial" w:eastAsia="Arial" w:hAnsi="Arial"/>
                <w:sz w:val="18"/>
                <w:szCs w:val="18"/>
                <w:color w:val="auto"/>
              </w:rPr>
              <w:t>_____________________________________________________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right="100" w:hanging="172"/>
        <w:spacing w:after="0" w:line="241" w:lineRule="auto"/>
        <w:tabs>
          <w:tab w:leader="none" w:pos="145" w:val="left"/>
        </w:tabs>
        <w:numPr>
          <w:ilvl w:val="0"/>
          <w:numId w:val="10"/>
        </w:numPr>
        <w:rPr>
          <w:rFonts w:ascii="Arial" w:cs="Arial" w:eastAsia="Arial" w:hAnsi="Arial"/>
          <w:sz w:val="9"/>
          <w:szCs w:val="9"/>
          <w:color w:val="auto"/>
        </w:rPr>
      </w:pPr>
      <w:r>
        <w:rPr>
          <w:rFonts w:ascii="Arial" w:cs="Arial" w:eastAsia="Arial" w:hAnsi="Arial"/>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5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Applebee’s franchise revenue for the three months ended March 31, 2018 decreased 10.3% compared to the same period of the prior year. This was primarily due to an increase of $4.4 million in revenue not recognized due to uncertainty as to collectibility and a $1.3 million decrease in royalties due to the net closure of franchise restaurants. These unfavorable items were partially offset by a 3.3% increase in domestic same-restaurant sales.</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increase in Applebee's franchise expenses for the three months ended March 31, 2018 compared with the same period of the prior year was primarily due to an increase of $13.5 million in franchisor contributions to the Applebee's NAF, partially offset by a decrease of $4.9 million in bad debt expense. The decrease in bad debt expense was due to the recovery of certain amounts reserved in prior periods.</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IHOP franchise revenue for the three months ended March 31, 2018 increased compared to the same period of the prior year, primarily due to a 3.8% increase in Effective Franchise Restaurants because of net restaurant development over the past twelve months and a 1.0% increase in domestic same-restaurant sales. An increase in sales of pancake and waffle dry mix and royalty revenue from refranchised company-operated restaurants contributed to the revenue improvement as well.</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increase in IHOP franchise expenses for the three months ended March 31, 2018 compared with the same period of the prior year were primarily due to an increase in purchases of pancake and waffle dry mix and an increase of $0.3 million in bad debt expense.</w:t>
      </w:r>
    </w:p>
    <w:p>
      <w:pPr>
        <w:spacing w:after="0" w:line="170"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Advertising revenue and expense of both brands for the three months ended March 31, 2018 increased 3.9% compared to the same period of the prior year, primarily due to IHOP net restaurant development over the past twelve months and the increases in Applebee's and IHOP domestic same-restaurant sales, partially offset by the net decline in Applebee's restaurants due to closures.</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Gross profit as a percentage of revenue declined for the three months ended March 31, 2018 compared to the same period of the prior year, primarily because of the increase in franchisor contributions to the Applebee's NAF, partially offset by IHOP restaurant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gridSpan w:val="3"/>
          </w:tcPr>
          <w:p>
            <w:pPr>
              <w:ind w:left="40"/>
              <w:spacing w:after="0"/>
              <w:rPr>
                <w:sz w:val="20"/>
                <w:szCs w:val="20"/>
                <w:color w:val="auto"/>
              </w:rPr>
            </w:pPr>
            <w:r>
              <w:rPr>
                <w:rFonts w:ascii="Arial" w:cs="Arial" w:eastAsia="Arial" w:hAnsi="Arial"/>
                <w:sz w:val="18"/>
                <w:szCs w:val="18"/>
                <w:b w:val="1"/>
                <w:bCs w:val="1"/>
                <w:color w:val="auto"/>
              </w:rPr>
              <w:t>Rental Operations</w:t>
            </w:r>
          </w:p>
        </w:tc>
        <w:tc>
          <w:tcPr>
            <w:tcW w:w="300" w:type="dxa"/>
            <w:vAlign w:val="bottom"/>
          </w:tcPr>
          <w:p>
            <w:pPr>
              <w:spacing w:after="0"/>
              <w:rPr>
                <w:sz w:val="19"/>
                <w:szCs w:val="19"/>
                <w:color w:val="auto"/>
              </w:rPr>
            </w:pPr>
          </w:p>
        </w:tc>
        <w:tc>
          <w:tcPr>
            <w:tcW w:w="2780" w:type="dxa"/>
            <w:vAlign w:val="bottom"/>
            <w:gridSpan w:val="4"/>
          </w:tcPr>
          <w:p>
            <w:pPr>
              <w:jc w:val="right"/>
              <w:ind w:right="354"/>
              <w:spacing w:after="0"/>
              <w:rPr>
                <w:sz w:val="20"/>
                <w:szCs w:val="20"/>
                <w:color w:val="auto"/>
              </w:rPr>
            </w:pPr>
            <w:r>
              <w:rPr>
                <w:rFonts w:ascii="Arial" w:cs="Arial" w:eastAsia="Arial" w:hAnsi="Arial"/>
                <w:sz w:val="16"/>
                <w:szCs w:val="16"/>
                <w:b w:val="1"/>
                <w:bCs w:val="1"/>
                <w:color w:val="auto"/>
                <w:w w:val="98"/>
              </w:rPr>
              <w:t>Three months ended 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4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19"/>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vMerge w:val="restart"/>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vMerge w:val="restart"/>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3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 gross profit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60" w:type="dxa"/>
            <w:vAlign w:val="bottom"/>
            <w:gridSpan w:val="3"/>
          </w:tcPr>
          <w:p>
            <w:pPr>
              <w:ind w:left="40"/>
              <w:spacing w:after="0" w:line="257"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22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Rental operations relate primarily to IHOP franchise restaurants. Rental income includes revenue from operating leases and interest income from direct financing leases. Rental expenses are costs of prime operating leases and interest expense on prime capital leases on certain franchise restaurants.</w:t>
      </w:r>
    </w:p>
    <w:p>
      <w:pPr>
        <w:spacing w:after="0" w:line="12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Rental segment revenue for the three months ended March 31, 2018 increased compared to the same period of the prior year primarily due to contractual increases in base sub-rental income and an increase in rental income based on a percentage of franchisees' retail sales, partially offset by the expected progressive decline of $0.3 million in interest income as direct financing leases are repaid.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impact of the adoption of ASC 606 on rental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29" w:lineRule="exact"/>
        <w:rPr>
          <w:sz w:val="20"/>
          <w:szCs w:val="20"/>
          <w:color w:val="auto"/>
        </w:rPr>
      </w:pPr>
    </w:p>
    <w:p>
      <w:pPr>
        <w:jc w:val="both"/>
        <w:ind w:right="760" w:firstLine="243"/>
        <w:spacing w:after="0" w:line="264" w:lineRule="auto"/>
        <w:rPr>
          <w:sz w:val="20"/>
          <w:szCs w:val="20"/>
          <w:color w:val="auto"/>
        </w:rPr>
      </w:pPr>
      <w:r>
        <w:rPr>
          <w:rFonts w:ascii="Arial" w:cs="Arial" w:eastAsia="Arial" w:hAnsi="Arial"/>
          <w:sz w:val="18"/>
          <w:szCs w:val="18"/>
          <w:color w:val="auto"/>
        </w:rPr>
        <w:t>Financing revenues primarily consist of interest income from the financing of equipment leases and franchise fees, as well as sales of equipment associated with refranchised IHOP restaurants. Financing expenses are the cost of any restaurant equipment sold associated with refranchised IHOP restaurants.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decrease in financing revenue and gross profit for the three months ended March 31, 2018 was primarily due to the expected progressive declines of $0.2 million in interest revenue as note balances are repaid.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impact of the adoption of ASC 606 on financing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Restaurant Operations</w:t>
      </w:r>
    </w:p>
    <w:p>
      <w:pPr>
        <w:spacing w:after="0" w:line="229" w:lineRule="exact"/>
        <w:rPr>
          <w:sz w:val="20"/>
          <w:szCs w:val="20"/>
          <w:color w:val="auto"/>
        </w:rPr>
      </w:pPr>
    </w:p>
    <w:p>
      <w:pPr>
        <w:ind w:right="220" w:firstLine="243"/>
        <w:spacing w:after="0" w:line="277" w:lineRule="auto"/>
        <w:rPr>
          <w:sz w:val="20"/>
          <w:szCs w:val="20"/>
          <w:color w:val="auto"/>
        </w:rPr>
      </w:pPr>
      <w:r>
        <w:rPr>
          <w:rFonts w:ascii="Arial" w:cs="Arial" w:eastAsia="Arial" w:hAnsi="Arial"/>
          <w:sz w:val="18"/>
          <w:szCs w:val="18"/>
          <w:color w:val="auto"/>
        </w:rPr>
        <w:t>Effective June 19, 2017, we refranchised nine of our ten company-operated IHOP restaurants in the Cincinnati, Ohio market area; the one restaurant not refranchised was closed. As a result, we no longer operate any restaurants on a permanent basis.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300" w:type="dxa"/>
            <w:vAlign w:val="bottom"/>
            <w:gridSpan w:val="3"/>
          </w:tcPr>
          <w:p>
            <w:pPr>
              <w:jc w:val="right"/>
              <w:ind w:right="6120"/>
              <w:spacing w:after="0"/>
              <w:rPr>
                <w:sz w:val="20"/>
                <w:szCs w:val="20"/>
                <w:color w:val="auto"/>
              </w:rPr>
            </w:pPr>
            <w:r>
              <w:rPr>
                <w:rFonts w:ascii="Arial" w:cs="Arial" w:eastAsia="Arial" w:hAnsi="Arial"/>
                <w:sz w:val="18"/>
                <w:szCs w:val="18"/>
                <w:b w:val="1"/>
                <w:bCs w:val="1"/>
                <w:color w:val="auto"/>
                <w:w w:val="89"/>
              </w:rPr>
              <w:t>G&amp;A Expenses</w:t>
            </w:r>
          </w:p>
        </w:tc>
        <w:tc>
          <w:tcPr>
            <w:tcW w:w="27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9"/>
                <w:szCs w:val="19"/>
                <w:color w:val="auto"/>
              </w:rPr>
            </w:pPr>
          </w:p>
        </w:tc>
        <w:tc>
          <w:tcPr>
            <w:tcW w:w="11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118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24"/>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1180" w:type="dxa"/>
            <w:vAlign w:val="bottom"/>
          </w:tcPr>
          <w:p>
            <w:pPr>
              <w:spacing w:after="0"/>
              <w:rPr>
                <w:sz w:val="5"/>
                <w:szCs w:val="5"/>
                <w:color w:val="auto"/>
              </w:rPr>
            </w:pPr>
          </w:p>
        </w:tc>
        <w:tc>
          <w:tcPr>
            <w:tcW w:w="5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restart"/>
          </w:tcPr>
          <w:p>
            <w:pPr>
              <w:jc w:val="right"/>
              <w:ind w:right="45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decrease in G&amp;A expenses for the three months ended March 31, 2018 compared to the same period of the prior year was primarily due to charges of $8.8 million recognized during the three months ended March 31, 2017 related to the executive separation costs discussed under “Events Impacting Comparability of Financial Information” that did not recur in 2018.</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Closure and Impairment Charges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Closure and impairment charges of $2.5 million for the three months ended March 31, 2018 primarily comprised lease closure obligations, net of estimated subrental income, related to two properties on which refranchised Applebee's company-operated restaurants had been located. Closure and impairment charges for the three months ended March 31, 2017 were not significant.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three months ended March 31, 2018, we performed assessments to determine whether events or changes in circumstances have occurred that could indicate a potential impairment to our goodwill and indefinite-lived intangible assets. We considered, among other things, Applebee's key performance indicators during the three months ended March 31, 2018 and what, if any, impact that performance had on the long-term forecast of future trends in sales, operating expenses, overhead expenses, depreciation, capital expenditures and changes in working capital that was used in performing the qualitative impairment test in the third quarter of 2017. We also considered the current market price of our common stock and the impact of the Tax Act. We concluded that an interim test for impairment was not necessary as of March 31, 2018. We also considered whether there were any indicators that the carrying value of tangible long-lived assets may not be recoverable. No significant impairments were noted in performing the assessments.</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(Gain) Loss on Disposition of Assets</w:t>
      </w:r>
    </w:p>
    <w:p>
      <w:pPr>
        <w:spacing w:after="0" w:line="25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part of the transaction discussed above under “Events Impacting Comparability of Financial Information,” we entered into an asset purchase agreement, nine franchise agreements and nine sublease agreements for land and buildings. The Company compared the stated rent under the sublease agreements with comparable market rents and recorded net favorable lease assets of $2.3 million related to the transaction. During the three months ended March 31, 2018, the sublease tenant of one of the properties with lease terms favorable to the Company purchased the property, terminating the lease which allowed us to recognize a gain of $1.4 million on disposition of the favorable lease asset. There were no individually significant asset dispositions during the three months ended March 31, 2017.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Other Expense and Income Items</w:t>
            </w:r>
          </w:p>
        </w:tc>
        <w:tc>
          <w:tcPr>
            <w:tcW w:w="240" w:type="dxa"/>
            <w:vAlign w:val="bottom"/>
          </w:tcPr>
          <w:p>
            <w:pPr>
              <w:spacing w:after="0"/>
              <w:rPr>
                <w:sz w:val="19"/>
                <w:szCs w:val="19"/>
                <w:color w:val="auto"/>
              </w:rPr>
            </w:pPr>
          </w:p>
        </w:tc>
        <w:tc>
          <w:tcPr>
            <w:tcW w:w="27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9"/>
                <w:szCs w:val="19"/>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4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4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and amortization of intangible assets for the three months ended March 31, 2018 were consistent with the same periods of the prior year.</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Taxes</w:t>
            </w:r>
          </w:p>
        </w:tc>
        <w:tc>
          <w:tcPr>
            <w:tcW w:w="260" w:type="dxa"/>
            <w:vAlign w:val="bottom"/>
          </w:tcPr>
          <w:p>
            <w:pPr>
              <w:spacing w:after="0"/>
              <w:rPr>
                <w:sz w:val="19"/>
                <w:szCs w:val="19"/>
                <w:color w:val="auto"/>
              </w:rPr>
            </w:pPr>
          </w:p>
        </w:tc>
        <w:tc>
          <w:tcPr>
            <w:tcW w:w="28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9"/>
                <w:szCs w:val="19"/>
                <w:color w:val="auto"/>
              </w:rPr>
            </w:pPr>
          </w:p>
        </w:tc>
        <w:tc>
          <w:tcPr>
            <w:tcW w:w="124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58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vMerge w:val="restart"/>
          </w:tcPr>
          <w:p>
            <w:pPr>
              <w:jc w:val="center"/>
              <w:ind w:right="141"/>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vMerge w:val="restart"/>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jc w:val="right"/>
              <w:ind w:right="417"/>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3"/>
              </w:rPr>
              <w:t>40.0%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Our income tax provision will vary from period to period for two reasons: a change in income before income taxes and a change in the effective tax rate. Changes in our income before income taxes between 2018 and 2017 were addressed in the preceding sections of “Consolidated Results of Operations - Comparison of the Three Months Ended March 31, 2018 and 2017.”</w:t>
      </w:r>
    </w:p>
    <w:p>
      <w:pPr>
        <w:spacing w:after="0" w:line="14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effective tax rates for the three months ended March 31, 2018 were significantly lower than the same period of prior year due to the Tax Act, enacted in December 2017, that lowered the federal statutory corporate tax rate from 35% to 21%.</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At March 31, 2018, our outstanding long-term debt consisted of $1.3 billion of Series 2014-1 4.277% Fixed Rate Senior Notes, Class A-2 (the “Class A-2 Notes”). We also have a revolving financing facility consisting of Series 2014-1 Variable Funding Senior Notes, Class A-1 (the “Variable Funding Notes”), which allows for drawings of up to $100 million of Variable Funding Notes and the issuance of letters of credit. The Class A-2 Notes and the Variable Funding Notes are referred to collectively as the “Notes.” The Notes were issued in a private securitization transaction pursuant to which substantially all our domestic revenue-generating assets and our domestic intellectual property are held by certain special-purpose, wholly-owned indirect subsidiaries of the Company (the “Guarantors”) that act as guarantors of the Notes and that have pledged substantially all their assets to secure the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While the Notes are outstanding, payment of principal and interest is required to be made on the Class A-2 Notes on a quarterly basis. The quarterly principal payment of $3.25 million on the Class A-2 Notes may be suspended when the leverage ratio for the Company and its subsidiaries is less than or equal to 5.25x. At March 31, 2018, our leverage ratio was 5.70x (see Exhibit 12.1). Exceeding the leverage ratio of 5.25x does not violate any covenant related to the Notes; however, we were required to make a principal payment of $3.25 million in the first quarter of 2018 and anticipate we will be required to make principal payments in each of the remaining quarters of 2018.</w:t>
      </w:r>
    </w:p>
    <w:p>
      <w:pPr>
        <w:spacing w:after="0" w:line="18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may voluntarily repay the Class A-2 Notes at any time; however, if we voluntarily repay the Class A-2 Notes prior to September 2018 we would be required to pay a make-whole premium. As of March 31, 2018, the make-whole payment for voluntary repayment was approximately $12 million; this amount declines ratably to zero in September 2018. We would also be subject to a make-whole premium in the event of a mandatory prepayment occurring prior to September 2018 following a Rapid Amortization Event (as defined in the Class A-2 Notes) or certain asset dispositions. The make-whole premium requirements are considered derivatives embedded in the Class A-2 Notes that must be bifurcated for separate valuation. We estimated the fair value of these derivatives to be insignificant at March 31, 2018, based on the probability-weighted discounted cash flows associated with either event.</w:t>
      </w:r>
    </w:p>
    <w:p>
      <w:pPr>
        <w:spacing w:after="0" w:line="16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The Variable Funding Notes were not drawn upon at March 31, 2018. At March 31, 2018, $3.1 million was pledged against the Variable Funding Notes for outstanding letters of credit, leaving $96.9 million of Variable Funding Notes available for borrowings. The letters of credit are used primarily to satisfy insurance-related collateral requirements. In April 2018, we drew $20 million against this revolving credit facility.</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Notes are subject to customary rapid amortization events for similar types of financing, including events tied to our failure to maintain the stated debt service coverage ratio (“DSCR”), the sum of domestic retail sales for all restaurants being below certain levels on certain measurement dates, certain manager termination events, certain events of default and the failure to repay or refinance the Notes on the Class A-2 Anticipated Repayment Date in September 2021. The Notes are also subject to certain customary events of default, including events relating to non-payment of required interest, principal or other amounts due on or with respect to the Notes, failure to maintain the stated DSCR, failure to comply with covenants within certain time frames, certain bankruptcy events, breaches of specified representations and warranties and certain judgments.</w:t>
      </w:r>
    </w:p>
    <w:p>
      <w:pPr>
        <w:spacing w:after="0" w:line="178" w:lineRule="exact"/>
        <w:rPr>
          <w:sz w:val="20"/>
          <w:szCs w:val="20"/>
          <w:color w:val="auto"/>
        </w:rPr>
      </w:pPr>
    </w:p>
    <w:p>
      <w:pPr>
        <w:jc w:val="both"/>
        <w:ind w:right="380" w:firstLine="324"/>
        <w:spacing w:after="0" w:line="312" w:lineRule="auto"/>
        <w:rPr>
          <w:sz w:val="20"/>
          <w:szCs w:val="20"/>
          <w:color w:val="auto"/>
        </w:rPr>
      </w:pPr>
      <w:r>
        <w:rPr>
          <w:rFonts w:ascii="Arial" w:cs="Arial" w:eastAsia="Arial" w:hAnsi="Arial"/>
          <w:sz w:val="16"/>
          <w:szCs w:val="16"/>
          <w:color w:val="auto"/>
        </w:rPr>
        <w:t>Failure to maintain a prescribed DSCR can trigger a Cash Trapping Event, A Rapid Amortization Event, a Manager Termination Event or a Default Event as described below. In a Cash Trapping Event, the Trustee is required to retain a certain percentage of excess Cash Flow (as defined) in a restricted account. In a Rapid Amortization Event, all excess Cash Flow is retained and used to retire principal amounts of debt. Key DSCRs are as follows:</w:t>
      </w:r>
    </w:p>
    <w:p>
      <w:pPr>
        <w:spacing w:after="0" w:line="174" w:lineRule="exact"/>
        <w:rPr>
          <w:sz w:val="20"/>
          <w:szCs w:val="20"/>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DSCR less than 1.75x but equal to or greater than 1.50x - Cash Trapping Event, 50% of Net Cash Flow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DSCR less than 1.50x - Cash Trapping Event, 100% of Net Cash Flow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DSCR less than 1.30x - Rapid Amortization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DSCR less than 1.20x - Manager Termination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DSCR less than 1.10x - Default Event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DSCR for the reporting period ended March 31, 2018 was 3.85x (see 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Dividends</w:t>
      </w:r>
    </w:p>
    <w:p>
      <w:pPr>
        <w:spacing w:after="0" w:line="198" w:lineRule="exact"/>
        <w:rPr>
          <w:sz w:val="20"/>
          <w:szCs w:val="20"/>
          <w:color w:val="auto"/>
        </w:rPr>
      </w:pPr>
    </w:p>
    <w:p>
      <w:pPr>
        <w:ind w:right="300" w:firstLine="324"/>
        <w:spacing w:after="0" w:line="243" w:lineRule="auto"/>
        <w:rPr>
          <w:sz w:val="20"/>
          <w:szCs w:val="20"/>
          <w:color w:val="auto"/>
        </w:rPr>
      </w:pPr>
      <w:r>
        <w:rPr>
          <w:rFonts w:ascii="Arial" w:cs="Arial" w:eastAsia="Arial" w:hAnsi="Arial"/>
          <w:sz w:val="18"/>
          <w:szCs w:val="18"/>
          <w:color w:val="auto"/>
        </w:rPr>
        <w:t>During the three months ended March 31, 2018, we paid dividends on common stock of $17.5 million, representing cash dividends of $0.97 per share declared in the fourth quarter of 2017. On February 14, 2018, our Board of Directors declared a first quarter 2018 cash dividend of $0.63 per share of common stock. This dividend was paid on April 6, 2018 to our stockholders of record at the close of business on March 19, 2018. We reported dividends payable of $11.5 million at March 31, 2018.</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Share Repurchases</w:t>
      </w:r>
    </w:p>
    <w:p>
      <w:pPr>
        <w:spacing w:after="0" w:line="198"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In October 2015, our Board of Directors approved a stock repurchase program authorizing us to repurchase up to $150 million of our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does not require the repurchase of 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specific number of shares and can be terminated at any time. A summary of shares repurchased under the 2015 Repurchase Program, currently and cumulatively, is as follows:</w:t>
      </w:r>
    </w:p>
    <w:p>
      <w:pPr>
        <w:spacing w:after="0" w:line="129"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70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70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Repurchased during the three months ended March 31, 2018</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Cumulative repurchases as of March 31, 2018</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1,139,295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92.9</w:t>
            </w:r>
          </w:p>
        </w:tc>
      </w:tr>
      <w:tr>
        <w:trPr>
          <w:trHeight w:val="27"/>
        </w:trPr>
        <w:tc>
          <w:tcPr>
            <w:tcW w:w="7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57.1</w:t>
            </w:r>
          </w:p>
        </w:tc>
      </w:tr>
      <w:tr>
        <w:trPr>
          <w:trHeight w:val="27"/>
        </w:trPr>
        <w:tc>
          <w:tcPr>
            <w:tcW w:w="70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w:t>
      </w:r>
    </w:p>
    <w:p>
      <w:pPr>
        <w:spacing w:after="0" w:line="124"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all share repurchase activity during the first quarter of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 our cash flows for the three months ended March 31, 2018 and 2017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310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Variance</w:t>
            </w:r>
          </w:p>
        </w:tc>
      </w:tr>
      <w:tr>
        <w:trPr>
          <w:trHeight w:val="33"/>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666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net income for the three months ended March 31, 2018 increased $1.5 million compared to the same period of 2017, primarily due to a decrease in the federal statutory tax rate and a decrease in G&amp;A expenses, partially offset by a decline in gross profit from franchise operations, each of which was discussed in preceding sections of the MD&amp;A. Our net income including the non-cash reconciling items shown in the statement of cash flows (primarily depreciation, deferred taxes and stock-based compensation expense) was $23.0 million for the three months ended March 31, 2018 compared to $24.7 million the same period of 2016, a decrease of $1.7 million. This decrease was primarily due to the timing of deferred rent recognition. Net changes in working capital used cash of $6.6 million during the first three months of 2018, compared to a use of cash of $5.2 million during the first three months of 2017. The working capital change adversely impacted cash from operations by $1.4 million and was primarily due to a decrease in taxes paid offset by the timing of marketing accruals.</w:t>
      </w:r>
    </w:p>
    <w:p>
      <w:pPr>
        <w:spacing w:after="0" w:line="192"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decrease of $3.0 million in cash provided by operating activities for the three months ended March 31, 2018 was primarily due to the $1.7 million decrease in net income including the non-cash reconciling items and the $1.4 million increase in cash used by working capital changes.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Investing activities used net cash of $0.3 million for the three months ended March 31, 2018. Principal receipts from notes, equipment contracts and other long-term receivables of $4.9 million and proceeds from asset sales of $0.7 million were more than offset by $3.5 million in capital expenditures and additions to long-term receivables of $2.3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Financing activities used net cash of $35.9 million for the three months ended March 31, 2018. Cash used in financing activities primarily consisted of cash dividends paid on our common stock totaling $17.5 million, repurchases of our common stock totaling $10.0 million, repayments of capital lease obligations and long-term debt of $7.8 million, and a net cash outflow of approximately $0.6 million related to equity compensation awards.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At March 31, 2018, our cash and cash equivalents totaled $96.4 million, including $46.9 million of cash held for gift card programs and advertising funds. Additionally, several of our franchisor subsidiaries held a total of approximately $28 million in cash at March 31, 2018, to maintain certain net worth requirements under state franchise disclosure laws.</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Based on our current level of operations, we believe that our cash flow from operations, available cash and available borrowing capacity under our Variable Funding Notes will be adequate to meet our liquidity needs for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right="580" w:firstLine="324"/>
        <w:spacing w:after="0" w:line="302" w:lineRule="auto"/>
        <w:rPr>
          <w:sz w:val="20"/>
          <w:szCs w:val="20"/>
          <w:color w:val="auto"/>
        </w:rPr>
      </w:pPr>
      <w:r>
        <w:rPr>
          <w:rFonts w:ascii="Arial" w:cs="Arial" w:eastAsia="Arial" w:hAnsi="Arial"/>
          <w:sz w:val="16"/>
          <w:szCs w:val="16"/>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free cash flow is a non-U.S. GAAP measure. Reconciliation of the cash provided by operating activities to adjusted free cash flow is as follows: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6360" w:type="dxa"/>
            <w:vAlign w:val="bottom"/>
          </w:tcPr>
          <w:p>
            <w:pPr>
              <w:spacing w:after="0"/>
              <w:rPr>
                <w:sz w:val="22"/>
                <w:szCs w:val="22"/>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6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Receipts from notes and equipment contracts receivable</w:t>
            </w:r>
          </w:p>
        </w:tc>
        <w:tc>
          <w:tcPr>
            <w:tcW w:w="10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and equipment</w:t>
            </w:r>
          </w:p>
        </w:tc>
        <w:tc>
          <w:tcPr>
            <w:tcW w:w="10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Adjusted free cash flow</w:t>
            </w:r>
          </w:p>
        </w:tc>
        <w:tc>
          <w:tcPr>
            <w:tcW w:w="102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19.2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w:t>
      </w:r>
    </w:p>
    <w:p>
      <w:pPr>
        <w:spacing w:after="0" w:line="23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decrease in adjusted free cash flow for the three months ended March 31, 2018 compared to the same period of the prior year is primarily due to the decrease in cash from operating activities discussed above. Capital expenditures are expected to be approximately $16 million for fiscal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have obligations for guarantees on certain franchisee lease agreements, as disclosed in Note 10 - Commitments and Contingencies, of Notes to Consolidated Financial Statements of Part I, Item 1 of this Form 10-Q. Other than such guarantees, we did not have any off-balance sheet arrangements, as defined in Item 303(a)(4) of SEC Regulation S-K as of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There were no material changes to the contractual obligations table as disclosed in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6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 summary of our critical accounting estimates is included in Management’s Discussion and Analysis of Financial Condition and Results of Operations contained in our Annual Report on Form 10-K for the year ended December 31, 2017. During the three months ended March 31, 2018, there were no significant changes in our estimates and critical accounting policies, other than the adoption of ASC 606 as discussed in Note 3, “Accounting Standards Adopted and Newly Issued Accounting Standards Not Yet Adopted” in the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material changes from the information contained in the Company’s Annual Report on Form 10-K for the year ended December 31,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121" w:right="3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00" w:type="dxa"/>
            <w:vAlign w:val="bottom"/>
          </w:tcPr>
          <w:p>
            <w:pPr>
              <w:spacing w:after="0"/>
              <w:rPr>
                <w:sz w:val="14"/>
                <w:szCs w:val="14"/>
                <w:color w:val="auto"/>
              </w:rPr>
            </w:pPr>
          </w:p>
        </w:tc>
        <w:tc>
          <w:tcPr>
            <w:tcW w:w="1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 (c)</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plans or programs (c)</w:t>
            </w:r>
          </w:p>
        </w:tc>
        <w:tc>
          <w:tcPr>
            <w:tcW w:w="0" w:type="dxa"/>
            <w:vAlign w:val="bottom"/>
          </w:tcPr>
          <w:p>
            <w:pPr>
              <w:spacing w:after="0"/>
              <w:rPr>
                <w:sz w:val="1"/>
                <w:szCs w:val="1"/>
                <w:color w:val="auto"/>
              </w:rPr>
            </w:pPr>
          </w:p>
        </w:tc>
      </w:tr>
      <w:tr>
        <w:trPr>
          <w:trHeight w:val="282"/>
        </w:trPr>
        <w:tc>
          <w:tcPr>
            <w:tcW w:w="4480" w:type="dxa"/>
            <w:vAlign w:val="bottom"/>
            <w:gridSpan w:val="2"/>
          </w:tcPr>
          <w:p>
            <w:pPr>
              <w:ind w:left="40"/>
              <w:spacing w:after="0" w:line="282" w:lineRule="exact"/>
              <w:rPr>
                <w:sz w:val="20"/>
                <w:szCs w:val="20"/>
                <w:color w:val="auto"/>
              </w:rPr>
            </w:pPr>
            <w:r>
              <w:rPr>
                <w:rFonts w:ascii="Arial" w:cs="Arial" w:eastAsia="Arial" w:hAnsi="Arial"/>
                <w:sz w:val="18"/>
                <w:szCs w:val="18"/>
                <w:color w:val="auto"/>
              </w:rPr>
              <w:t>January 1, 2018 – January 28, 2018</w:t>
            </w:r>
            <w:r>
              <w:rPr>
                <w:rFonts w:ascii="Arial" w:cs="Arial" w:eastAsia="Arial" w:hAnsi="Arial"/>
                <w:sz w:val="25"/>
                <w:szCs w:val="25"/>
                <w:color w:val="auto"/>
                <w:vertAlign w:val="superscript"/>
              </w:rPr>
              <w:t>(a)</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24"/>
                <w:szCs w:val="24"/>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67,100,000</w:t>
            </w:r>
          </w:p>
        </w:tc>
        <w:tc>
          <w:tcPr>
            <w:tcW w:w="0" w:type="dxa"/>
            <w:vAlign w:val="bottom"/>
          </w:tcPr>
          <w:p>
            <w:pPr>
              <w:spacing w:after="0"/>
              <w:rPr>
                <w:sz w:val="1"/>
                <w:szCs w:val="1"/>
                <w:color w:val="auto"/>
              </w:rPr>
            </w:pPr>
          </w:p>
        </w:tc>
      </w:tr>
      <w:tr>
        <w:trPr>
          <w:trHeight w:val="270"/>
        </w:trPr>
        <w:tc>
          <w:tcPr>
            <w:tcW w:w="44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January 29, 2018 – February 25, 2018</w:t>
            </w:r>
            <w:r>
              <w:rPr>
                <w:rFonts w:ascii="Arial" w:cs="Arial" w:eastAsia="Arial" w:hAnsi="Arial"/>
                <w:sz w:val="25"/>
                <w:szCs w:val="25"/>
                <w:color w:val="auto"/>
                <w:vertAlign w:val="superscript"/>
              </w:rPr>
              <w:t>(a)</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8,665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23"/>
                <w:szCs w:val="23"/>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67,100,000</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February 26, 2018 – April 1, 2018</w:t>
            </w:r>
            <w:r>
              <w:rPr>
                <w:rFonts w:ascii="Arial" w:cs="Arial" w:eastAsia="Arial" w:hAnsi="Arial"/>
                <w:sz w:val="25"/>
                <w:szCs w:val="25"/>
                <w:color w:val="auto"/>
                <w:vertAlign w:val="superscript"/>
              </w:rPr>
              <w:t>(b)</w:t>
            </w:r>
          </w:p>
        </w:tc>
        <w:tc>
          <w:tcPr>
            <w:tcW w:w="16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145,196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138,638</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57,100,000</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153,871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138,638</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57,100,000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These amounts represent shares owned and tendered by employees to satisfy tax withholding obligations arising upon vesting of restricted stock awards.</w:t>
      </w:r>
    </w:p>
    <w:p>
      <w:pPr>
        <w:spacing w:after="0" w:line="23" w:lineRule="exact"/>
        <w:rPr>
          <w:rFonts w:ascii="Arial" w:cs="Arial" w:eastAsia="Arial" w:hAnsi="Arial"/>
          <w:sz w:val="21"/>
          <w:szCs w:val="21"/>
          <w:color w:val="auto"/>
          <w:vertAlign w:val="superscript"/>
        </w:rPr>
      </w:pPr>
    </w:p>
    <w:p>
      <w:pPr>
        <w:ind w:left="260" w:right="60" w:hanging="252"/>
        <w:spacing w:after="0" w:line="236" w:lineRule="auto"/>
        <w:tabs>
          <w:tab w:leader="none" w:pos="195"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These amounts include 6,558 shares owned and tendered by employees at an average price of $73.93 to satisfy tax withholding obligations arising upon vesting of restricted stock awards.</w:t>
      </w:r>
    </w:p>
    <w:p>
      <w:pPr>
        <w:spacing w:after="0" w:line="11" w:lineRule="exact"/>
        <w:rPr>
          <w:rFonts w:ascii="Arial" w:cs="Arial" w:eastAsia="Arial" w:hAnsi="Arial"/>
          <w:sz w:val="22"/>
          <w:szCs w:val="22"/>
          <w:color w:val="auto"/>
          <w:vertAlign w:val="superscript"/>
        </w:rPr>
      </w:pPr>
    </w:p>
    <w:p>
      <w:pPr>
        <w:ind w:left="260" w:right="280" w:hanging="252"/>
        <w:spacing w:after="0" w:line="276" w:lineRule="auto"/>
        <w:tabs>
          <w:tab w:leader="none" w:pos="278"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In October 2015, our Board of Directors approved a stock repurchase program authorizing us to repurchase up to $150 million of it's common stock on an opportunistic basis from time to time in open market transactions and in privately negotiated transactions, including Rule 10b-5 stock repurchase plans, based on business, market, applicable legal requirements and other considerations. The program does not require the repurchase of a specific number of shares and can be terminated at any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1400" w:right="260" w:hanging="697"/>
        <w:spacing w:after="0" w:line="27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8">
        <w:r>
          <w:rPr>
            <w:rFonts w:ascii="Arial" w:cs="Arial" w:eastAsia="Arial" w:hAnsi="Arial"/>
            <w:sz w:val="18"/>
            <w:szCs w:val="18"/>
            <w:u w:val="single" w:color="auto"/>
            <w:color w:val="0000FF"/>
          </w:rPr>
          <w:t>Restated Certificate of Incorporation of Dine Brands Global, Inc. (Exhibit 3.1 to Registrant’s Form 10-K filed on February 20, 2018 is</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incorporated herein by reference)</w:t>
        </w:r>
      </w:hyperlink>
    </w:p>
    <w:p>
      <w:pPr>
        <w:spacing w:after="0" w:line="8" w:lineRule="exact"/>
        <w:rPr>
          <w:sz w:val="20"/>
          <w:szCs w:val="20"/>
          <w:color w:val="auto"/>
        </w:rPr>
      </w:pPr>
    </w:p>
    <w:p>
      <w:pPr>
        <w:ind w:left="1400" w:right="160" w:hanging="697"/>
        <w:spacing w:after="0" w:line="27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9">
        <w:r>
          <w:rPr>
            <w:rFonts w:ascii="Arial" w:cs="Arial" w:eastAsia="Arial" w:hAnsi="Arial"/>
            <w:sz w:val="18"/>
            <w:szCs w:val="18"/>
            <w:u w:val="single" w:color="auto"/>
            <w:color w:val="0000FF"/>
          </w:rPr>
          <w:t>Amended Bylaws of Dine Brands Global, Inc. (Exhibit 3.2 to Registrant’s Form 10-K filed on February 20, 2018 is incorporated herein</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by reference)</w:t>
        </w:r>
      </w:hyperlink>
    </w:p>
    <w:p>
      <w:pPr>
        <w:spacing w:after="0" w:line="8"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Dine Brands Global, Inc. 2016 Stock Incentive Plan</w:t>
      </w:r>
    </w:p>
    <w:p>
      <w:pPr>
        <w:spacing w:after="0" w:line="63"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FF"/>
        </w:rPr>
        <w:t>Dine Brands Global, Inc. 2016 Stock Incentive Plan Cash-Settled RSU Agreement - Non-Employee Directors</w:t>
      </w:r>
    </w:p>
    <w:p>
      <w:pPr>
        <w:spacing w:after="0" w:line="63"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FF"/>
        </w:rPr>
        <w:t>Dine Brands Global, Inc. 2016 Stock Incentive Plan Cash-Settled RSU Agreement - Employees</w:t>
      </w:r>
    </w:p>
    <w:p>
      <w:pPr>
        <w:spacing w:after="0" w:line="63"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0000FF"/>
        </w:rPr>
        <w:t>Dine Brands Global, Inc. 2016 Stock Incentive Plan Cash-Settled RSU Agreement - International Employees</w:t>
      </w:r>
    </w:p>
    <w:p>
      <w:pPr>
        <w:spacing w:after="0" w:line="63"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u w:val="single" w:color="auto"/>
          <w:color w:val="0000FF"/>
        </w:rPr>
        <w:t>Dine Brands Global, Inc. 2016 Stock Incentive Plan Stock-Settled RSU Agreement - Employees - Performance Based</w:t>
      </w:r>
    </w:p>
    <w:p>
      <w:pPr>
        <w:spacing w:after="0" w:line="63"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u w:val="single" w:color="auto"/>
          <w:color w:val="0000FF"/>
        </w:rPr>
        <w:t>Dine Brands Global, Inc. 2016 Stock Incentive Plan Stock-Settled RSU Agreement 50/50% Annual Vesting - International Employees</w:t>
      </w:r>
    </w:p>
    <w:p>
      <w:pPr>
        <w:spacing w:after="0" w:line="86"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u w:val="single" w:color="auto"/>
          <w:color w:val="0000FF"/>
        </w:rPr>
        <w:t>Dine Brands Global, Inc. 2016 Stock Incentive Plan Stock-Settled RSU Agreement - International Employees</w:t>
      </w:r>
    </w:p>
    <w:p>
      <w:pPr>
        <w:spacing w:after="0" w:line="63"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u w:val="single" w:color="auto"/>
          <w:color w:val="0000FF"/>
        </w:rPr>
        <w:t>Dine Brands Global, Inc. 2016 Stock Incentive Plan Stock-Settled RSU Agreement - Employees</w:t>
      </w:r>
    </w:p>
    <w:p>
      <w:pPr>
        <w:spacing w:after="0" w:line="63"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u w:val="single" w:color="auto"/>
          <w:color w:val="0000FF"/>
        </w:rPr>
        <w:t>Dine Brands Global, Inc. 2016 Stock Incentive Plan Nonqualified Stock Option Agreement - Employees</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u w:val="single" w:color="auto"/>
          <w:color w:val="0000FF"/>
        </w:rPr>
        <w:t>Dine Brands Global, Inc. 2016 Stock Incentive Plan Nonqualified Stock Option Agreement - International Employees</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u w:val="single" w:color="auto"/>
          <w:color w:val="0000FF"/>
        </w:rPr>
        <w:t>Dine Brands Global, Inc. 2016 Stock Incentive Plan Nonqualified Stock Option Agreement - Non-Employee Directors</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u w:val="single" w:color="auto"/>
          <w:color w:val="0000FF"/>
        </w:rPr>
        <w:t>Dine Brands Global, Inc. 2016 Stock Incentive Plan Nonqualified Stock Option Agreement - Employees - Performance Based</w:t>
      </w:r>
    </w:p>
    <w:p>
      <w:pPr>
        <w:spacing w:after="0" w:line="75"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u w:val="single" w:color="auto"/>
          <w:color w:val="0000FF"/>
        </w:rPr>
        <w:t>Dine Brands Global, Inc. 2016 Stock Incentive Plan Performance Shares Agreement - Employees</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u w:val="single" w:color="auto"/>
          <w:color w:val="0000FF"/>
        </w:rPr>
        <w:t>Dine Brands Global, Inc. 2016 Stock Incentive Plan Performance Shares Agreement - Employees - 50% stock/50% cash</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u w:val="single" w:color="auto"/>
          <w:color w:val="0000FF"/>
        </w:rPr>
        <w:t>Dine Brands Global, Inc. 2016 Stock Incentive Plan Performance Award Agreement - Employees - Single Metric</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u w:val="single" w:color="auto"/>
          <w:color w:val="0000FF"/>
        </w:rPr>
        <w:t>Dine Brands Global, Inc. 2016 Stock Incentive Plan Performance Award Agreement - Employees - Double Metric</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u w:val="single" w:color="auto"/>
          <w:color w:val="0000FF"/>
        </w:rPr>
        <w:t>Dine Brands Global, Inc. 2016 Stock Incentive Plan Restricted Stock Agreement Employees - 25/25/50% Annual Vesting</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u w:val="single" w:color="auto"/>
          <w:color w:val="0000FF"/>
        </w:rPr>
        <w:t>Dine Brands Global, Inc. 2016 Stock Incentive Plan Restricted Stock Agreement - Employees</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u w:val="single" w:color="auto"/>
          <w:color w:val="0000FF"/>
        </w:rPr>
        <w:t>Dine Brands Global, Inc. 2016 Stock Incentive Plan Restricted Stock Agreement - Non-Employee Directors</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u w:val="single" w:color="auto"/>
          <w:color w:val="0000FF"/>
        </w:rPr>
        <w:t>Dine Brands Global, Inc. 2016 Stock Incentive Plan Restricted Stock Agreement - Employees - Specified Date Vesting</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u w:val="single" w:color="auto"/>
          <w:color w:val="0000FF"/>
        </w:rPr>
        <w:t>Dine Brands Global, Inc. 2016 Stock Incentive Plan - Employees - 5-/50% Annual Vesting</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u w:val="single" w:color="auto"/>
          <w:color w:val="0000FF"/>
        </w:rPr>
        <w:t>Dine Brands Global, Inc. 2016 Stock Incentive Plan Restricted Stock Agreement - Employees - One-Fourth Annual Vesting</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u w:val="single" w:color="auto"/>
          <w:color w:val="0000FF"/>
        </w:rPr>
        <w:t>Dine Brands Global, Inc. 2016 Stock Incentive Plan Restricted Stock Agreement - Employees - One Third Annual Vesting</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u w:val="single" w:color="auto"/>
          <w:color w:val="0000FF"/>
        </w:rPr>
        <w:t>Dine Brands Global, Inc. 2016 Stock Incentive Plan Restricted Stock Agreement - Employees - Annual Vesting</w:t>
      </w:r>
    </w:p>
    <w:p>
      <w:pPr>
        <w:spacing w:after="0" w:line="63"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u w:val="single" w:color="auto"/>
          <w:color w:val="0000FF"/>
        </w:rPr>
        <w:t>Dine Brands Global, Inc. 2016 Stock Incentive Plan SAR Agreement - Employees</w:t>
      </w:r>
    </w:p>
    <w:p>
      <w:pPr>
        <w:spacing w:after="0" w:line="63" w:lineRule="exact"/>
        <w:rPr>
          <w:sz w:val="20"/>
          <w:szCs w:val="20"/>
          <w:color w:val="auto"/>
        </w:rPr>
      </w:pPr>
    </w:p>
    <w:p>
      <w:pPr>
        <w:ind w:left="520"/>
        <w:spacing w:after="0"/>
        <w:tabs>
          <w:tab w:leader="none" w:pos="13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0000FF"/>
        </w:rPr>
        <w:t>Computation of Debt Service Coverage Ratio for the Trailing Twelve Months Ended March 31, 2018 and Leverage Ratio as of March 31,</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u w:val="single" w:color="auto"/>
          <w:color w:val="0000FF"/>
        </w:rPr>
        <w:t>2018.</w:t>
      </w:r>
    </w:p>
    <w:p>
      <w:pPr>
        <w:spacing w:after="0" w:line="49" w:lineRule="exact"/>
        <w:rPr>
          <w:sz w:val="20"/>
          <w:szCs w:val="20"/>
          <w:color w:val="auto"/>
        </w:rPr>
      </w:pPr>
    </w:p>
    <w:p>
      <w:pPr>
        <w:ind w:left="520"/>
        <w:spacing w:after="0"/>
        <w:tabs>
          <w:tab w:leader="none" w:pos="13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Chief Executive Officer pursuant to Rule 13a-14(a) of the Securities Exchange Act of 1934, as amended.</w:t>
      </w:r>
    </w:p>
    <w:p>
      <w:pPr>
        <w:spacing w:after="0" w:line="63" w:lineRule="exact"/>
        <w:rPr>
          <w:sz w:val="20"/>
          <w:szCs w:val="20"/>
          <w:color w:val="auto"/>
        </w:rPr>
      </w:pPr>
    </w:p>
    <w:p>
      <w:pPr>
        <w:ind w:left="520"/>
        <w:spacing w:after="0"/>
        <w:tabs>
          <w:tab w:leader="none" w:pos="13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Certification of Chief Financial Officer pursuant to Rule 13a-14(a) of the Securities Exchange Act of 1934, as amended.</w:t>
      </w:r>
    </w:p>
    <w:p>
      <w:pPr>
        <w:spacing w:after="0" w:line="63" w:lineRule="exact"/>
        <w:rPr>
          <w:sz w:val="20"/>
          <w:szCs w:val="20"/>
          <w:color w:val="auto"/>
        </w:rPr>
      </w:pPr>
    </w:p>
    <w:p>
      <w:pPr>
        <w:ind w:left="1400" w:right="200" w:hanging="877"/>
        <w:spacing w:after="0" w:line="277" w:lineRule="auto"/>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Chief Executive Officer pursuant to 18 U.S.C. Section 1350, as adopted pursuant to Section 906 of the Sarbanes-Oxley Act of 2002.**</w:t>
      </w:r>
    </w:p>
    <w:p>
      <w:pPr>
        <w:spacing w:after="0" w:line="8" w:lineRule="exact"/>
        <w:rPr>
          <w:sz w:val="20"/>
          <w:szCs w:val="20"/>
          <w:color w:val="auto"/>
        </w:rPr>
      </w:pPr>
    </w:p>
    <w:p>
      <w:pPr>
        <w:ind w:left="1400" w:right="240" w:hanging="877"/>
        <w:spacing w:after="0" w:line="277" w:lineRule="auto"/>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of Chief Financial Officer pursuant to 18 U.S.C. Section 1350, as adopted pursuant to Section 906 of the Sarbanes-Oxley Act of 2002.**</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900" w:type="dxa"/>
            <w:vAlign w:val="bottom"/>
          </w:tcPr>
          <w:p>
            <w:pPr>
              <w:jc w:val="right"/>
              <w:ind w:right="150"/>
              <w:spacing w:after="0"/>
              <w:rPr>
                <w:sz w:val="20"/>
                <w:szCs w:val="20"/>
                <w:color w:val="auto"/>
              </w:rPr>
            </w:pPr>
            <w:r>
              <w:rPr>
                <w:rFonts w:ascii="Arial" w:cs="Arial" w:eastAsia="Arial" w:hAnsi="Arial"/>
                <w:sz w:val="18"/>
                <w:szCs w:val="18"/>
                <w:color w:val="auto"/>
                <w:w w:val="98"/>
              </w:rPr>
              <w:t>101.INS</w:t>
            </w:r>
          </w:p>
        </w:tc>
        <w:tc>
          <w:tcPr>
            <w:tcW w:w="3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w w:val="87"/>
              </w:rPr>
              <w:t>101.SCH</w:t>
            </w:r>
          </w:p>
        </w:tc>
        <w:tc>
          <w:tcPr>
            <w:tcW w:w="346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w w:val="91"/>
              </w:rPr>
              <w:t>101.CAL</w:t>
            </w:r>
          </w:p>
        </w:tc>
        <w:tc>
          <w:tcPr>
            <w:tcW w:w="3460" w:type="dxa"/>
            <w:vAlign w:val="bottom"/>
          </w:tcPr>
          <w:p>
            <w:pPr>
              <w:ind w:left="240"/>
              <w:spacing w:after="0"/>
              <w:rPr>
                <w:sz w:val="20"/>
                <w:szCs w:val="20"/>
                <w:color w:val="auto"/>
              </w:rPr>
            </w:pPr>
            <w:r>
              <w:rPr>
                <w:rFonts w:ascii="Arial" w:cs="Arial" w:eastAsia="Arial" w:hAnsi="Arial"/>
                <w:sz w:val="18"/>
                <w:szCs w:val="18"/>
                <w:color w:val="auto"/>
                <w:w w:val="96"/>
              </w:rPr>
              <w:t>XBRL Calculation Linkbase Document.***</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w w:val="90"/>
              </w:rPr>
              <w:t>101.DEF</w:t>
            </w:r>
          </w:p>
        </w:tc>
        <w:tc>
          <w:tcPr>
            <w:tcW w:w="346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w w:val="92"/>
              </w:rPr>
              <w:t>101.LAB</w:t>
            </w:r>
          </w:p>
        </w:tc>
        <w:tc>
          <w:tcPr>
            <w:tcW w:w="346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w w:val="88"/>
              </w:rPr>
              <w:t>101.PRE</w:t>
            </w:r>
          </w:p>
        </w:tc>
        <w:tc>
          <w:tcPr>
            <w:tcW w:w="3460" w:type="dxa"/>
            <w:vAlign w:val="bottom"/>
          </w:tcPr>
          <w:p>
            <w:pPr>
              <w:ind w:left="240"/>
              <w:spacing w:after="0"/>
              <w:rPr>
                <w:sz w:val="20"/>
                <w:szCs w:val="20"/>
                <w:color w:val="auto"/>
              </w:rPr>
            </w:pPr>
            <w:r>
              <w:rPr>
                <w:rFonts w:ascii="Arial" w:cs="Arial" w:eastAsia="Arial" w:hAnsi="Arial"/>
                <w:sz w:val="18"/>
                <w:szCs w:val="18"/>
                <w:color w:val="auto"/>
                <w:w w:val="93"/>
              </w:rPr>
              <w:t>XBRL Presentation Linkbase Document.***</w:t>
            </w: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500" w:right="80" w:hanging="492"/>
        <w:spacing w:after="0" w:line="250"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w:t>
      </w:r>
    </w:p>
    <w:p>
      <w:pPr>
        <w:spacing w:after="0" w:line="32" w:lineRule="exact"/>
        <w:rPr>
          <w:sz w:val="20"/>
          <w:szCs w:val="20"/>
          <w:color w:val="auto"/>
        </w:rPr>
      </w:pPr>
    </w:p>
    <w:p>
      <w:pPr>
        <w:ind w:left="500"/>
        <w:spacing w:after="0" w:line="250" w:lineRule="auto"/>
        <w:rPr>
          <w:sz w:val="20"/>
          <w:szCs w:val="20"/>
          <w:color w:val="auto"/>
        </w:rPr>
      </w:pPr>
      <w:r>
        <w:rPr>
          <w:rFonts w:ascii="Arial" w:cs="Arial" w:eastAsia="Arial" w:hAnsi="Arial"/>
          <w:sz w:val="18"/>
          <w:szCs w:val="18"/>
          <w:color w:val="auto"/>
        </w:rPr>
        <w:t>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contract, compensatory plan or arrangement in which directors or executive officers are eligible to participate.</w:t>
      </w:r>
    </w:p>
    <w:p>
      <w:pPr>
        <w:spacing w:after="0" w:line="9" w:lineRule="exact"/>
        <w:rPr>
          <w:sz w:val="20"/>
          <w:szCs w:val="20"/>
          <w:color w:val="auto"/>
        </w:rPr>
      </w:pPr>
    </w:p>
    <w:p>
      <w:pPr>
        <w:ind w:left="500" w:right="40" w:hanging="492"/>
        <w:spacing w:after="0" w:line="261"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Portions of this exhibit have been omitted pending a determination by the Securities and Exchange Commission as to whether these portions should be granted confidential treatment.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Dine Brands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Global,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900" w:val="left"/>
          <w:tab w:leader="none" w:pos="7540" w:val="left"/>
        </w:tabs>
        <w:rPr>
          <w:sz w:val="20"/>
          <w:szCs w:val="20"/>
          <w:color w:val="auto"/>
        </w:rPr>
      </w:pPr>
      <w:r>
        <w:rPr>
          <w:rFonts w:ascii="Arial" w:cs="Arial" w:eastAsia="Arial" w:hAnsi="Arial"/>
          <w:sz w:val="18"/>
          <w:szCs w:val="18"/>
          <w:color w:val="auto"/>
        </w:rPr>
        <w:t>Dated: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740"/>
        <w:spacing w:after="0"/>
        <w:tabs>
          <w:tab w:leader="none" w:pos="5900" w:val="left"/>
          <w:tab w:leader="none" w:pos="7420" w:val="left"/>
        </w:tabs>
        <w:rPr>
          <w:sz w:val="20"/>
          <w:szCs w:val="20"/>
          <w:color w:val="auto"/>
        </w:rPr>
      </w:pPr>
      <w:r>
        <w:rPr>
          <w:rFonts w:ascii="Arial" w:cs="Arial" w:eastAsia="Arial" w:hAnsi="Arial"/>
          <w:sz w:val="18"/>
          <w:szCs w:val="18"/>
          <w:color w:val="auto"/>
        </w:rPr>
        <w:t>Dated: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Greggory H. Kalvin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Greggory H. Kalvin</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Senior Vice President, Corporate Controller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Accounting Officer)</w:t>
      </w:r>
    </w:p>
    <w:p>
      <w:pPr>
        <w:spacing w:after="0" w:line="2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240" w:top="121" w:right="719" w:bottom="1440" w:gutter="0" w:footer="0" w:header="0"/>
        </w:sectPr>
      </w:pPr>
    </w:p>
    <w:bookmarkStart w:id="36" w:name="page37"/>
    <w:bookmarkEnd w:id="36"/>
    <w:p>
      <w:pPr>
        <w:spacing w:after="0" w:line="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57"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DINE BRANDS GLOBAL, INC.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200" w:lineRule="exact"/>
        <w:rPr>
          <w:sz w:val="20"/>
          <w:szCs w:val="20"/>
          <w:color w:val="auto"/>
        </w:rPr>
      </w:pPr>
    </w:p>
    <w:p>
      <w:pPr>
        <w:spacing w:after="0" w:line="27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20" w:lineRule="exact"/>
        <w:rPr>
          <w:sz w:val="20"/>
          <w:szCs w:val="20"/>
          <w:color w:val="auto"/>
        </w:rPr>
      </w:pPr>
    </w:p>
    <w:p>
      <w:pPr>
        <w:spacing w:after="0" w:line="266" w:lineRule="exact"/>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Purposes</w:t>
      </w:r>
      <w:r>
        <w:rPr>
          <w:rFonts w:ascii="Arial" w:cs="Arial" w:eastAsia="Arial" w:hAnsi="Arial"/>
          <w:sz w:val="19"/>
          <w:szCs w:val="19"/>
          <w:color w:val="auto"/>
        </w:rPr>
        <w:t>. The purposes of the Dine Brands Global, Inc. 2016 Stock Incentive Plan (this “</w:t>
      </w:r>
      <w:r>
        <w:rPr>
          <w:rFonts w:ascii="Arial" w:cs="Arial" w:eastAsia="Arial" w:hAnsi="Arial"/>
          <w:sz w:val="19"/>
          <w:szCs w:val="19"/>
          <w:u w:val="single" w:color="auto"/>
          <w:color w:val="auto"/>
        </w:rPr>
        <w:t>Plan</w:t>
      </w:r>
      <w:r>
        <w:rPr>
          <w:rFonts w:ascii="Arial" w:cs="Arial" w:eastAsia="Arial" w:hAnsi="Arial"/>
          <w:sz w:val="19"/>
          <w:szCs w:val="19"/>
          <w:color w:val="auto"/>
        </w:rPr>
        <w:t>”) are (i) to align the interests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stockholders and the recipients of awards under this Plan by increasing the proprietary interest of such recipients in the Company’s growth and success, (ii) to advance the interests of the Company by attracting and retaining directors, officers and other employees and (iii) to motivate such persons to act in the long</w:t>
      </w:r>
      <w:r>
        <w:rPr>
          <w:rFonts w:ascii="MS PGothic" w:cs="MS PGothic" w:eastAsia="MS PGothic" w:hAnsi="MS PGothic"/>
          <w:sz w:val="19"/>
          <w:szCs w:val="19"/>
          <w:color w:val="auto"/>
        </w:rPr>
        <w:t>‑</w:t>
      </w:r>
      <w:r>
        <w:rPr>
          <w:rFonts w:ascii="Arial" w:cs="Arial" w:eastAsia="Arial" w:hAnsi="Arial"/>
          <w:sz w:val="19"/>
          <w:szCs w:val="19"/>
          <w:color w:val="auto"/>
        </w:rPr>
        <w:t>term best interests of the Company and its stockholders.</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b w:val="1"/>
          <w:bCs w:val="1"/>
          <w:color w:val="auto"/>
        </w:rPr>
        <w:t>.</w:t>
      </w:r>
    </w:p>
    <w:p>
      <w:pPr>
        <w:spacing w:after="0" w:line="233"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written or electronic agreement evidencing an award hereunder between the Company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recipient of such award.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Board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Board of Directors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Code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Internal Revenue Code of 1986, as amended.</w:t>
      </w:r>
    </w:p>
    <w:p>
      <w:pPr>
        <w:spacing w:after="0" w:line="220" w:lineRule="exact"/>
        <w:rPr>
          <w:sz w:val="20"/>
          <w:szCs w:val="20"/>
          <w:color w:val="auto"/>
        </w:rPr>
      </w:pPr>
    </w:p>
    <w:p>
      <w:pPr>
        <w:ind w:right="20" w:firstLine="648"/>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Committee designated by the Board, consisting of two or more members of the Board, each of</w:t>
      </w:r>
      <w:r>
        <w:rPr>
          <w:rFonts w:ascii="Arial" w:cs="Arial" w:eastAsia="Arial" w:hAnsi="Arial"/>
          <w:sz w:val="21"/>
          <w:szCs w:val="21"/>
          <w:b w:val="1"/>
          <w:bCs w:val="1"/>
          <w:color w:val="auto"/>
        </w:rPr>
        <w:t xml:space="preserve"> </w:t>
      </w:r>
      <w:r>
        <w:rPr>
          <w:rFonts w:ascii="Arial" w:cs="Arial" w:eastAsia="Arial" w:hAnsi="Arial"/>
          <w:sz w:val="21"/>
          <w:szCs w:val="21"/>
          <w:color w:val="auto"/>
        </w:rPr>
        <w:t>whom may be (i) a “Non-Employee Director” within the meaning of Rule 16b-3 under the Exchange Act, (ii) an “outside director” within the meaning of Section 162(m) of the Code and (iii) “independent” within the meaning of the rules of the New York Stock Exchange or any other stock exchange on which the Common Stock is then traded.</w:t>
      </w:r>
    </w:p>
    <w:p>
      <w:pPr>
        <w:spacing w:after="0" w:line="168" w:lineRule="exact"/>
        <w:rPr>
          <w:sz w:val="20"/>
          <w:szCs w:val="20"/>
          <w:color w:val="auto"/>
        </w:rPr>
      </w:pPr>
    </w:p>
    <w:p>
      <w:pPr>
        <w:ind w:right="42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common stock, par value $0.01 per share, of the Company, and all rights appurtenant</w:t>
      </w:r>
      <w:r>
        <w:rPr>
          <w:rFonts w:ascii="Arial" w:cs="Arial" w:eastAsia="Arial" w:hAnsi="Arial"/>
          <w:sz w:val="22"/>
          <w:szCs w:val="22"/>
          <w:b w:val="1"/>
          <w:bCs w:val="1"/>
          <w:color w:val="auto"/>
        </w:rPr>
        <w:t xml:space="preserve"> </w:t>
      </w:r>
      <w:r>
        <w:rPr>
          <w:rFonts w:ascii="Arial" w:cs="Arial" w:eastAsia="Arial" w:hAnsi="Arial"/>
          <w:sz w:val="22"/>
          <w:szCs w:val="22"/>
          <w:color w:val="auto"/>
        </w:rPr>
        <w:t>thereto.</w:t>
      </w:r>
    </w:p>
    <w:p>
      <w:pPr>
        <w:spacing w:after="0" w:line="162"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Dine Brands Global, Inc. (formerly, DineEquity, Inc.), a corporation organized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or any successor thereto.</w:t>
      </w:r>
    </w:p>
    <w:p>
      <w:pPr>
        <w:spacing w:after="0" w:line="162" w:lineRule="exact"/>
        <w:rPr>
          <w:sz w:val="20"/>
          <w:szCs w:val="20"/>
          <w:color w:val="auto"/>
        </w:rPr>
      </w:pPr>
    </w:p>
    <w:p>
      <w:pPr>
        <w:ind w:right="20" w:firstLine="648"/>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that a participant, by reason of any medically determinable physical or mental impairment that can</w:t>
      </w:r>
      <w:r>
        <w:rPr>
          <w:rFonts w:ascii="Arial" w:cs="Arial" w:eastAsia="Arial" w:hAnsi="Arial"/>
          <w:sz w:val="22"/>
          <w:szCs w:val="22"/>
          <w:b w:val="1"/>
          <w:bCs w:val="1"/>
          <w:color w:val="auto"/>
        </w:rPr>
        <w:t xml:space="preserve"> </w:t>
      </w:r>
      <w:r>
        <w:rPr>
          <w:rFonts w:ascii="Arial" w:cs="Arial" w:eastAsia="Arial" w:hAnsi="Arial"/>
          <w:sz w:val="22"/>
          <w:szCs w:val="22"/>
          <w:color w:val="auto"/>
        </w:rPr>
        <w:t>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Exchange Act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Securities Exchange Act of 1934, as amended.</w:t>
      </w:r>
    </w:p>
    <w:p>
      <w:pPr>
        <w:spacing w:after="0" w:line="220"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Fair Market Value</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determined by the Committee based on the trading price of a share of Common Stock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reported on the New York Stock Exchange pursuant to any method consistent with the Code, or applicable Treasury Regulations, as the Committee shall in its discretion select and apply at the time of grant, the time of exercise, or other determination event;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Common Stock is not listed on the New York Stock Exchange or if Fair Market Value for any date cannot be so determined, Fair Market Value shall be determined by the Committee in good faith and in accordance with Section 409A of the Code.</w:t>
      </w:r>
    </w:p>
    <w:p>
      <w:pPr>
        <w:spacing w:after="0" w:line="187" w:lineRule="exact"/>
        <w:rPr>
          <w:sz w:val="20"/>
          <w:szCs w:val="20"/>
          <w:color w:val="auto"/>
        </w:rPr>
      </w:pPr>
    </w:p>
    <w:p>
      <w:pPr>
        <w:ind w:right="240" w:firstLine="648"/>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Free-Standing SAR</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 SAR which is not granted in tandem with, or by reference to, an option, which</w:t>
      </w:r>
      <w:r>
        <w:rPr>
          <w:rFonts w:ascii="Arial" w:cs="Arial" w:eastAsia="Arial" w:hAnsi="Arial"/>
          <w:sz w:val="21"/>
          <w:szCs w:val="21"/>
          <w:b w:val="1"/>
          <w:bCs w:val="1"/>
          <w:color w:val="auto"/>
        </w:rPr>
        <w:t xml:space="preserve"> </w:t>
      </w:r>
      <w:r>
        <w:rPr>
          <w:rFonts w:ascii="Arial" w:cs="Arial" w:eastAsia="Arial" w:hAnsi="Arial"/>
          <w:sz w:val="21"/>
          <w:szCs w:val="21"/>
          <w:color w:val="auto"/>
        </w:rPr>
        <w:t>entitles the holder thereof to receive, upon exercise, shares of Common Stock (which may be Restricted Stock) with an aggregate value equal to the excess of the Fair Market Value of one share of Common Stock on the date of exercise over the base price of such SAR, multiplied by the number of such SARs which are exercised.</w:t>
      </w:r>
    </w:p>
    <w:p>
      <w:pPr>
        <w:spacing w:after="0" w:line="168" w:lineRule="exact"/>
        <w:rPr>
          <w:sz w:val="20"/>
          <w:szCs w:val="20"/>
          <w:color w:val="auto"/>
        </w:rPr>
      </w:pPr>
    </w:p>
    <w:p>
      <w:pPr>
        <w:ind w:right="200" w:firstLine="648"/>
        <w:spacing w:after="0" w:line="35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Incentive Stock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 option to purchase shares of Common Stock that meets the requirements of</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422 of the Code, or any successor provision, which is intended by the Committee to constitute an Incentive Stock Option.</w:t>
      </w:r>
    </w:p>
    <w:p>
      <w:pPr>
        <w:spacing w:after="0" w:line="92"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Non-Employee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director of the Company who is not an officer or employee of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Subsidiary.</w:t>
      </w:r>
    </w:p>
    <w:p>
      <w:pPr>
        <w:spacing w:after="0" w:line="162"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Nonqualified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 option to purchase shares of Common Stock which is not an Incentive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Other Stock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 award granted pursuant to Section 3.4 of the Plan.</w:t>
      </w:r>
    </w:p>
    <w:p>
      <w:pPr>
        <w:spacing w:after="0" w:line="220" w:lineRule="exact"/>
        <w:rPr>
          <w:sz w:val="20"/>
          <w:szCs w:val="20"/>
          <w:color w:val="auto"/>
        </w:rPr>
      </w:pPr>
    </w:p>
    <w:p>
      <w:pPr>
        <w:ind w:right="100" w:firstLine="648"/>
        <w:spacing w:after="0" w:line="35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Performance Measures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criteria and objectives, established by the Committee, which shall be satisfied or</w:t>
      </w:r>
      <w:r>
        <w:rPr>
          <w:rFonts w:ascii="Arial" w:cs="Arial" w:eastAsia="Arial" w:hAnsi="Arial"/>
          <w:sz w:val="19"/>
          <w:szCs w:val="19"/>
          <w:b w:val="1"/>
          <w:bCs w:val="1"/>
          <w:color w:val="auto"/>
        </w:rPr>
        <w:t xml:space="preserve"> </w:t>
      </w:r>
      <w:r>
        <w:rPr>
          <w:rFonts w:ascii="Arial" w:cs="Arial" w:eastAsia="Arial" w:hAnsi="Arial"/>
          <w:sz w:val="19"/>
          <w:szCs w:val="19"/>
          <w:color w:val="auto"/>
        </w:rPr>
        <w:t>met (i) as a condition to the grant or exercisability of all or a portion of an option or SAR or (ii) during the applicable Restriction</w:t>
      </w:r>
    </w:p>
    <w:p>
      <w:pPr>
        <w:sectPr>
          <w:pgSz w:w="11900" w:h="16899" w:orient="portrait"/>
          <w:cols w:equalWidth="0" w:num="1">
            <w:col w:w="11420"/>
          </w:cols>
          <w:pgMar w:left="240" w:top="132" w:right="239" w:bottom="0" w:gutter="0" w:footer="0" w:header="0"/>
        </w:sectPr>
      </w:pPr>
    </w:p>
    <w:bookmarkStart w:id="37" w:name="page38"/>
    <w:bookmarkEnd w:id="37"/>
    <w:p>
      <w:pPr>
        <w:spacing w:after="0" w:line="95"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color w:val="auto"/>
        </w:rPr>
        <w:t xml:space="preserve">Period or Performance Period as a condition to the vesting of the holder’s interest, in the case of a Restricted Stock Award, of the shares of Common Stock subject to such award, or, in the case of a Restricted Stock Unit Award, Other Award or Performance Award, to the holder’s receipt of the shares of Common Stock subject to such award or of payment with respect to such award. To the extent necessary for an award to be qualified performance-based compensation under Section 162(m) of the Code and the regulations thereunder, such criteria and objectives shall include one or more of the following corporate-wide or subsidiary, division, line of business, project or geographic measures: the attainment by a share of Common Stock of a specified Fair Market Value for a specified period of time, earnings per share, return to stockholders (including dividends), return on assets, return on equity, earnings of the Company before or after taxes and/or interest, EBITDA, revenues, market share, cash flow or cost reduction goals, interest expense after taxes, return on investment, return on investment capital, economic value created, gross margin, operating margin, net income before or after taxes, pretax earnings before interest, depreciation and amortization, pretax operating earnings after interest expense and before incentives and/or extraordinary or special items, operating earnings, net cash provided by operations, and strategic business criteria, consisting of one or more objectives based on meeting specified market penetration, geographic business expansion goals, cost targets, customer satisfaction, reductions in errors and omissions, reductions in lost business, management of employment practices and employee benefits, supervision of litigation and information technology, quality and quality audit scores, and goals relating to acquisitions or divestitures, or any combination of the foregoing. Each such goal may be expressed on an absolute or relative basis and may include comparisons based on current internal targets, the past performance of the Company (including the performance of one or more subsidiaries, divisions, or operating units) or the past or current performance of other companies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The applicable performance measures may be applied on a pre- or post-tax basis and may be adjusted in accordance with Section 162(m) of the Code to include or exclude objectively determinable components of any performance measure, including, without limitation, special charges such as restructuring or impairment charges, debt refinancing costs, extraordinary or noncash items, unusual, nonrecurring or one-time events affecting the Company or its financial statements or changes in law or accounting principles (“Adjustment Events”). In the sole discretion of the Committee, unless such action would cause a grant to a covered employee to fail to qualify as qualified performance-based compensation under Section 162(m) of the Code, the Committee may amend or adjust the Performance Measures or other terms and conditions of an outstanding award in recognition of any Adjustment Events. With respect to participants who are not “covered employees” within the meaning of Section 162(m) of the Code and who, in the Committee’s judgment, are not likely to be covered employees at any time during the applicable performance period or during any period in which an award may be paid following a performance period, the performance goals may consist of any objective or subjective corporate-wide or subsidiary, division, operating unit or individual measures, whether or not listed herein. Performance goals shall be subject to such other special rules and conditions as the Committee may establish at any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such goals relate to awards to “covered employees” within the meaning of Section 162(m) of the Code, such special rules and conditions shall not be inconsistent with the provisions of Treasury regulation Section 1.162-27(e) or any successor regulation describing “qualified performance-based compensation.”</w:t>
      </w:r>
    </w:p>
    <w:p>
      <w:pPr>
        <w:spacing w:after="0" w:line="200" w:lineRule="exact"/>
        <w:rPr>
          <w:sz w:val="20"/>
          <w:szCs w:val="20"/>
          <w:color w:val="auto"/>
        </w:rPr>
      </w:pPr>
    </w:p>
    <w:p>
      <w:pPr>
        <w:spacing w:after="0" w:line="232"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Performance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 Incentive Stock Option or Nonqualified Stock Option, the grant of which or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exercisability of all or a portion of which is contingent upon the attainment of specified Performance Measures within a specified Performance Period.</w:t>
      </w:r>
    </w:p>
    <w:p>
      <w:pPr>
        <w:spacing w:after="0" w:line="176" w:lineRule="exact"/>
        <w:rPr>
          <w:sz w:val="20"/>
          <w:szCs w:val="20"/>
          <w:color w:val="auto"/>
        </w:rPr>
      </w:pPr>
    </w:p>
    <w:p>
      <w:pPr>
        <w:ind w:right="320" w:firstLine="648"/>
        <w:spacing w:after="0" w:line="35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Performance Period</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period designated by the Committee during which (i) the Performance Measures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to an award shall be measured and (ii) the conditions to vesting applicable to an award shall remain in effect.</w:t>
      </w:r>
    </w:p>
    <w:p>
      <w:pPr>
        <w:spacing w:after="0" w:line="92" w:lineRule="exact"/>
        <w:rPr>
          <w:sz w:val="20"/>
          <w:szCs w:val="20"/>
          <w:color w:val="auto"/>
        </w:rPr>
      </w:pPr>
    </w:p>
    <w:p>
      <w:pPr>
        <w:ind w:right="780" w:firstLine="648"/>
        <w:spacing w:after="0" w:line="35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Performance Award</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 right to receive an amount of cash, Common Stock, or a combination of both,</w:t>
      </w:r>
      <w:r>
        <w:rPr>
          <w:rFonts w:ascii="Arial" w:cs="Arial" w:eastAsia="Arial" w:hAnsi="Arial"/>
          <w:sz w:val="19"/>
          <w:szCs w:val="19"/>
          <w:b w:val="1"/>
          <w:bCs w:val="1"/>
          <w:color w:val="auto"/>
        </w:rPr>
        <w:t xml:space="preserve"> </w:t>
      </w:r>
      <w:r>
        <w:rPr>
          <w:rFonts w:ascii="Arial" w:cs="Arial" w:eastAsia="Arial" w:hAnsi="Arial"/>
          <w:sz w:val="19"/>
          <w:szCs w:val="19"/>
          <w:color w:val="auto"/>
        </w:rPr>
        <w:t>contingent upon the attainment of specified Performance Measures within a specified Performance Period.</w:t>
      </w:r>
    </w:p>
    <w:p>
      <w:pPr>
        <w:spacing w:after="0" w:line="92" w:lineRule="exact"/>
        <w:rPr>
          <w:sz w:val="20"/>
          <w:szCs w:val="20"/>
          <w:color w:val="auto"/>
        </w:rPr>
      </w:pPr>
    </w:p>
    <w:p>
      <w:pPr>
        <w:ind w:firstLine="648"/>
        <w:spacing w:after="0" w:line="31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Prior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IHOP Corp. 2001 Stock Incentive Plan, as amended and restated, the DineEquity, Inc.</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2005 Stock Incentive Plan for Non-Employee Directors, the DineEquity, Inc. 2011 Stock Incentive Plan and each other equity plan maintained by the Company under which awards are outstanding as of the effective date of this Plan.</w:t>
      </w:r>
    </w:p>
    <w:p>
      <w:pPr>
        <w:spacing w:after="0" w:line="126" w:lineRule="exact"/>
        <w:rPr>
          <w:sz w:val="20"/>
          <w:szCs w:val="20"/>
          <w:color w:val="auto"/>
        </w:rPr>
      </w:pPr>
    </w:p>
    <w:p>
      <w:pPr>
        <w:ind w:right="620" w:firstLine="648"/>
        <w:spacing w:after="0" w:line="35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shares of Common Stock which are subject to a Restriction Period and which may, in</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 thereto, be subject to the attainment of specified Performance Measures within a specified Performance Period.</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Restricted Stock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 award of Restricted Stock under this Plan.</w:t>
      </w:r>
    </w:p>
    <w:p>
      <w:pPr>
        <w:spacing w:after="0" w:line="220" w:lineRule="exact"/>
        <w:rPr>
          <w:sz w:val="20"/>
          <w:szCs w:val="20"/>
          <w:color w:val="auto"/>
        </w:rPr>
      </w:pPr>
    </w:p>
    <w:p>
      <w:pPr>
        <w:jc w:val="both"/>
        <w:ind w:right="200" w:firstLine="648"/>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 right to receive one share of Common Stock or, in lieu thereof and to the extent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the applicable 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Restricted Stock Unit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 award of Restricted Stock Units under this Plan.</w:t>
      </w:r>
    </w:p>
    <w:p>
      <w:pPr>
        <w:spacing w:after="0" w:line="220" w:lineRule="exact"/>
        <w:rPr>
          <w:sz w:val="20"/>
          <w:szCs w:val="20"/>
          <w:color w:val="auto"/>
        </w:rPr>
      </w:pPr>
    </w:p>
    <w:p>
      <w:pPr>
        <w:ind w:right="100" w:firstLine="648"/>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Restriction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period designated by the Committee during which (i) the Common Stock subject to a</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Award may not be sold, transferred, assigned, pledged, hypothecated or otherwise encumbered or disposed of, except as provided in this Plan or the Agreement relating to such award, or (ii) the conditions to vesting applicable to a Restricted Stock Unit Award or Other Award shall remain in effect.</w:t>
      </w:r>
    </w:p>
    <w:p>
      <w:pPr>
        <w:sectPr>
          <w:pgSz w:w="11900" w:h="16933" w:orient="portrait"/>
          <w:cols w:equalWidth="0" w:num="1">
            <w:col w:w="11420"/>
          </w:cols>
          <w:pgMar w:left="240" w:top="132" w:right="239" w:bottom="0" w:gutter="0" w:footer="0" w:header="0"/>
        </w:sectPr>
      </w:pPr>
    </w:p>
    <w:bookmarkStart w:id="38" w:name="page39"/>
    <w:bookmarkEnd w:id="38"/>
    <w:p>
      <w:pPr>
        <w:spacing w:after="0" w:line="90"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(i) in the case of an employee, a termination of employment with the Company (A) with</w:t>
      </w:r>
      <w:r>
        <w:rPr>
          <w:rFonts w:ascii="Arial" w:cs="Arial" w:eastAsia="Arial" w:hAnsi="Arial"/>
          <w:sz w:val="22"/>
          <w:szCs w:val="22"/>
          <w:b w:val="1"/>
          <w:bCs w:val="1"/>
          <w:color w:val="auto"/>
        </w:rPr>
        <w:t xml:space="preserve"> </w:t>
      </w:r>
      <w:r>
        <w:rPr>
          <w:rFonts w:ascii="Arial" w:cs="Arial" w:eastAsia="Arial" w:hAnsi="Arial"/>
          <w:sz w:val="22"/>
          <w:szCs w:val="22"/>
          <w:color w:val="auto"/>
        </w:rPr>
        <w:t>combined age and years of service with the Company equal to or greater than 70 or (B) that is otherwise characterized as a Retirement with the written consent of the Committee in its sole discretion, and (ii) in the case of a Non-Employee Director, the Non-Employee Director’s departure or termination from the Board for any reason other than cause, as determined by the Committee, provided that such Non-Employee Director has served at least five (5) years as a member of the Board. The decision of the Committee shall be final and conclusive.</w:t>
      </w:r>
    </w:p>
    <w:p>
      <w:pPr>
        <w:spacing w:after="0" w:line="187"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SAR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 stock appreciation right which may be a Free</w:t>
      </w:r>
      <w:r>
        <w:rPr>
          <w:rFonts w:ascii="MS PGothic" w:cs="MS PGothic" w:eastAsia="MS PGothic" w:hAnsi="MS PGothic"/>
          <w:sz w:val="22"/>
          <w:szCs w:val="22"/>
          <w:color w:val="auto"/>
        </w:rPr>
        <w:t>‑</w:t>
      </w:r>
      <w:r>
        <w:rPr>
          <w:rFonts w:ascii="Arial" w:cs="Arial" w:eastAsia="Arial" w:hAnsi="Arial"/>
          <w:sz w:val="22"/>
          <w:szCs w:val="22"/>
          <w:color w:val="auto"/>
        </w:rPr>
        <w:t>Standing SAR or a Tandem SAR.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Stock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 Restricted Stock Award, a Restricted Stock Unit Award or an Other Award.</w:t>
      </w:r>
    </w:p>
    <w:p>
      <w:pPr>
        <w:spacing w:after="0" w:line="220"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Subsidiary</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corporation, limited liability company, partnership, joint venture or similar entity in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owns, directly or indirectly, an equity interest possessing more than 50% of the combined voting power of the total outstanding equity interests of such entity.</w:t>
      </w:r>
    </w:p>
    <w:p>
      <w:pPr>
        <w:spacing w:after="0" w:line="17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Tandem SAR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 SAR which is granted in tandem with, or by reference to, an option (including a</w:t>
      </w:r>
      <w:r>
        <w:rPr>
          <w:rFonts w:ascii="Arial" w:cs="Arial" w:eastAsia="Arial" w:hAnsi="Arial"/>
          <w:sz w:val="22"/>
          <w:szCs w:val="22"/>
          <w:b w:val="1"/>
          <w:bCs w:val="1"/>
          <w:color w:val="auto"/>
        </w:rPr>
        <w:t xml:space="preserve"> </w:t>
      </w:r>
      <w:r>
        <w:rPr>
          <w:rFonts w:ascii="Arial" w:cs="Arial" w:eastAsia="Arial" w:hAnsi="Arial"/>
          <w:sz w:val="22"/>
          <w:szCs w:val="22"/>
          <w:color w:val="auto"/>
        </w:rPr>
        <w:t>Nonqualified Stock Option granted prior to the date of grant of the SAR), which entitles the holder thereof to receive, upon exercise of such SAR and surrender or cancellation of all or a portion of such option, shares of Common Stock (which may be Restricted Stock)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Tax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5.5.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Ten Percent Holder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2.1(a).</w:t>
      </w:r>
    </w:p>
    <w:p>
      <w:pPr>
        <w:spacing w:after="0" w:line="220" w:lineRule="exact"/>
        <w:rPr>
          <w:sz w:val="20"/>
          <w:szCs w:val="20"/>
          <w:color w:val="auto"/>
        </w:rPr>
      </w:pPr>
    </w:p>
    <w:p>
      <w:pPr>
        <w:ind w:right="20"/>
        <w:spacing w:after="0" w:line="259" w:lineRule="exact"/>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This Plan shall be administered by the Committee. Any one or a combination of the following awards may</w:t>
      </w:r>
      <w:r>
        <w:rPr>
          <w:rFonts w:ascii="Arial" w:cs="Arial" w:eastAsia="Arial" w:hAnsi="Arial"/>
          <w:sz w:val="19"/>
          <w:szCs w:val="19"/>
          <w:b w:val="1"/>
          <w:bCs w:val="1"/>
          <w:color w:val="auto"/>
        </w:rPr>
        <w:t xml:space="preserve"> </w:t>
      </w:r>
      <w:r>
        <w:rPr>
          <w:rFonts w:ascii="Arial" w:cs="Arial" w:eastAsia="Arial" w:hAnsi="Arial"/>
          <w:sz w:val="19"/>
          <w:szCs w:val="19"/>
          <w:color w:val="auto"/>
        </w:rPr>
        <w:t>be made under this Plan to eligible persons: (i) options to purchase shares of Common Stock in the form of Incentive Stock Options or Nonqualified Stock Options (which may include Performance Options), (ii) SARs in the form of Tandem SARs or Free</w:t>
      </w:r>
      <w:r>
        <w:rPr>
          <w:rFonts w:ascii="MS PGothic" w:cs="MS PGothic" w:eastAsia="MS PGothic" w:hAnsi="MS PGothic"/>
          <w:sz w:val="19"/>
          <w:szCs w:val="19"/>
          <w:color w:val="auto"/>
        </w:rPr>
        <w:t>‑</w:t>
      </w:r>
      <w:r>
        <w:rPr>
          <w:rFonts w:ascii="Arial" w:cs="Arial" w:eastAsia="Arial" w:hAnsi="Arial"/>
          <w:sz w:val="19"/>
          <w:szCs w:val="19"/>
          <w:color w:val="auto"/>
        </w:rPr>
        <w:t>Standing SARs, (iii) Stock Awards in the form of Restricted Stock, Restricted Stock Units or Other Awards and (iv) Performance Awards. The Committee shall, subject to the terms of this Plan, select eligible persons for participation in this Plan and determine the form, amount and timing of each award to such persons and, if applicable, the number of shares of Common Stock, the dollar value subject to a Performance Award, the exercise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204"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 xml:space="preserve">The Committee may delegate some or all of its power and authority hereunder to the Board (or any members thereof) or, subject to applicable law, to the Chief Executive Officer or other executive officer of the Company as the Committee deems appropriate;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Committee may not delegate its power and authority to the Board (or any members thereof) or the Chief Executive Officer or other executive officer of the Company with regard to the grant of an award to any person who is a “covered employee” within the meaning of Section 162(m) of the Code or who, in the Committee’s judgment, is likely to be a covered employee at any time during the period an award hereunder to such employee would be outstanding and (ii) the Committee may not delegate its power and authority to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58" w:lineRule="exact"/>
        <w:rPr>
          <w:sz w:val="20"/>
          <w:szCs w:val="20"/>
          <w:color w:val="auto"/>
        </w:rPr>
      </w:pPr>
    </w:p>
    <w:p>
      <w:pPr>
        <w:ind w:right="100" w:firstLine="648"/>
        <w:spacing w:after="0" w:line="292" w:lineRule="auto"/>
        <w:rPr>
          <w:sz w:val="20"/>
          <w:szCs w:val="20"/>
          <w:color w:val="auto"/>
        </w:rPr>
      </w:pPr>
      <w:r>
        <w:rPr>
          <w:rFonts w:ascii="Arial" w:cs="Arial" w:eastAsia="Arial" w:hAnsi="Arial"/>
          <w:sz w:val="19"/>
          <w:szCs w:val="19"/>
          <w:color w:val="auto"/>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spacing w:after="0" w:line="145" w:lineRule="exact"/>
        <w:rPr>
          <w:sz w:val="20"/>
          <w:szCs w:val="20"/>
          <w:color w:val="auto"/>
        </w:rPr>
      </w:pPr>
    </w:p>
    <w:p>
      <w:pPr>
        <w:ind w:right="120"/>
        <w:spacing w:after="0" w:line="309"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b w:val="1"/>
          <w:bCs w:val="1"/>
          <w:u w:val="single" w:color="auto"/>
          <w:color w:val="auto"/>
        </w:rPr>
        <w:t>Eligibility</w:t>
      </w:r>
      <w:r>
        <w:rPr>
          <w:rFonts w:ascii="Arial" w:cs="Arial" w:eastAsia="Arial" w:hAnsi="Arial"/>
          <w:sz w:val="19"/>
          <w:szCs w:val="19"/>
          <w:color w:val="auto"/>
        </w:rPr>
        <w:t>. Participants in this Plan shall consist of such officers, other employees, nonemployee directors,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contractors, and persons expected to become officers, other employees, nonemployee directors and independent contractors of the Company and its Subsidiaries as the Committee in its sole discretion may select from time to time. The Committee’s selection of a person to participate in this Plan at any time shall not require the Committee to select such person to participate in this Plan at any</w:t>
      </w:r>
    </w:p>
    <w:p>
      <w:pPr>
        <w:sectPr>
          <w:pgSz w:w="11900" w:h="16928" w:orient="portrait"/>
          <w:cols w:equalWidth="0" w:num="1">
            <w:col w:w="11420"/>
          </w:cols>
          <w:pgMar w:left="240" w:top="342" w:right="239" w:bottom="0" w:gutter="0" w:footer="0" w:header="0"/>
        </w:sectPr>
      </w:pPr>
    </w:p>
    <w:bookmarkStart w:id="39" w:name="page40"/>
    <w:bookmarkEnd w:id="39"/>
    <w:p>
      <w:pPr>
        <w:ind w:right="20"/>
        <w:spacing w:after="0" w:line="312" w:lineRule="auto"/>
        <w:rPr>
          <w:sz w:val="20"/>
          <w:szCs w:val="20"/>
          <w:color w:val="auto"/>
        </w:rPr>
      </w:pPr>
      <w:r>
        <w:rPr>
          <w:rFonts w:ascii="Arial" w:cs="Arial" w:eastAsia="Arial" w:hAnsi="Arial"/>
          <w:sz w:val="19"/>
          <w:szCs w:val="19"/>
          <w:color w:val="auto"/>
        </w:rPr>
        <w:t>other time. For purposes of this Plan, references to employment by the Company shall also mean employment by a Subsidiary, and references to employment shall include service as a nonemployee director or independent contractor. The Committee shall determine in its sole discretion the extent to which a participant shall be considered employed during an approved leave of absence.</w:t>
      </w:r>
    </w:p>
    <w:p>
      <w:pPr>
        <w:spacing w:after="0" w:line="128" w:lineRule="exact"/>
        <w:rPr>
          <w:sz w:val="20"/>
          <w:szCs w:val="20"/>
          <w:color w:val="auto"/>
        </w:rPr>
      </w:pPr>
    </w:p>
    <w:p>
      <w:pPr>
        <w:spacing w:after="0" w:line="263" w:lineRule="auto"/>
        <w:rPr>
          <w:sz w:val="20"/>
          <w:szCs w:val="20"/>
          <w:color w:val="auto"/>
        </w:rPr>
      </w:pPr>
      <w:r>
        <w:rPr>
          <w:rFonts w:ascii="Arial" w:cs="Arial" w:eastAsia="Arial" w:hAnsi="Arial"/>
          <w:sz w:val="21"/>
          <w:szCs w:val="21"/>
          <w:b w:val="1"/>
          <w:bCs w:val="1"/>
          <w:color w:val="auto"/>
        </w:rPr>
        <w:t xml:space="preserve">1.5 </w:t>
      </w:r>
      <w:r>
        <w:rPr>
          <w:rFonts w:ascii="Arial" w:cs="Arial" w:eastAsia="Arial" w:hAnsi="Arial"/>
          <w:sz w:val="21"/>
          <w:szCs w:val="21"/>
          <w:b w:val="1"/>
          <w:bCs w:val="1"/>
          <w:u w:val="single" w:color="auto"/>
          <w:color w:val="auto"/>
        </w:rPr>
        <w:t>Shares Available</w:t>
      </w:r>
      <w:r>
        <w:rPr>
          <w:rFonts w:ascii="Arial" w:cs="Arial" w:eastAsia="Arial" w:hAnsi="Arial"/>
          <w:sz w:val="21"/>
          <w:szCs w:val="21"/>
          <w:color w:val="auto"/>
        </w:rPr>
        <w:t>. Subject to adjustment as provided in Section 5.7 and to all other limits set forth in this 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3,750,000 shares of Common Stock shall initially be available for all awards under this Plan. To the extent the Company grants an option or a Free-Standing SAR under the Plan, the number of shares of Common Stock that remain available for future grants under the Plan shall be reduced by an amount equal to the number of shares subject to such option or Free-Standing SAR. To the extent the Company grants a Stock Award or settles a Performance Award in shares of Common Stock, the number of shares of Common Stock that remain available for future grants under the Plan shall be reduced by an amount equal to 3.78 times the number of shares subject to such Stock Award or Performance Award.</w:t>
      </w:r>
    </w:p>
    <w:p>
      <w:pPr>
        <w:spacing w:after="0" w:line="179"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 xml:space="preserve">To the extent that shares of Common Stock subject to an outstanding option, SAR or stock award granted under the Plan or a Prior Plan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shares of Common Stock subject to an award under this Plan or a Prior Plan shall not again be available for issuance under this Plan if such shares are (x) shares that were subject to an option or an SAR and were not issued or delivered upon the net settlement or net exercise of such option or SAR, (y) shares delivered to or withheld by the Company to pay the exercise price or the withholding taxes related to an outstanding award or (z) shares repurchased by the Company on the open market with the proceeds of an option exercise. The number of shares that again become available pursuant to this paragraph shall be equal to (i) one share for each share subject to an option or Free-Standing SAR described herein and (ii) 3.78 shares for each share subject to a Stock Award or a Performance Award described herein. At the time this Plan becomes effective, none of the shares of Common Stock available for future grant under the Prior Plans shall be available for grant under such Prior Plans or this Plan.</w:t>
      </w:r>
    </w:p>
    <w:p>
      <w:pPr>
        <w:spacing w:after="0" w:line="167"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18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To the extent necessary for an award to be qualified performance-based compensation under Section 162(m) of the Code and the regulations thereunder (i) the maximum number of shares of Common Stock with respect to which options or SARs or a combination thereof may be granted during any fiscal year of the Company to any person shall be 400,000, subject to adjustment as provided in Section 5.7; (ii) the maximum number of shares of Common Stock with respect to which Stock Awards subject to Performance Measures may be granted during any fiscal year of the Company to any person shall be 200,000, subject to adjustment as provided in Section 5.7, and (iii) the maximum amount that may be payable with respect to Performance Awards granted during any fiscal year of the Company to any person shall be $5,000,000.</w:t>
      </w:r>
    </w:p>
    <w:p>
      <w:pPr>
        <w:spacing w:after="0" w:line="151"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 xml:space="preserve">The aggregate grant date fair value of shares of Common Stock that may be granted during any fiscal year of the Company to any Non-Employee Director shall not exceed $250,000;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 the limit set forth in this sentence shall be multiplied by two in the year in which a Non-Employee Director commences service on the Board and (ii) the limit set forth in this sentence shall not apply to awards made pursuant to an election to receive the award in lieu of all or a portion of fees received for service on the Board or any committee thereunder.</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b w:val="1"/>
          <w:bCs w:val="1"/>
          <w:u w:val="single" w:color="auto"/>
          <w:color w:val="auto"/>
        </w:rPr>
        <w:t>Minimum Vesting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No award granted under the Plan shall become exercisable or vested prior to the one-year</w:t>
      </w:r>
      <w:r>
        <w:rPr>
          <w:rFonts w:ascii="Arial" w:cs="Arial" w:eastAsia="Arial" w:hAnsi="Arial"/>
          <w:sz w:val="22"/>
          <w:szCs w:val="22"/>
          <w:b w:val="1"/>
          <w:bCs w:val="1"/>
          <w:color w:val="auto"/>
        </w:rPr>
        <w:t xml:space="preserve"> </w:t>
      </w:r>
      <w:r>
        <w:rPr>
          <w:rFonts w:ascii="Arial" w:cs="Arial" w:eastAsia="Arial" w:hAnsi="Arial"/>
          <w:sz w:val="22"/>
          <w:szCs w:val="22"/>
          <w:color w:val="auto"/>
        </w:rPr>
        <w:t>anniversary of the date of grant; provided, however, that, such restriction shall not apply to awards granted under this Plan with respect to the number of shares of Common Stock which, in the aggregate, does not exceed five percent (5%) of the total number of shares initially available for awards under this Plan. This Section 1.6 shall not restrict the right of the Committee to accelerate or continue the vesting or exercisability of an award upon or after a Change in Control or termination of employment or otherwise pursuant to Section 1.3 of the Plan.</w:t>
      </w:r>
    </w:p>
    <w:p>
      <w:pPr>
        <w:spacing w:after="0" w:line="18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STOCK OPTIONS AND STOCK APPRECIATION RIGHTS</w:t>
      </w:r>
    </w:p>
    <w:p>
      <w:pPr>
        <w:spacing w:after="0" w:line="220" w:lineRule="exact"/>
        <w:rPr>
          <w:sz w:val="20"/>
          <w:szCs w:val="20"/>
          <w:color w:val="auto"/>
        </w:rPr>
      </w:pPr>
    </w:p>
    <w:p>
      <w:pPr>
        <w:ind w:right="300"/>
        <w:spacing w:after="0" w:line="298"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u w:val="single" w:color="auto"/>
          <w:color w:val="auto"/>
        </w:rPr>
        <w:t>Stock Options</w:t>
      </w:r>
      <w:r>
        <w:rPr>
          <w:rFonts w:ascii="Arial" w:cs="Arial" w:eastAsia="Arial" w:hAnsi="Arial"/>
          <w:sz w:val="19"/>
          <w:szCs w:val="19"/>
          <w:color w:val="auto"/>
        </w:rPr>
        <w:t>. The Committee may, in its discretion, grant options to purchase shares of Common Stock to such eligible</w:t>
      </w:r>
      <w:r>
        <w:rPr>
          <w:rFonts w:ascii="Arial" w:cs="Arial" w:eastAsia="Arial" w:hAnsi="Arial"/>
          <w:sz w:val="19"/>
          <w:szCs w:val="19"/>
          <w:b w:val="1"/>
          <w:bCs w:val="1"/>
          <w:color w:val="auto"/>
        </w:rPr>
        <w:t xml:space="preserve"> </w:t>
      </w:r>
      <w:r>
        <w:rPr>
          <w:rFonts w:ascii="Arial" w:cs="Arial" w:eastAsia="Arial" w:hAnsi="Arial"/>
          <w:sz w:val="19"/>
          <w:szCs w:val="19"/>
          <w:color w:val="auto"/>
        </w:rPr>
        <w:t>persons as may be selected by the Committee. Each option, or portion thereof, that is not an Incentive Stock Option, shall be a Nonqualified Stock Option. To the extent that the aggregate Fair Market Value (determined as of the date of grant) of shares of Common Stock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such options shall constitute Nonqualified Stock Options.</w:t>
      </w:r>
    </w:p>
    <w:p>
      <w:pPr>
        <w:spacing w:after="0" w:line="147"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Options may be granted in addition to, or in lieu of, any other compensation payable to officers, other employees, directors, and independent contractors, and in all cases shall be subject to the following terms and conditions and shall contain such additional terms and conditions, not inconsistent with the terms of this Plan, as the Committee shall deem advisable:</w:t>
      </w:r>
    </w:p>
    <w:p>
      <w:pPr>
        <w:sectPr>
          <w:pgSz w:w="11900" w:h="16838" w:orient="portrait"/>
          <w:cols w:equalWidth="0" w:num="1">
            <w:col w:w="11400"/>
          </w:cols>
          <w:pgMar w:left="240" w:top="132" w:right="259" w:bottom="218" w:gutter="0" w:footer="0" w:header="0"/>
        </w:sectPr>
      </w:pPr>
    </w:p>
    <w:bookmarkStart w:id="40" w:name="page41"/>
    <w:bookmarkEnd w:id="40"/>
    <w:p>
      <w:pPr>
        <w:ind w:right="20" w:firstLine="656"/>
        <w:spacing w:after="0" w:line="292" w:lineRule="auto"/>
        <w:tabs>
          <w:tab w:leader="none" w:pos="1068"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Number of Shares and Purchase Price</w:t>
      </w:r>
      <w:r>
        <w:rPr>
          <w:rFonts w:ascii="Arial" w:cs="Arial" w:eastAsia="Arial" w:hAnsi="Arial"/>
          <w:sz w:val="19"/>
          <w:szCs w:val="19"/>
          <w:color w:val="auto"/>
        </w:rPr>
        <w:t xml:space="preserve">. The number of shares of Common Stock subject to an option and the purchase price per share of Common Stock purchasable upon exercise of the option shall be determined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purchase price per share of Common Stock purchasable upon exercise of a Nonqualified Stock Option or an Incentive Stock Option shall not be less than 100% of the Fair Market Value of a share of Common Stock on the date of grant of such option;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Arial" w:cs="Arial" w:eastAsia="Arial" w:hAnsi="Arial"/>
          <w:sz w:val="19"/>
          <w:szCs w:val="19"/>
          <w:u w:val="single" w:color="auto"/>
          <w:color w:val="auto"/>
        </w:rPr>
        <w:t>Ten Percent Holder</w:t>
      </w:r>
      <w:r>
        <w:rPr>
          <w:rFonts w:ascii="Arial" w:cs="Arial" w:eastAsia="Arial" w:hAnsi="Arial"/>
          <w:sz w:val="19"/>
          <w:szCs w:val="19"/>
          <w:color w:val="auto"/>
        </w:rPr>
        <w:t>”), the purchase price per share of Common Stock shall not be less than the price (currently 110% of Fair Market Value) required by the Code in order to constitute an Incentive Stock Option.</w:t>
      </w:r>
    </w:p>
    <w:p>
      <w:pPr>
        <w:spacing w:after="0" w:line="155" w:lineRule="exact"/>
        <w:rPr>
          <w:rFonts w:ascii="Arial" w:cs="Arial" w:eastAsia="Arial" w:hAnsi="Arial"/>
          <w:sz w:val="19"/>
          <w:szCs w:val="19"/>
          <w:color w:val="auto"/>
        </w:rPr>
      </w:pPr>
    </w:p>
    <w:p>
      <w:pPr>
        <w:ind w:right="60" w:firstLine="656"/>
        <w:spacing w:after="0" w:line="292" w:lineRule="auto"/>
        <w:tabs>
          <w:tab w:leader="none" w:pos="108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Option Period and Exercisability</w:t>
      </w:r>
      <w:r>
        <w:rPr>
          <w:rFonts w:ascii="Arial" w:cs="Arial" w:eastAsia="Arial" w:hAnsi="Arial"/>
          <w:sz w:val="19"/>
          <w:szCs w:val="19"/>
          <w:color w:val="auto"/>
        </w:rPr>
        <w:t xml:space="preserve">. The period during which an option may be exercised shall be determined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option shall be exercised later than 10 years after its date of grant;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 Incentive Stock Option shall be granted to a Ten Percent Holder, such option shall not be exercised later than five years after its date of grant. The Committee may, in its discretion, determine that an option is to be granted as a Performance Option and may establish an applicable Performance Period and Performance Measures which shall be satisfied or met as a condition to the grant of such option or to the exercisability of all or a portion of such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155" w:lineRule="exact"/>
        <w:rPr>
          <w:rFonts w:ascii="Arial" w:cs="Arial" w:eastAsia="Arial" w:hAnsi="Arial"/>
          <w:sz w:val="19"/>
          <w:szCs w:val="19"/>
          <w:color w:val="auto"/>
        </w:rPr>
      </w:pPr>
    </w:p>
    <w:p>
      <w:pPr>
        <w:ind w:right="20" w:firstLine="656"/>
        <w:spacing w:after="0" w:line="287" w:lineRule="auto"/>
        <w:tabs>
          <w:tab w:leader="none" w:pos="1068"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An option may be exercised (i) by giving written notice to the Company specifying the number of whole shares of 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optionee. No shares of Common Stock shall be issued and no certificate representing Common Stock shall be delivered until the full purchase price therefor and any withholding taxes thereon, as described in Section 5.5, have been paid (or arrangement made for such payment to the Company’s satisfaction).</w:t>
      </w:r>
    </w:p>
    <w:p>
      <w:pPr>
        <w:spacing w:after="0" w:line="158" w:lineRule="exact"/>
        <w:rPr>
          <w:sz w:val="20"/>
          <w:szCs w:val="20"/>
          <w:color w:val="auto"/>
        </w:rPr>
      </w:pPr>
    </w:p>
    <w:p>
      <w:pPr>
        <w:ind w:right="80"/>
        <w:spacing w:after="0" w:line="364"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b w:val="1"/>
          <w:bCs w:val="1"/>
          <w:u w:val="single" w:color="auto"/>
          <w:color w:val="auto"/>
        </w:rPr>
        <w:t>Stock Appreciation Rights</w:t>
      </w:r>
      <w:r>
        <w:rPr>
          <w:rFonts w:ascii="Arial" w:cs="Arial" w:eastAsia="Arial" w:hAnsi="Arial"/>
          <w:sz w:val="19"/>
          <w:szCs w:val="19"/>
          <w:color w:val="auto"/>
        </w:rPr>
        <w:t>. The Committee may, in its discretion, grant SARs to such eligible persons as may be selected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The Agreement relating to an SAR shall specify whether the SAR is a Tandem SAR or a Free-Standing SAR.</w:t>
      </w:r>
    </w:p>
    <w:p>
      <w:pPr>
        <w:spacing w:after="0" w:line="86"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SARs shall be subject to the following terms and conditions and shall contain such additional terms and conditions, not inconsistent with the terms of this Plan, as the Committee shall deem advisable:</w:t>
      </w:r>
    </w:p>
    <w:p>
      <w:pPr>
        <w:spacing w:after="0" w:line="175" w:lineRule="exact"/>
        <w:rPr>
          <w:sz w:val="20"/>
          <w:szCs w:val="20"/>
          <w:color w:val="auto"/>
        </w:rPr>
      </w:pPr>
    </w:p>
    <w:p>
      <w:pPr>
        <w:ind w:right="100" w:firstLine="656"/>
        <w:spacing w:after="0" w:line="300" w:lineRule="auto"/>
        <w:tabs>
          <w:tab w:leader="none" w:pos="106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Number of SARs and Base Price</w:t>
      </w:r>
      <w:r>
        <w:rPr>
          <w:rFonts w:ascii="Arial" w:cs="Arial" w:eastAsia="Arial" w:hAnsi="Arial"/>
          <w:sz w:val="19"/>
          <w:szCs w:val="19"/>
          <w:color w:val="auto"/>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base price shall not be less than 100% of the Fair Market Value of a share of Common Stock on the date of grant of such SAR.</w:t>
      </w:r>
    </w:p>
    <w:p>
      <w:pPr>
        <w:spacing w:after="0" w:line="147" w:lineRule="exact"/>
        <w:rPr>
          <w:rFonts w:ascii="Arial" w:cs="Arial" w:eastAsia="Arial" w:hAnsi="Arial"/>
          <w:sz w:val="19"/>
          <w:szCs w:val="19"/>
          <w:color w:val="auto"/>
        </w:rPr>
      </w:pPr>
    </w:p>
    <w:p>
      <w:pPr>
        <w:ind w:firstLine="656"/>
        <w:spacing w:after="0" w:line="259" w:lineRule="exact"/>
        <w:tabs>
          <w:tab w:leader="none" w:pos="108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Exercise Period and Exercisability</w:t>
      </w:r>
      <w:r>
        <w:rPr>
          <w:rFonts w:ascii="Arial" w:cs="Arial" w:eastAsia="Arial" w:hAnsi="Arial"/>
          <w:sz w:val="19"/>
          <w:szCs w:val="19"/>
          <w:color w:val="auto"/>
        </w:rPr>
        <w:t xml:space="preserve">. The period for the exercise of an SAR shall be determined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no Tandem SAR shall be exercised later than the expiration, cancellation, forfeiture or other termination of the related option and (ii) no Free-Standing SAR shall be exercised later than 10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w:t>
      </w:r>
      <w:r>
        <w:rPr>
          <w:rFonts w:ascii="MS PGothic" w:cs="MS PGothic" w:eastAsia="MS PGothic" w:hAnsi="MS PGothic"/>
          <w:sz w:val="19"/>
          <w:szCs w:val="19"/>
          <w:color w:val="auto"/>
        </w:rPr>
        <w:t>‑</w:t>
      </w:r>
      <w:r>
        <w:rPr>
          <w:rFonts w:ascii="Arial" w:cs="Arial" w:eastAsia="Arial" w:hAnsi="Arial"/>
          <w:sz w:val="19"/>
          <w:szCs w:val="19"/>
          <w:color w:val="auto"/>
        </w:rPr>
        <w:t>Standing SAR, only with respect to a whole number of SARs. If an SAR is exercised for shares of Restricted Stock, a certificate or certificates representing such Restricted Stock shall be issued in accordance with Section 3.2(c), or such shares shall be transferred to the holder in book entry form with restrictions on the Shares duly noted, and the holder of such Restricted Stock shall have such rights of a stockholder of the Company as determined pursuant to Section 3.2(d). Prior to the exercise of an SAR, the holder of such SAR shall have no rights as a stockholder of the Company with respect to the shares of Common Stock subject to such SAR.</w:t>
      </w:r>
    </w:p>
    <w:p>
      <w:pPr>
        <w:spacing w:after="0" w:line="206" w:lineRule="exact"/>
        <w:rPr>
          <w:rFonts w:ascii="Arial" w:cs="Arial" w:eastAsia="Arial" w:hAnsi="Arial"/>
          <w:sz w:val="19"/>
          <w:szCs w:val="19"/>
          <w:color w:val="auto"/>
        </w:rPr>
      </w:pPr>
    </w:p>
    <w:p>
      <w:pPr>
        <w:ind w:right="140" w:firstLine="656"/>
        <w:spacing w:after="0" w:line="300" w:lineRule="auto"/>
        <w:tabs>
          <w:tab w:leader="none" w:pos="106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w:t>
      </w:r>
    </w:p>
    <w:p>
      <w:pPr>
        <w:sectPr>
          <w:pgSz w:w="11900" w:h="16838" w:orient="portrait"/>
          <w:cols w:equalWidth="0" w:num="1">
            <w:col w:w="11420"/>
          </w:cols>
          <w:pgMar w:left="240" w:top="132" w:right="239" w:bottom="96" w:gutter="0" w:footer="0" w:header="0"/>
        </w:sectPr>
      </w:pPr>
    </w:p>
    <w:bookmarkStart w:id="41" w:name="page42"/>
    <w:bookmarkEnd w:id="41"/>
    <w:p>
      <w:pPr>
        <w:ind w:right="160"/>
        <w:spacing w:after="0" w:line="302" w:lineRule="auto"/>
        <w:rPr>
          <w:sz w:val="20"/>
          <w:szCs w:val="20"/>
          <w:color w:val="auto"/>
        </w:rPr>
      </w:pPr>
      <w:r>
        <w:rPr>
          <w:rFonts w:ascii="Arial" w:cs="Arial" w:eastAsia="Arial" w:hAnsi="Arial"/>
          <w:sz w:val="19"/>
          <w:szCs w:val="19"/>
          <w:b w:val="1"/>
          <w:bCs w:val="1"/>
          <w:color w:val="auto"/>
        </w:rPr>
        <w:t xml:space="preserve">2.3 </w:t>
      </w:r>
      <w:r>
        <w:rPr>
          <w:rFonts w:ascii="Arial" w:cs="Arial" w:eastAsia="Arial" w:hAnsi="Arial"/>
          <w:sz w:val="19"/>
          <w:szCs w:val="19"/>
          <w:b w:val="1"/>
          <w:bCs w:val="1"/>
          <w:u w:val="single" w:color="auto"/>
          <w:color w:val="auto"/>
        </w:rPr>
        <w:t>Termination of Employment or Service</w:t>
      </w:r>
      <w:r>
        <w:rPr>
          <w:rFonts w:ascii="Arial" w:cs="Arial" w:eastAsia="Arial" w:hAnsi="Arial"/>
          <w:sz w:val="19"/>
          <w:szCs w:val="19"/>
          <w:color w:val="auto"/>
        </w:rPr>
        <w:t>. Except as set forth in the applicable award Agreement, each option and SAR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exercisable following a participant’s termination of employment or service with the Company in accordance with this Section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202" w:lineRule="exact"/>
        <w:rPr>
          <w:sz w:val="20"/>
          <w:szCs w:val="20"/>
          <w:color w:val="auto"/>
        </w:rPr>
      </w:pPr>
    </w:p>
    <w:p>
      <w:pPr>
        <w:jc w:val="both"/>
        <w:ind w:right="180" w:firstLine="656"/>
        <w:spacing w:after="0" w:line="293" w:lineRule="auto"/>
        <w:tabs>
          <w:tab w:leader="none" w:pos="1068"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Termination by Death</w:t>
      </w:r>
      <w:r>
        <w:rPr>
          <w:rFonts w:ascii="Arial" w:cs="Arial" w:eastAsia="Arial" w:hAnsi="Arial"/>
          <w:sz w:val="19"/>
          <w:szCs w:val="19"/>
          <w:color w:val="auto"/>
        </w:rPr>
        <w:t>. If a participant’s employment with or service to the Company terminates by reason of his or her death, the options or SARs held by such participant shall become fully vested and exercisable and thereafter may be exercised by the legal representative of the estate or by the legatee of the participant under the will of the participant, for a period of twelve</w:t>
      </w:r>
    </w:p>
    <w:p>
      <w:pPr>
        <w:spacing w:after="0" w:line="1" w:lineRule="exact"/>
        <w:rPr>
          <w:rFonts w:ascii="Arial" w:cs="Arial" w:eastAsia="Arial" w:hAnsi="Arial"/>
          <w:sz w:val="19"/>
          <w:szCs w:val="19"/>
          <w:color w:val="auto"/>
        </w:rPr>
      </w:pPr>
    </w:p>
    <w:p>
      <w:pPr>
        <w:ind w:right="280" w:firstLine="8"/>
        <w:spacing w:after="0" w:line="246" w:lineRule="auto"/>
        <w:tabs>
          <w:tab w:leader="none" w:pos="414" w:val="left"/>
        </w:tabs>
        <w:numPr>
          <w:ilvl w:val="0"/>
          <w:numId w:val="23"/>
        </w:numPr>
        <w:rPr>
          <w:rFonts w:ascii="Arial" w:cs="Arial" w:eastAsia="Arial" w:hAnsi="Arial"/>
          <w:sz w:val="22"/>
          <w:szCs w:val="22"/>
          <w:color w:val="auto"/>
        </w:rPr>
      </w:pPr>
      <w:r>
        <w:rPr>
          <w:rFonts w:ascii="Arial" w:cs="Arial" w:eastAsia="Arial" w:hAnsi="Arial"/>
          <w:sz w:val="22"/>
          <w:szCs w:val="22"/>
          <w:color w:val="auto"/>
        </w:rPr>
        <w:t>months (or such shorter period as the Committee shall specify at grant) from the date of such death or until the expiration of the stated term of such option or SAR, whichever period is shorter.</w:t>
      </w:r>
    </w:p>
    <w:p>
      <w:pPr>
        <w:spacing w:after="0" w:line="192" w:lineRule="exact"/>
        <w:rPr>
          <w:rFonts w:ascii="Arial" w:cs="Arial" w:eastAsia="Arial" w:hAnsi="Arial"/>
          <w:sz w:val="22"/>
          <w:szCs w:val="22"/>
          <w:color w:val="auto"/>
        </w:rPr>
      </w:pPr>
    </w:p>
    <w:p>
      <w:pPr>
        <w:ind w:right="40" w:firstLine="656"/>
        <w:spacing w:after="0" w:line="259" w:lineRule="auto"/>
        <w:tabs>
          <w:tab w:leader="none" w:pos="1080" w:val="left"/>
        </w:tabs>
        <w:numPr>
          <w:ilvl w:val="1"/>
          <w:numId w:val="23"/>
        </w:numPr>
        <w:rPr>
          <w:rFonts w:ascii="Arial" w:cs="Arial" w:eastAsia="Arial" w:hAnsi="Arial"/>
          <w:sz w:val="21"/>
          <w:szCs w:val="21"/>
          <w:color w:val="auto"/>
        </w:rPr>
      </w:pPr>
      <w:r>
        <w:rPr>
          <w:rFonts w:ascii="Arial" w:cs="Arial" w:eastAsia="Arial" w:hAnsi="Arial"/>
          <w:sz w:val="21"/>
          <w:szCs w:val="21"/>
          <w:u w:val="single" w:color="auto"/>
          <w:color w:val="auto"/>
        </w:rPr>
        <w:t>Termination by Reason of Disability</w:t>
      </w:r>
      <w:r>
        <w:rPr>
          <w:rFonts w:ascii="Arial" w:cs="Arial" w:eastAsia="Arial" w:hAnsi="Arial"/>
          <w:sz w:val="21"/>
          <w:szCs w:val="21"/>
          <w:color w:val="auto"/>
        </w:rPr>
        <w:t>. If a participant’s employment or service is terminated by the Company by reason of Disability, any option or SAR held by such participant shall become fully vested and exercisable and thereafter may be exercised for a period of twelve (12) months (or such shorter period as the Committee shall specify at grant) from the date of such termination of employment or service or until the expiration of the stated term of such option or SAR, whichever period is shorter, provided, however, that, if the participant dies within such twelve-month period (or such shorter period as the Committee shall specify at grant) and prior to the expiration of the stated term of such option or SAR, any unexercised option and SAR held by such participant shall thereafter be exercisable for a period of twelve (12) months (or such shorter period as the Committee shall specify at grant) from the time of death or until the expiration of the stated term of such option or SAR, whichever period is shorter. In the event of a termination of employment or service by reason of Disability, if an Incentive Stock Option is exercised after the expiration of the exercise periods that apply for purposes of Section 422 of the Code, such option will thereafter be treated as a Nonqualified Stock Option.</w:t>
      </w:r>
    </w:p>
    <w:p>
      <w:pPr>
        <w:spacing w:after="0" w:line="185" w:lineRule="exact"/>
        <w:rPr>
          <w:rFonts w:ascii="Arial" w:cs="Arial" w:eastAsia="Arial" w:hAnsi="Arial"/>
          <w:sz w:val="21"/>
          <w:szCs w:val="21"/>
          <w:color w:val="auto"/>
        </w:rPr>
      </w:pPr>
    </w:p>
    <w:p>
      <w:pPr>
        <w:ind w:firstLine="656"/>
        <w:spacing w:after="0" w:line="261" w:lineRule="auto"/>
        <w:tabs>
          <w:tab w:leader="none" w:pos="1068" w:val="left"/>
        </w:tabs>
        <w:numPr>
          <w:ilvl w:val="1"/>
          <w:numId w:val="23"/>
        </w:numPr>
        <w:rPr>
          <w:rFonts w:ascii="Arial" w:cs="Arial" w:eastAsia="Arial" w:hAnsi="Arial"/>
          <w:sz w:val="21"/>
          <w:szCs w:val="21"/>
          <w:color w:val="auto"/>
        </w:rPr>
      </w:pPr>
      <w:r>
        <w:rPr>
          <w:rFonts w:ascii="Arial" w:cs="Arial" w:eastAsia="Arial" w:hAnsi="Arial"/>
          <w:sz w:val="21"/>
          <w:szCs w:val="21"/>
          <w:u w:val="single" w:color="auto"/>
          <w:color w:val="auto"/>
        </w:rPr>
        <w:t>Termination by Reason of Retirement</w:t>
      </w:r>
      <w:r>
        <w:rPr>
          <w:rFonts w:ascii="Arial" w:cs="Arial" w:eastAsia="Arial" w:hAnsi="Arial"/>
          <w:sz w:val="21"/>
          <w:szCs w:val="21"/>
          <w:color w:val="auto"/>
        </w:rPr>
        <w:t>. If an employee’s employment with the Company terminates by reason of Retirement, any option or SAR held by such retired employee thereafter may be exercised, to the extent it was exercisable at the time of such termination (or on such accelerated basis as the Committee shall determine at or after the time of grant), for a period of twelve (12) months (or such shorter period as the Committee shall specify at grant) from the date of Retirement or until the expiration of the stated term of such option or SAR, whichever period is shorter. If a Non-Employee Director’s service on the Board terminates by reason of Retirement, any option or SAR held by such retired Non-Employee Director shall become fully vested and exercisable and thereafter may be exercised for a period of twelve (12) months from the date of Retirement or until the expiration of the stated term of such option or SAR, whichever period is shorter.</w:t>
      </w:r>
    </w:p>
    <w:p>
      <w:pPr>
        <w:spacing w:after="0" w:line="181" w:lineRule="exact"/>
        <w:rPr>
          <w:rFonts w:ascii="Arial" w:cs="Arial" w:eastAsia="Arial" w:hAnsi="Arial"/>
          <w:sz w:val="21"/>
          <w:szCs w:val="21"/>
          <w:color w:val="auto"/>
        </w:rPr>
      </w:pPr>
    </w:p>
    <w:p>
      <w:pPr>
        <w:ind w:right="60" w:firstLine="656"/>
        <w:spacing w:after="0" w:line="300" w:lineRule="auto"/>
        <w:tabs>
          <w:tab w:leader="none" w:pos="108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Except as otherwise provided in this paragraph or otherwise determined by the Committee, if a participant’s employment or service with the Company terminates for any reason other than death, Disability or Retirement, any option or SAR held by such participant thereafter may be exercised, to the extent it was exercisable at the time of such termination (or on an such accelerated basis as the Committee shall determine at or after the time of grant) until the earlier to occur of (A) three months from the date of such termination or (B) the expiration of such option's or SAR’s stated term.</w:t>
      </w:r>
    </w:p>
    <w:p>
      <w:pPr>
        <w:spacing w:after="0" w:line="141" w:lineRule="exact"/>
        <w:rPr>
          <w:sz w:val="20"/>
          <w:szCs w:val="20"/>
          <w:color w:val="auto"/>
        </w:rPr>
      </w:pPr>
    </w:p>
    <w:p>
      <w:pPr>
        <w:ind w:right="240"/>
        <w:spacing w:after="0" w:line="265" w:lineRule="auto"/>
        <w:rPr>
          <w:sz w:val="20"/>
          <w:szCs w:val="20"/>
          <w:color w:val="auto"/>
        </w:rPr>
      </w:pPr>
      <w:r>
        <w:rPr>
          <w:rFonts w:ascii="Arial" w:cs="Arial" w:eastAsia="Arial" w:hAnsi="Arial"/>
          <w:sz w:val="21"/>
          <w:szCs w:val="21"/>
          <w:b w:val="1"/>
          <w:bCs w:val="1"/>
          <w:color w:val="auto"/>
        </w:rPr>
        <w:t xml:space="preserve">2.4 </w:t>
      </w:r>
      <w:r>
        <w:rPr>
          <w:rFonts w:ascii="Arial" w:cs="Arial" w:eastAsia="Arial" w:hAnsi="Arial"/>
          <w:sz w:val="21"/>
          <w:szCs w:val="21"/>
          <w:b w:val="1"/>
          <w:bCs w:val="1"/>
          <w:u w:val="single" w:color="auto"/>
          <w:color w:val="auto"/>
        </w:rPr>
        <w:t>No Repricing</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 shall not, without the approval of the stockholders of the Company, (i) reduce the exercise</w:t>
      </w:r>
      <w:r>
        <w:rPr>
          <w:rFonts w:ascii="Arial" w:cs="Arial" w:eastAsia="Arial" w:hAnsi="Arial"/>
          <w:sz w:val="21"/>
          <w:szCs w:val="21"/>
          <w:b w:val="1"/>
          <w:bCs w:val="1"/>
          <w:color w:val="auto"/>
        </w:rPr>
        <w:t xml:space="preserve"> </w:t>
      </w:r>
      <w:r>
        <w:rPr>
          <w:rFonts w:ascii="Arial" w:cs="Arial" w:eastAsia="Arial" w:hAnsi="Arial"/>
          <w:sz w:val="21"/>
          <w:szCs w:val="21"/>
          <w:color w:val="auto"/>
        </w:rPr>
        <w:t>price or base price of any previously granted option or SAR, (ii) cancel any previously granted option or SAR in exchange for another option or SAR with a lower exercise price or base price or (iii) cancel any previously granted option or SAR in exchange for cash or another award if the exercise price of such option or the base price of such SAR exceeds the Fair Market Value of a share of Common Stock on the date of such cancellation, in each case, other than in connection with a Change in Control or the adjustment provisions set forth in Section 5.7.</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b w:val="1"/>
          <w:bCs w:val="1"/>
          <w:u w:val="single" w:color="auto"/>
          <w:color w:val="auto"/>
        </w:rPr>
        <w:t>No 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in an Agreement to the contrary, the holder of an option or SAR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entitled to receive dividend equivalents with respect to the number of shares of Common Stock subject to such option or SAR.</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STOCK AWARDS</w:t>
      </w:r>
    </w:p>
    <w:p>
      <w:pPr>
        <w:spacing w:after="0" w:line="220" w:lineRule="exact"/>
        <w:rPr>
          <w:sz w:val="20"/>
          <w:szCs w:val="20"/>
          <w:color w:val="auto"/>
        </w:rPr>
      </w:pPr>
    </w:p>
    <w:p>
      <w:pPr>
        <w:ind w:right="220"/>
        <w:spacing w:after="0" w:line="323"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Stock Awards</w:t>
      </w:r>
      <w:r>
        <w:rPr>
          <w:rFonts w:ascii="Arial" w:cs="Arial" w:eastAsia="Arial" w:hAnsi="Arial"/>
          <w:sz w:val="19"/>
          <w:szCs w:val="19"/>
          <w:color w:val="auto"/>
        </w:rPr>
        <w:t>. The Committee may, in its discretion, grant Stock Awards to such eligible persons as may be selected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The Agreement relating to a Stock Award shall specify whether the Stock Award is a Restricted Stock Award, a Restricted Stock Unit Award or, in the case of an Other Award, the type of award being granted.</w:t>
      </w:r>
    </w:p>
    <w:p>
      <w:pPr>
        <w:spacing w:after="0" w:line="117" w:lineRule="exact"/>
        <w:rPr>
          <w:sz w:val="20"/>
          <w:szCs w:val="20"/>
          <w:color w:val="auto"/>
        </w:rPr>
      </w:pPr>
    </w:p>
    <w:p>
      <w:pPr>
        <w:ind w:right="80"/>
        <w:spacing w:after="0" w:line="36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Terms of Restricted Stock Awards</w:t>
      </w:r>
      <w:r>
        <w:rPr>
          <w:rFonts w:ascii="Arial" w:cs="Arial" w:eastAsia="Arial" w:hAnsi="Arial"/>
          <w:sz w:val="19"/>
          <w:szCs w:val="19"/>
          <w:color w:val="auto"/>
        </w:rPr>
        <w:t>. Restricted Stock Awards shall be subject to the following terms and conditions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contain such additional terms and conditions, not inconsistent with the terms of this Plan, as the Committee shall deem advisable.</w:t>
      </w:r>
    </w:p>
    <w:p>
      <w:pPr>
        <w:spacing w:after="0" w:line="86" w:lineRule="exact"/>
        <w:rPr>
          <w:sz w:val="20"/>
          <w:szCs w:val="20"/>
          <w:color w:val="auto"/>
        </w:rPr>
      </w:pPr>
    </w:p>
    <w:p>
      <w:pPr>
        <w:ind w:right="20" w:firstLine="656"/>
        <w:spacing w:after="0" w:line="260" w:lineRule="auto"/>
        <w:tabs>
          <w:tab w:leader="none" w:pos="106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Number of Shares and Other Terms</w:t>
      </w:r>
      <w:r>
        <w:rPr>
          <w:rFonts w:ascii="Arial" w:cs="Arial" w:eastAsia="Arial" w:hAnsi="Arial"/>
          <w:sz w:val="22"/>
          <w:szCs w:val="22"/>
          <w:color w:val="auto"/>
        </w:rPr>
        <w:t>. The number of shares of Common Stock subject to a Restricted Stock Award and the Restriction Period, Performance Period (if any) and Performance Measures (if any) applicable to a Restricted Stock Award shall be determined by the Committee.</w:t>
      </w:r>
    </w:p>
    <w:p>
      <w:pPr>
        <w:spacing w:after="0" w:line="177" w:lineRule="exact"/>
        <w:rPr>
          <w:rFonts w:ascii="Arial" w:cs="Arial" w:eastAsia="Arial" w:hAnsi="Arial"/>
          <w:sz w:val="22"/>
          <w:szCs w:val="22"/>
          <w:color w:val="auto"/>
        </w:rPr>
      </w:pPr>
    </w:p>
    <w:p>
      <w:pPr>
        <w:ind w:right="120" w:firstLine="656"/>
        <w:spacing w:after="0" w:line="307" w:lineRule="auto"/>
        <w:tabs>
          <w:tab w:leader="none" w:pos="108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Vesting and Forfeiture</w:t>
      </w:r>
      <w:r>
        <w:rPr>
          <w:rFonts w:ascii="Arial" w:cs="Arial" w:eastAsia="Arial" w:hAnsi="Arial"/>
          <w:sz w:val="19"/>
          <w:szCs w:val="19"/>
          <w:color w:val="auto"/>
        </w:rPr>
        <w:t>. 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 specified Performance Period,</w:t>
      </w:r>
    </w:p>
    <w:p>
      <w:pPr>
        <w:sectPr>
          <w:pgSz w:w="11900" w:h="16838" w:orient="portrait"/>
          <w:cols w:equalWidth="0" w:num="1">
            <w:col w:w="11420"/>
          </w:cols>
          <w:pgMar w:left="240" w:top="126" w:right="239" w:bottom="0" w:gutter="0" w:footer="0" w:header="0"/>
        </w:sectPr>
      </w:pPr>
    </w:p>
    <w:bookmarkStart w:id="42" w:name="page43"/>
    <w:bookmarkEnd w:id="42"/>
    <w:p>
      <w:pPr>
        <w:ind w:right="180"/>
        <w:spacing w:after="0" w:line="253" w:lineRule="auto"/>
        <w:rPr>
          <w:sz w:val="20"/>
          <w:szCs w:val="20"/>
          <w:color w:val="auto"/>
        </w:rPr>
      </w:pPr>
      <w:r>
        <w:rPr>
          <w:rFonts w:ascii="Arial" w:cs="Arial" w:eastAsia="Arial" w:hAnsi="Arial"/>
          <w:sz w:val="22"/>
          <w:szCs w:val="22"/>
          <w:color w:val="auto"/>
        </w:rPr>
        <w:t>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86" w:lineRule="exact"/>
        <w:rPr>
          <w:sz w:val="20"/>
          <w:szCs w:val="20"/>
          <w:color w:val="auto"/>
        </w:rPr>
      </w:pPr>
    </w:p>
    <w:p>
      <w:pPr>
        <w:ind w:firstLine="656"/>
        <w:spacing w:after="0" w:line="288" w:lineRule="auto"/>
        <w:tabs>
          <w:tab w:leader="none" w:pos="106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Stock Issuance</w:t>
      </w:r>
      <w:r>
        <w:rPr>
          <w:rFonts w:ascii="Arial" w:cs="Arial" w:eastAsia="Arial" w:hAnsi="Arial"/>
          <w:sz w:val="19"/>
          <w:szCs w:val="19"/>
          <w:color w:val="auto"/>
        </w:rPr>
        <w:t>. 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Section 5.6,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Section 5.5,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62" w:lineRule="exact"/>
        <w:rPr>
          <w:rFonts w:ascii="Arial" w:cs="Arial" w:eastAsia="Arial" w:hAnsi="Arial"/>
          <w:sz w:val="19"/>
          <w:szCs w:val="19"/>
          <w:color w:val="auto"/>
        </w:rPr>
      </w:pPr>
    </w:p>
    <w:p>
      <w:pPr>
        <w:ind w:right="120" w:firstLine="656"/>
        <w:spacing w:after="0" w:line="294" w:lineRule="auto"/>
        <w:tabs>
          <w:tab w:leader="none" w:pos="108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Rights with Respect to Restricted Stock Awards</w:t>
      </w:r>
      <w:r>
        <w:rPr>
          <w:rFonts w:ascii="Arial" w:cs="Arial" w:eastAsia="Arial" w:hAnsi="Arial"/>
          <w:sz w:val="19"/>
          <w:szCs w:val="19"/>
          <w:color w:val="auto"/>
        </w:rPr>
        <w:t xml:space="preserve">. Unless otherwise set forth in the Agreement relating to a 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 distribution with respect to shares of Common Stock, other than a regular cash dividend, and (ii) a regular cash dividend with respect to shares of Common Stock that are subject to performance-based vesting conditions, in each case shall be deposited with the Company and shall be subject to the same restrictions as the shares of Common Stock with respect to which such distribution was made.</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22"/>
          <w:szCs w:val="22"/>
          <w:b w:val="1"/>
          <w:bCs w:val="1"/>
          <w:u w:val="single" w:color="auto"/>
          <w:color w:val="auto"/>
        </w:rPr>
        <w:t>Terms of Restricted Stock Unit Awards</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 Awards shall be subject to the following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contain such additional terms and conditions, not inconsistent with the terms of this Plan, as the Committee shall deem advisable.</w:t>
      </w:r>
    </w:p>
    <w:p>
      <w:pPr>
        <w:spacing w:after="0" w:line="177" w:lineRule="exact"/>
        <w:rPr>
          <w:sz w:val="20"/>
          <w:szCs w:val="20"/>
          <w:color w:val="auto"/>
        </w:rPr>
      </w:pPr>
    </w:p>
    <w:p>
      <w:pPr>
        <w:ind w:right="20" w:firstLine="656"/>
        <w:spacing w:after="0" w:line="254" w:lineRule="auto"/>
        <w:tabs>
          <w:tab w:leader="none" w:pos="106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Number of Shares and Other Terms</w:t>
      </w:r>
      <w:r>
        <w:rPr>
          <w:rFonts w:ascii="Arial" w:cs="Arial" w:eastAsia="Arial" w:hAnsi="Arial"/>
          <w:sz w:val="22"/>
          <w:szCs w:val="22"/>
          <w:color w:val="auto"/>
        </w:rPr>
        <w:t>. The number of shares of Common Stock subject to a Restricted Stock Unit 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85" w:lineRule="exact"/>
        <w:rPr>
          <w:rFonts w:ascii="Arial" w:cs="Arial" w:eastAsia="Arial" w:hAnsi="Arial"/>
          <w:sz w:val="22"/>
          <w:szCs w:val="22"/>
          <w:color w:val="auto"/>
        </w:rPr>
      </w:pPr>
    </w:p>
    <w:p>
      <w:pPr>
        <w:ind w:right="180" w:firstLine="656"/>
        <w:spacing w:after="0" w:line="262" w:lineRule="auto"/>
        <w:tabs>
          <w:tab w:leader="none" w:pos="108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Vesting and Forfeiture</w:t>
      </w:r>
      <w:r>
        <w:rPr>
          <w:rFonts w:ascii="Arial" w:cs="Arial" w:eastAsia="Arial" w:hAnsi="Arial"/>
          <w:sz w:val="21"/>
          <w:szCs w:val="21"/>
          <w:color w:val="auto"/>
        </w:rPr>
        <w:t>. 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80" w:lineRule="exact"/>
        <w:rPr>
          <w:rFonts w:ascii="Arial" w:cs="Arial" w:eastAsia="Arial" w:hAnsi="Arial"/>
          <w:sz w:val="21"/>
          <w:szCs w:val="21"/>
          <w:color w:val="auto"/>
        </w:rPr>
      </w:pPr>
    </w:p>
    <w:p>
      <w:pPr>
        <w:ind w:right="180" w:firstLine="656"/>
        <w:spacing w:after="0" w:line="261" w:lineRule="auto"/>
        <w:tabs>
          <w:tab w:leader="none" w:pos="1068"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Settlement of Vested Restricted Stock Unit Awards</w:t>
      </w:r>
      <w:r>
        <w:rPr>
          <w:rFonts w:ascii="Arial" w:cs="Arial" w:eastAsia="Arial" w:hAnsi="Arial"/>
          <w:sz w:val="21"/>
          <w:szCs w:val="21"/>
          <w:color w:val="auto"/>
        </w:rPr>
        <w:t>. The Agreement relating to a Restricted Stock Unit Award shall specify (i) whether such award may be settled in shares of Common Stock or cash or a combination thereof and (ii) whether the holder thereof shall be entitled to receive, on a current or deferred basis, dividend equivalents, and, if determined by the Committee, interest on, or the deemed reinvestment of, any deferred dividend equivalents, with respect to the number of shares of Common Stock subject to such award. Any dividend equivalents with respect to Restricted Stock Units that are subject to performance-based vesting conditions shall be subject to the same restrictions as such Restricted Stock Units. Prior to the settlement of a Restricted Stock Unit Award, the holder of such award shall have no rights as a stockholder of the Company with respect to the shares of Common Stock subject to such award.</w:t>
      </w:r>
    </w:p>
    <w:p>
      <w:pPr>
        <w:spacing w:after="0" w:line="175" w:lineRule="exact"/>
        <w:rPr>
          <w:sz w:val="20"/>
          <w:szCs w:val="20"/>
          <w:color w:val="auto"/>
        </w:rPr>
      </w:pPr>
    </w:p>
    <w:p>
      <w:pPr>
        <w:ind w:right="40"/>
        <w:spacing w:after="0" w:line="295"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b w:val="1"/>
          <w:bCs w:val="1"/>
          <w:u w:val="single" w:color="auto"/>
          <w:color w:val="auto"/>
        </w:rPr>
        <w:t>Other Awards</w:t>
      </w:r>
      <w:r>
        <w:rPr>
          <w:rFonts w:ascii="Arial" w:cs="Arial" w:eastAsia="Arial" w:hAnsi="Arial"/>
          <w:sz w:val="19"/>
          <w:szCs w:val="19"/>
          <w:color w:val="auto"/>
        </w:rPr>
        <w:t>. Subject to the limitations set forth in the Plan, the Committee is authorized to grant other awards that may be</w:t>
      </w:r>
      <w:r>
        <w:rPr>
          <w:rFonts w:ascii="Arial" w:cs="Arial" w:eastAsia="Arial" w:hAnsi="Arial"/>
          <w:sz w:val="19"/>
          <w:szCs w:val="19"/>
          <w:b w:val="1"/>
          <w:bCs w:val="1"/>
          <w:color w:val="auto"/>
        </w:rPr>
        <w:t xml:space="preserve"> </w:t>
      </w:r>
      <w:r>
        <w:rPr>
          <w:rFonts w:ascii="Arial" w:cs="Arial" w:eastAsia="Arial" w:hAnsi="Arial"/>
          <w:sz w:val="19"/>
          <w:szCs w:val="19"/>
          <w:color w:val="auto"/>
        </w:rPr>
        <w:t>denominated or 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w:t>
      </w:r>
    </w:p>
    <w:p>
      <w:pPr>
        <w:spacing w:after="0" w:line="146"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b w:val="1"/>
          <w:bCs w:val="1"/>
          <w:u w:val="single" w:color="auto"/>
          <w:color w:val="auto"/>
        </w:rPr>
        <w:t>Termination of Employment or Service</w:t>
      </w:r>
      <w:r>
        <w:rPr>
          <w:rFonts w:ascii="Arial" w:cs="Arial" w:eastAsia="Arial" w:hAnsi="Arial"/>
          <w:sz w:val="19"/>
          <w:szCs w:val="19"/>
          <w:color w:val="auto"/>
        </w:rPr>
        <w:t>. All of the terms relating to the satisfaction of Performance Measures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the Restriction Period or Performance Period relating to a Stock Award, or any forfeiture and cancellation of such award upon a termination of employment or service with the Company of the holder of such award shall be determined by the Committee and set forth in the applicable award Agreement. Notwithstanding the foregoing, except as provided in the applicable award Agreement, (i) if an employee’s employment with the Company terminates due to Disability or death, all Stock Awards held</w:t>
      </w:r>
    </w:p>
    <w:p>
      <w:pPr>
        <w:sectPr>
          <w:pgSz w:w="11900" w:h="16838" w:orient="portrait"/>
          <w:cols w:equalWidth="0" w:num="1">
            <w:col w:w="11420"/>
          </w:cols>
          <w:pgMar w:left="240" w:top="132" w:right="239" w:bottom="0" w:gutter="0" w:footer="0" w:header="0"/>
        </w:sectPr>
      </w:pPr>
    </w:p>
    <w:bookmarkStart w:id="43" w:name="page44"/>
    <w:bookmarkEnd w:id="43"/>
    <w:p>
      <w:pPr>
        <w:spacing w:after="0" w:line="68" w:lineRule="exact"/>
        <w:rPr>
          <w:sz w:val="20"/>
          <w:szCs w:val="20"/>
          <w:color w:val="auto"/>
        </w:rPr>
      </w:pPr>
    </w:p>
    <w:p>
      <w:pPr>
        <w:ind w:right="880"/>
        <w:spacing w:after="0" w:line="343" w:lineRule="auto"/>
        <w:rPr>
          <w:sz w:val="20"/>
          <w:szCs w:val="20"/>
          <w:color w:val="auto"/>
        </w:rPr>
      </w:pPr>
      <w:r>
        <w:rPr>
          <w:rFonts w:ascii="Arial" w:cs="Arial" w:eastAsia="Arial" w:hAnsi="Arial"/>
          <w:sz w:val="19"/>
          <w:szCs w:val="19"/>
          <w:color w:val="auto"/>
        </w:rPr>
        <w:t>by such employee shall become fully vested and (ii) if a Non-Employee Director’s service on the Board terminates due to Retirement, Disability or death, all Stock Awards held by such Non-Employee Director shall become fully vested.</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PERFORMANCE AWARDS</w:t>
      </w:r>
    </w:p>
    <w:p>
      <w:pPr>
        <w:spacing w:after="0" w:line="220" w:lineRule="exact"/>
        <w:rPr>
          <w:sz w:val="20"/>
          <w:szCs w:val="20"/>
          <w:color w:val="auto"/>
        </w:rPr>
      </w:pPr>
    </w:p>
    <w:p>
      <w:pPr>
        <w:ind w:right="260"/>
        <w:spacing w:after="0" w:line="282"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b w:val="1"/>
          <w:bCs w:val="1"/>
          <w:u w:val="single" w:color="auto"/>
          <w:color w:val="auto"/>
        </w:rPr>
        <w:t>Performance Awards</w:t>
      </w:r>
      <w:r>
        <w:rPr>
          <w:rFonts w:ascii="Arial" w:cs="Arial" w:eastAsia="Arial" w:hAnsi="Arial"/>
          <w:sz w:val="22"/>
          <w:szCs w:val="22"/>
          <w:color w:val="auto"/>
        </w:rPr>
        <w:t>. The Committee may, in its discretion, grant Performance Awards to such eligible persons as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selected by the Committee.</w:t>
      </w:r>
    </w:p>
    <w:p>
      <w:pPr>
        <w:spacing w:after="0" w:line="148" w:lineRule="exact"/>
        <w:rPr>
          <w:sz w:val="20"/>
          <w:szCs w:val="20"/>
          <w:color w:val="auto"/>
        </w:rPr>
      </w:pPr>
    </w:p>
    <w:p>
      <w:pPr>
        <w:spacing w:after="0" w:line="364"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Terms of Performance Awards</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Awards shall be subject to the following terms and conditions and shall contain</w:t>
      </w:r>
      <w:r>
        <w:rPr>
          <w:rFonts w:ascii="Arial" w:cs="Arial" w:eastAsia="Arial" w:hAnsi="Arial"/>
          <w:sz w:val="19"/>
          <w:szCs w:val="19"/>
          <w:b w:val="1"/>
          <w:bCs w:val="1"/>
          <w:color w:val="auto"/>
        </w:rPr>
        <w:t xml:space="preserve"> </w:t>
      </w:r>
      <w:r>
        <w:rPr>
          <w:rFonts w:ascii="Arial" w:cs="Arial" w:eastAsia="Arial" w:hAnsi="Arial"/>
          <w:sz w:val="19"/>
          <w:szCs w:val="19"/>
          <w:color w:val="auto"/>
        </w:rPr>
        <w:t>such additional terms and conditions, not inconsistent with the terms of this Plan, as the Committee shall deem advisable.</w:t>
      </w:r>
    </w:p>
    <w:p>
      <w:pPr>
        <w:spacing w:after="0" w:line="86" w:lineRule="exact"/>
        <w:rPr>
          <w:sz w:val="20"/>
          <w:szCs w:val="20"/>
          <w:color w:val="auto"/>
        </w:rPr>
      </w:pPr>
    </w:p>
    <w:p>
      <w:pPr>
        <w:ind w:right="300" w:firstLine="656"/>
        <w:spacing w:after="0" w:line="260" w:lineRule="auto"/>
        <w:tabs>
          <w:tab w:leader="none" w:pos="106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Value of Performance Awards and Performance Measures</w:t>
      </w:r>
      <w:r>
        <w:rPr>
          <w:rFonts w:ascii="Arial" w:cs="Arial" w:eastAsia="Arial" w:hAnsi="Arial"/>
          <w:sz w:val="22"/>
          <w:szCs w:val="22"/>
          <w:color w:val="auto"/>
        </w:rPr>
        <w:t>. The method of determining the value of the Performance Award and the Performance Measures and Performance Period applicable to a Performance Award shall be determined by the Committee.</w:t>
      </w:r>
    </w:p>
    <w:p>
      <w:pPr>
        <w:spacing w:after="0" w:line="177" w:lineRule="exact"/>
        <w:rPr>
          <w:rFonts w:ascii="Arial" w:cs="Arial" w:eastAsia="Arial" w:hAnsi="Arial"/>
          <w:sz w:val="22"/>
          <w:szCs w:val="22"/>
          <w:color w:val="auto"/>
        </w:rPr>
      </w:pPr>
    </w:p>
    <w:p>
      <w:pPr>
        <w:ind w:firstLine="656"/>
        <w:spacing w:after="0" w:line="307" w:lineRule="auto"/>
        <w:tabs>
          <w:tab w:leader="none" w:pos="10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Vesting and Forfeiture</w:t>
      </w:r>
      <w:r>
        <w:rPr>
          <w:rFonts w:ascii="Arial" w:cs="Arial" w:eastAsia="Arial" w:hAnsi="Arial"/>
          <w:sz w:val="19"/>
          <w:szCs w:val="19"/>
          <w:color w:val="auto"/>
        </w:rPr>
        <w:t>. 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38" w:lineRule="exact"/>
        <w:rPr>
          <w:rFonts w:ascii="Arial" w:cs="Arial" w:eastAsia="Arial" w:hAnsi="Arial"/>
          <w:sz w:val="19"/>
          <w:szCs w:val="19"/>
          <w:color w:val="auto"/>
        </w:rPr>
      </w:pPr>
    </w:p>
    <w:p>
      <w:pPr>
        <w:ind w:firstLine="656"/>
        <w:spacing w:after="0" w:line="288" w:lineRule="auto"/>
        <w:tabs>
          <w:tab w:leader="none" w:pos="106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Settlement of Vested Performance Awards</w:t>
      </w:r>
      <w:r>
        <w:rPr>
          <w:rFonts w:ascii="Arial" w:cs="Arial" w:eastAsia="Arial" w:hAnsi="Arial"/>
          <w:sz w:val="19"/>
          <w:szCs w:val="19"/>
          <w:color w:val="auto"/>
        </w:rPr>
        <w:t>. The Agreement relating to a Performance Award shall specify whether 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Section 3.2(c) and the holder of such Restricted Stock shall have such rights as a stockholder of the Company as determined pursuant to Section</w:t>
      </w:r>
    </w:p>
    <w:p>
      <w:pPr>
        <w:spacing w:after="0" w:line="3" w:lineRule="exact"/>
        <w:rPr>
          <w:rFonts w:ascii="Arial" w:cs="Arial" w:eastAsia="Arial" w:hAnsi="Arial"/>
          <w:sz w:val="19"/>
          <w:szCs w:val="19"/>
          <w:color w:val="auto"/>
        </w:rPr>
      </w:pPr>
    </w:p>
    <w:p>
      <w:pPr>
        <w:ind w:right="160"/>
        <w:spacing w:after="0" w:line="246" w:lineRule="auto"/>
        <w:rPr>
          <w:rFonts w:ascii="Arial" w:cs="Arial" w:eastAsia="Arial" w:hAnsi="Arial"/>
          <w:sz w:val="19"/>
          <w:szCs w:val="19"/>
          <w:color w:val="auto"/>
        </w:rPr>
      </w:pPr>
      <w:r>
        <w:rPr>
          <w:rFonts w:ascii="Arial" w:cs="Arial" w:eastAsia="Arial" w:hAnsi="Arial"/>
          <w:sz w:val="22"/>
          <w:szCs w:val="22"/>
          <w:color w:val="auto"/>
        </w:rPr>
        <w:t>3.2(d). Prior to the settlement of a Performance Award in shares of Common Stock, including Restricted Stock, the holder of such award shall have no rights as a stockholder of the Company.</w:t>
      </w:r>
    </w:p>
    <w:p>
      <w:pPr>
        <w:spacing w:after="0" w:line="187" w:lineRule="exact"/>
        <w:rPr>
          <w:sz w:val="20"/>
          <w:szCs w:val="20"/>
          <w:color w:val="auto"/>
        </w:rPr>
      </w:pPr>
    </w:p>
    <w:p>
      <w:pPr>
        <w:ind w:right="120"/>
        <w:spacing w:after="0" w:line="309"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Termination of Employment or Service</w:t>
      </w:r>
      <w:r>
        <w:rPr>
          <w:rFonts w:ascii="Arial" w:cs="Arial" w:eastAsia="Arial" w:hAnsi="Arial"/>
          <w:sz w:val="19"/>
          <w:szCs w:val="19"/>
          <w:color w:val="auto"/>
        </w:rPr>
        <w:t>. All of the terms relating to the satisfaction of Performance Measures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the Performance Period relating to a Performance Award, or any forfeiture and cancellation of such award upon a termination of employment or service with the Company of the holder of such award, whether by reason of Retirement, Disability, death or any other reason, shall be determined by the Committee and set forth in the applicable award Agreement.</w:t>
      </w:r>
    </w:p>
    <w:p>
      <w:pPr>
        <w:spacing w:after="0" w:line="13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20" w:lineRule="exact"/>
        <w:rPr>
          <w:sz w:val="20"/>
          <w:szCs w:val="20"/>
          <w:color w:val="auto"/>
        </w:rPr>
      </w:pPr>
    </w:p>
    <w:p>
      <w:pPr>
        <w:ind w:right="220"/>
        <w:spacing w:after="0" w:line="298"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Effective Date and Term of Plan</w:t>
      </w:r>
      <w:r>
        <w:rPr>
          <w:rFonts w:ascii="Arial" w:cs="Arial" w:eastAsia="Arial" w:hAnsi="Arial"/>
          <w:sz w:val="19"/>
          <w:szCs w:val="19"/>
          <w:color w:val="auto"/>
        </w:rPr>
        <w:t>. This Plan shall be submitted to the stockholders of the Company for approval 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2016 annual meeting of stockholders and, if approved by the affirmative vote of a majority of the shares of Common Stock present in person or represented by proxy at such annual meeting of stockholders, shall become effective as of the date on which the Plan was approved by stockholders. This Plan shall terminate as of the first annual meeting of the Company’s stockholders to occur on or after the tenth anniversary of its effective date, unless terminated earlier by the Board. Termination of this Plan shall not affect the terms or conditions of any award granted prior to termination.</w:t>
      </w:r>
    </w:p>
    <w:p>
      <w:pPr>
        <w:spacing w:after="0" w:line="14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9"/>
          <w:szCs w:val="19"/>
          <w:color w:val="auto"/>
        </w:rPr>
        <w:t>Awards hereunder may be made at any time prior to the termination of this Plan, provided that no Incentive Stock Option may be granted later than 10 years after the effective date of this Plan. In the event that this Plan is not approved by the stockholders of the Company, this Plan and any awards hereunder shall be void and of no force or effect.</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21"/>
          <w:szCs w:val="21"/>
          <w:b w:val="1"/>
          <w:bCs w:val="1"/>
          <w:color w:val="auto"/>
        </w:rPr>
        <w:t xml:space="preserve">5.2 </w:t>
      </w:r>
      <w:r>
        <w:rPr>
          <w:rFonts w:ascii="Arial" w:cs="Arial" w:eastAsia="Arial" w:hAnsi="Arial"/>
          <w:sz w:val="21"/>
          <w:szCs w:val="21"/>
          <w:b w:val="1"/>
          <w:bCs w:val="1"/>
          <w:u w:val="single" w:color="auto"/>
          <w:color w:val="auto"/>
        </w:rPr>
        <w:t>Amendments</w:t>
      </w:r>
      <w:r>
        <w:rPr>
          <w:rFonts w:ascii="Arial" w:cs="Arial" w:eastAsia="Arial" w:hAnsi="Arial"/>
          <w:sz w:val="21"/>
          <w:szCs w:val="21"/>
          <w:color w:val="auto"/>
        </w:rPr>
        <w:t>. The Board may amend this Plan as it shall deem advisable, subject to any requirement of stockholder 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required by applicable law, rule or regulation, including Section 162(m) of the Code and any rule of the New York Stock Exchange, or any other stock exchange on which shares of Common Stock are traded;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amendment may impair the rights of a holder of an outstanding award without the consent of such holder.</w:t>
      </w:r>
    </w:p>
    <w:p>
      <w:pPr>
        <w:spacing w:after="0" w:line="161" w:lineRule="exact"/>
        <w:rPr>
          <w:sz w:val="20"/>
          <w:szCs w:val="20"/>
          <w:color w:val="auto"/>
        </w:rPr>
      </w:pPr>
    </w:p>
    <w:p>
      <w:pPr>
        <w:ind w:right="40"/>
        <w:spacing w:after="0" w:line="309"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Each award under this Plan shall be evidenced by an Agreement setting forth the terms and conditions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award. No award shall be valid until an Agreement is executed by the Company and, to the extent required by the Company, the recipient of such award and, upon such execution and delivery of the Agreement to the Company within the time period specified by the Company, such award shall be effective as of the effective date set forth in the Agreement.</w:t>
      </w:r>
    </w:p>
    <w:p>
      <w:pPr>
        <w:spacing w:after="0" w:line="131" w:lineRule="exact"/>
        <w:rPr>
          <w:sz w:val="20"/>
          <w:szCs w:val="20"/>
          <w:color w:val="auto"/>
        </w:rPr>
      </w:pPr>
    </w:p>
    <w:p>
      <w:pPr>
        <w:spacing w:after="0" w:line="260" w:lineRule="auto"/>
        <w:rPr>
          <w:sz w:val="20"/>
          <w:szCs w:val="20"/>
          <w:color w:val="auto"/>
        </w:rPr>
      </w:pPr>
      <w:r>
        <w:rPr>
          <w:rFonts w:ascii="Arial" w:cs="Arial" w:eastAsia="Arial" w:hAnsi="Arial"/>
          <w:sz w:val="21"/>
          <w:szCs w:val="21"/>
          <w:b w:val="1"/>
          <w:bCs w:val="1"/>
          <w:color w:val="auto"/>
        </w:rPr>
        <w:t xml:space="preserve">5.4 </w:t>
      </w:r>
      <w:r>
        <w:rPr>
          <w:rFonts w:ascii="Arial" w:cs="Arial" w:eastAsia="Arial" w:hAnsi="Arial"/>
          <w:sz w:val="21"/>
          <w:szCs w:val="21"/>
          <w:b w:val="1"/>
          <w:bCs w:val="1"/>
          <w:u w:val="single" w:color="auto"/>
          <w:color w:val="auto"/>
        </w:rPr>
        <w:t>Non-Transferability.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No award shall be transferable other than by will, the laws of descent and distribution or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beneficiary designation 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qualified domestic relations order.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ectPr>
          <w:pgSz w:w="11900" w:h="16907" w:orient="portrait"/>
          <w:cols w:equalWidth="0" w:num="1">
            <w:col w:w="11400"/>
          </w:cols>
          <w:pgMar w:left="240" w:top="132" w:right="259" w:bottom="0" w:gutter="0" w:footer="0" w:header="0"/>
        </w:sectPr>
      </w:pPr>
    </w:p>
    <w:bookmarkStart w:id="44" w:name="page45"/>
    <w:bookmarkEnd w:id="44"/>
    <w:p>
      <w:pPr>
        <w:ind w:right="100"/>
        <w:spacing w:after="0" w:line="295"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The Company shall have the right to require, prior to the issuance or delivery of any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or the payment of any cash pursuant to an award made hereunder, payment by the holder of such award of any federal, state, local or other taxes which may be required to be withheld or paid in connection with such award. An Agreement may provide that</w:t>
      </w:r>
    </w:p>
    <w:p>
      <w:pPr>
        <w:spacing w:after="0" w:line="2" w:lineRule="exact"/>
        <w:rPr>
          <w:sz w:val="20"/>
          <w:szCs w:val="20"/>
          <w:color w:val="auto"/>
        </w:rPr>
      </w:pPr>
    </w:p>
    <w:p>
      <w:pPr>
        <w:ind w:right="60" w:firstLine="8"/>
        <w:spacing w:after="0" w:line="281" w:lineRule="auto"/>
        <w:tabs>
          <w:tab w:leader="none" w:pos="258"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Company shall withhold whole shares of Common Stock which would otherwise be delivered to a holder, having an aggregate Fair Market Value determined as of the date the obligation to withhold or pay taxes arises in connection with an award (the “Tax Date”),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w:t>
      </w:r>
    </w:p>
    <w:p>
      <w:pPr>
        <w:spacing w:after="0" w:line="7" w:lineRule="exact"/>
        <w:rPr>
          <w:rFonts w:ascii="Arial" w:cs="Arial" w:eastAsia="Arial" w:hAnsi="Arial"/>
          <w:sz w:val="19"/>
          <w:szCs w:val="19"/>
          <w:color w:val="auto"/>
        </w:rPr>
      </w:pPr>
    </w:p>
    <w:p>
      <w:pPr>
        <w:spacing w:after="0" w:line="244" w:lineRule="auto"/>
        <w:rPr>
          <w:rFonts w:ascii="Arial" w:cs="Arial" w:eastAsia="Arial" w:hAnsi="Arial"/>
          <w:sz w:val="19"/>
          <w:szCs w:val="19"/>
          <w:color w:val="auto"/>
        </w:rPr>
      </w:pPr>
      <w:r>
        <w:rPr>
          <w:rFonts w:ascii="Arial" w:cs="Arial" w:eastAsia="Arial" w:hAnsi="Arial"/>
          <w:sz w:val="22"/>
          <w:szCs w:val="22"/>
          <w:color w:val="auto"/>
        </w:rPr>
        <w:t>(D) in the case of the exercise of an option, a cash payment by a broker-dealer acceptable to the Company to whom the optionee has submitted an irrevocable notice of exercise or (E) any combination of (A), (B) and (C), in each case to the extent set forth in the Agreement relating to the award.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holder.</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9"/>
          <w:szCs w:val="19"/>
          <w:b w:val="1"/>
          <w:bCs w:val="1"/>
          <w:color w:val="auto"/>
        </w:rPr>
        <w:t xml:space="preserve">5.6 </w:t>
      </w:r>
      <w:r>
        <w:rPr>
          <w:rFonts w:ascii="Arial" w:cs="Arial" w:eastAsia="Arial" w:hAnsi="Arial"/>
          <w:sz w:val="19"/>
          <w:szCs w:val="19"/>
          <w:b w:val="1"/>
          <w:bCs w:val="1"/>
          <w:u w:val="single" w:color="auto"/>
          <w:color w:val="auto"/>
        </w:rPr>
        <w:t>Restrictions on Shares</w:t>
      </w:r>
      <w:r>
        <w:rPr>
          <w:rFonts w:ascii="Arial" w:cs="Arial" w:eastAsia="Arial" w:hAnsi="Arial"/>
          <w:sz w:val="19"/>
          <w:szCs w:val="19"/>
          <w:color w:val="auto"/>
        </w:rPr>
        <w:t>. Each award made hereunder shall be subject to the requirement that if at any time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that the listing, 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4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b w:val="1"/>
          <w:bCs w:val="1"/>
          <w:color w:val="auto"/>
        </w:rPr>
        <w:t xml:space="preserve">5.7 </w:t>
      </w:r>
      <w:r>
        <w:rPr>
          <w:rFonts w:ascii="Arial" w:cs="Arial" w:eastAsia="Arial" w:hAnsi="Arial"/>
          <w:sz w:val="19"/>
          <w:szCs w:val="19"/>
          <w:b w:val="1"/>
          <w:bCs w:val="1"/>
          <w:u w:val="single" w:color="auto"/>
          <w:color w:val="auto"/>
        </w:rPr>
        <w:t>Adjustment</w:t>
      </w:r>
      <w:r>
        <w:rPr>
          <w:rFonts w:ascii="Arial" w:cs="Arial" w:eastAsia="Arial" w:hAnsi="Arial"/>
          <w:sz w:val="19"/>
          <w:szCs w:val="19"/>
          <w:color w:val="auto"/>
        </w:rPr>
        <w:t>. In the event of any equity restructuring (within the meaning of Financial Accounting Standards Board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Accounting Standards Codification Topic 718, Compensation—Stock Compensation)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exercise price or base price per share), the terms of each outstanding Stock Award (including the number and class of securities subject thereto), the terms of each outstanding Performance Award (including the number and class of securities subject thereto, if applicable), the maximum number of securities with respect to which options or SARs may be granted during any fiscal year of the Company to any one grantee, the maximum number of shares of Common Stock that may be awarded during any fiscal year of the Company to any one grantee pursuant to a Stock Award that is subject to Performance Measures or a Performance Award, as set forth in </w:t>
      </w:r>
      <w:r>
        <w:rPr>
          <w:rFonts w:ascii="Arial" w:cs="Arial" w:eastAsia="Arial" w:hAnsi="Arial"/>
          <w:sz w:val="19"/>
          <w:szCs w:val="19"/>
          <w:u w:val="single" w:color="auto"/>
          <w:color w:val="auto"/>
        </w:rPr>
        <w:t>Section 1.5</w:t>
      </w:r>
      <w:r>
        <w:rPr>
          <w:rFonts w:ascii="Arial" w:cs="Arial" w:eastAsia="Arial" w:hAnsi="Arial"/>
          <w:sz w:val="19"/>
          <w:szCs w:val="19"/>
          <w:color w:val="auto"/>
        </w:rPr>
        <w:t>,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w:t>
      </w:r>
    </w:p>
    <w:p>
      <w:pPr>
        <w:spacing w:after="0" w:line="23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the event of a “Change in Control,” the Board, as constituted prior to the Change in Control, may, in its discretion:</w:t>
      </w:r>
    </w:p>
    <w:p>
      <w:pPr>
        <w:spacing w:after="0" w:line="267" w:lineRule="exact"/>
        <w:rPr>
          <w:rFonts w:ascii="Arial" w:cs="Arial" w:eastAsia="Arial" w:hAnsi="Arial"/>
          <w:sz w:val="19"/>
          <w:szCs w:val="19"/>
          <w:color w:val="auto"/>
        </w:rPr>
      </w:pPr>
    </w:p>
    <w:p>
      <w:pPr>
        <w:ind w:left="1620" w:hanging="315"/>
        <w:spacing w:after="0" w:line="248" w:lineRule="auto"/>
        <w:tabs>
          <w:tab w:leader="none" w:pos="16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require that (i) some or all outstanding options and SARs shall immediately become exercisable in full or in part, (ii) the Restriction Period applicable to some or all outstanding Stock Awards shall lapse in full or in part, (iii) the Performance Period applicable to some or all outstanding awards shall lapse in full or in part, and (iv) the Performance Measures applicable to some or all outstanding awards shall be deemed to be satisfied at the target, maximum or any other level;</w:t>
      </w:r>
    </w:p>
    <w:p>
      <w:pPr>
        <w:spacing w:after="0" w:line="192" w:lineRule="exact"/>
        <w:rPr>
          <w:rFonts w:ascii="Arial" w:cs="Arial" w:eastAsia="Arial" w:hAnsi="Arial"/>
          <w:sz w:val="22"/>
          <w:szCs w:val="22"/>
          <w:color w:val="auto"/>
        </w:rPr>
      </w:pPr>
    </w:p>
    <w:p>
      <w:pPr>
        <w:ind w:left="1620" w:right="200" w:hanging="315"/>
        <w:spacing w:after="0" w:line="265" w:lineRule="auto"/>
        <w:tabs>
          <w:tab w:leader="none" w:pos="1620" w:val="left"/>
        </w:tabs>
        <w:numPr>
          <w:ilvl w:val="1"/>
          <w:numId w:val="31"/>
        </w:numPr>
        <w:rPr>
          <w:rFonts w:ascii="Arial" w:cs="Arial" w:eastAsia="Arial" w:hAnsi="Arial"/>
          <w:sz w:val="21"/>
          <w:szCs w:val="21"/>
          <w:color w:val="auto"/>
        </w:rPr>
      </w:pPr>
      <w:r>
        <w:rPr>
          <w:rFonts w:ascii="Arial" w:cs="Arial" w:eastAsia="Arial" w:hAnsi="Arial"/>
          <w:sz w:val="21"/>
          <w:szCs w:val="21"/>
          <w:color w:val="auto"/>
        </w:rPr>
        <w:t>require that shares of capital stock of the corporation resulting from or succeeding to the business of the Company pursuant to such Change in Control, or a parent corporation thereof, be substituted for some or all of the shares of Common Stock subject to an outstanding award, with an appropriate and equitable adjustment to such award as determined by the Board in accordance with Section 5.7; and/or</w:t>
      </w:r>
    </w:p>
    <w:p>
      <w:pPr>
        <w:spacing w:after="0" w:line="175" w:lineRule="exact"/>
        <w:rPr>
          <w:rFonts w:ascii="Arial" w:cs="Arial" w:eastAsia="Arial" w:hAnsi="Arial"/>
          <w:sz w:val="21"/>
          <w:szCs w:val="21"/>
          <w:color w:val="auto"/>
        </w:rPr>
      </w:pPr>
    </w:p>
    <w:p>
      <w:pPr>
        <w:ind w:left="1620" w:hanging="315"/>
        <w:spacing w:after="0" w:line="302" w:lineRule="auto"/>
        <w:tabs>
          <w:tab w:leader="none" w:pos="16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require outstanding awards, in whole or in part, to be surrendered to the Company by the holder, and to be immediately cancelled by the Company, and to provide for the holder to receive (i) a cash payment in an amount equal to (A) in the case of an option or an SAR, the number of shares of Common Stock then subject to the portion of such option or SAR surrendered, whether or not vested or exercisable, multiplied by the excess, if any,</w:t>
      </w:r>
    </w:p>
    <w:p>
      <w:pPr>
        <w:sectPr>
          <w:pgSz w:w="11900" w:h="16838" w:orient="portrait"/>
          <w:cols w:equalWidth="0" w:num="1">
            <w:col w:w="11400"/>
          </w:cols>
          <w:pgMar w:left="240" w:top="315" w:right="259" w:bottom="0" w:gutter="0" w:footer="0" w:header="0"/>
        </w:sectPr>
      </w:pPr>
    </w:p>
    <w:bookmarkStart w:id="45" w:name="page46"/>
    <w:bookmarkEnd w:id="45"/>
    <w:p>
      <w:pPr>
        <w:ind w:left="1620" w:right="20"/>
        <w:spacing w:after="0" w:line="289" w:lineRule="auto"/>
        <w:rPr>
          <w:sz w:val="20"/>
          <w:szCs w:val="20"/>
          <w:color w:val="auto"/>
        </w:rPr>
      </w:pPr>
      <w:r>
        <w:rPr>
          <w:rFonts w:ascii="Arial" w:cs="Arial" w:eastAsia="Arial" w:hAnsi="Arial"/>
          <w:sz w:val="19"/>
          <w:szCs w:val="19"/>
          <w:color w:val="auto"/>
        </w:rPr>
        <w:t>of the Fair Market Value of a share of Common Stock as of the date of the Change in Control, over the purchase price or base price per share of Common Stock subject to such option or SAR, (B) in the case of a Stock Award, the number of shares of Common Stock then subject to the portion of such award surrendered, whether or not vested, multiplied by the Fair Market Value of a share of Common Stock as of the date of the Change in Control, and (C) in the case of a Performance Award, the value of the Performance Award then subject to the portion of such award surrendered; (ii) shares of capital stock of the corporation resulting from or succeeding to the business of the Company pursuant to such Change in Control, or a parent corporation thereof, having a fair market value not less than the amount determined under clause (i) above; or (iii) a combination of the payment of cash pursuant to clause (i) above and the issuance of shares pursuant to clause (ii) above.</w:t>
      </w:r>
    </w:p>
    <w:p>
      <w:pPr>
        <w:spacing w:after="0" w:line="158"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this Plan, a “Change in Control” shall be deemed to have occurred if:</w:t>
      </w:r>
    </w:p>
    <w:p>
      <w:pPr>
        <w:spacing w:after="0" w:line="233" w:lineRule="exact"/>
        <w:rPr>
          <w:rFonts w:ascii="Arial" w:cs="Arial" w:eastAsia="Arial" w:hAnsi="Arial"/>
          <w:sz w:val="22"/>
          <w:szCs w:val="22"/>
          <w:color w:val="auto"/>
        </w:rPr>
      </w:pPr>
    </w:p>
    <w:p>
      <w:pPr>
        <w:ind w:left="1620" w:hanging="315"/>
        <w:spacing w:after="0" w:line="259" w:lineRule="auto"/>
        <w:tabs>
          <w:tab w:leader="none" w:pos="1620" w:val="left"/>
        </w:tabs>
        <w:numPr>
          <w:ilvl w:val="1"/>
          <w:numId w:val="32"/>
        </w:numPr>
        <w:rPr>
          <w:rFonts w:ascii="Arial" w:cs="Arial" w:eastAsia="Arial" w:hAnsi="Arial"/>
          <w:sz w:val="21"/>
          <w:szCs w:val="21"/>
          <w:color w:val="auto"/>
        </w:rPr>
      </w:pPr>
      <w:r>
        <w:rPr>
          <w:rFonts w:ascii="Arial" w:cs="Arial" w:eastAsia="Arial" w:hAnsi="Arial"/>
          <w:sz w:val="21"/>
          <w:szCs w:val="21"/>
          <w:color w:val="auto"/>
        </w:rPr>
        <w:t>any "person," as such term is used in Sections 13(d) and 14(d) of the Exchange Act (other than the Company; any trustee or other fiduciary holding securities under an employee benefit plan of the Company; or any company owned, directly or indirectly, by the stockholders of the Company in substantially the same proportions as their ownership of Stock of the Company) is or becomes after the effective date of this Plan the "beneficial owner" (as defined in Rule 13d-3 under the Exchange Act),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w:t>
      </w:r>
    </w:p>
    <w:p>
      <w:pPr>
        <w:spacing w:after="0" w:line="184" w:lineRule="exact"/>
        <w:rPr>
          <w:rFonts w:ascii="Arial" w:cs="Arial" w:eastAsia="Arial" w:hAnsi="Arial"/>
          <w:sz w:val="21"/>
          <w:szCs w:val="21"/>
          <w:color w:val="auto"/>
        </w:rPr>
      </w:pPr>
    </w:p>
    <w:p>
      <w:pPr>
        <w:ind w:left="1620" w:right="60" w:hanging="315"/>
        <w:spacing w:after="0" w:line="292" w:lineRule="auto"/>
        <w:tabs>
          <w:tab w:leader="none" w:pos="16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during any period of two consecutive years (not including any period prior to the effective date of this Plan), individuals who at the beginning of such period constitute the Board, and any new director (other than a director designated by a person who has entered into an agreement with the Company to effect a transaction described in clause (1), (3) or (4) of this Section 5.8(b)) whose election by the Board or nomination for election by the Company's stockholders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151" w:lineRule="exact"/>
        <w:rPr>
          <w:rFonts w:ascii="Arial" w:cs="Arial" w:eastAsia="Arial" w:hAnsi="Arial"/>
          <w:sz w:val="19"/>
          <w:szCs w:val="19"/>
          <w:color w:val="auto"/>
        </w:rPr>
      </w:pPr>
    </w:p>
    <w:p>
      <w:pPr>
        <w:ind w:left="1620" w:right="20" w:hanging="315"/>
        <w:spacing w:after="0" w:line="259" w:lineRule="auto"/>
        <w:tabs>
          <w:tab w:leader="none" w:pos="1620"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consummation of a merger or consolidation of the Company with any other corporation, other than (i) a merger or consolidation which would result in the voting securities of the Company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Company, at least 75% of the combined voting power of the voting securities of the Company or such surviving entity outstanding immediately after such merger or consolidation or (ii) a merger or consolidation effected to implement a recapitalization of the Company (or similar transaction) in which no person acquires more than 50% of the combined voting power of the Company's then outstanding securities; or</w:t>
      </w:r>
    </w:p>
    <w:p>
      <w:pPr>
        <w:spacing w:after="0" w:line="180" w:lineRule="exact"/>
        <w:rPr>
          <w:rFonts w:ascii="Arial" w:cs="Arial" w:eastAsia="Arial" w:hAnsi="Arial"/>
          <w:sz w:val="21"/>
          <w:szCs w:val="21"/>
          <w:color w:val="auto"/>
        </w:rPr>
      </w:pPr>
    </w:p>
    <w:p>
      <w:pPr>
        <w:ind w:left="1620" w:right="900" w:hanging="315"/>
        <w:spacing w:after="0" w:line="263" w:lineRule="auto"/>
        <w:tabs>
          <w:tab w:leader="none" w:pos="162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stockholders of the Company approve a plan of complete liquidation of the Company or the sale or disposition by the Company of all or substantially all of the Company's assets;</w:t>
      </w:r>
    </w:p>
    <w:p>
      <w:pPr>
        <w:spacing w:after="0" w:line="175" w:lineRule="exact"/>
        <w:rPr>
          <w:sz w:val="20"/>
          <w:szCs w:val="20"/>
          <w:color w:val="auto"/>
        </w:rPr>
      </w:pPr>
    </w:p>
    <w:p>
      <w:pPr>
        <w:ind w:right="160"/>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any nonqualified deferred compensation that becomes payable on account of the Change in Control, the transaction or event described in clause (1), (2), (3) or (4) also constitutes a “change in control event,” as defined in Treasury Regulation §1.409A-3(i)(5) if required in order for the payment not to violate Section 409A of the Code.</w:t>
      </w:r>
    </w:p>
    <w:p>
      <w:pPr>
        <w:spacing w:after="0" w:line="168" w:lineRule="exact"/>
        <w:rPr>
          <w:sz w:val="20"/>
          <w:szCs w:val="20"/>
          <w:color w:val="auto"/>
        </w:rPr>
      </w:pPr>
    </w:p>
    <w:p>
      <w:pPr>
        <w:spacing w:after="0" w:line="309" w:lineRule="auto"/>
        <w:rPr>
          <w:sz w:val="20"/>
          <w:szCs w:val="20"/>
          <w:color w:val="auto"/>
        </w:rPr>
      </w:pPr>
      <w:r>
        <w:rPr>
          <w:rFonts w:ascii="Arial" w:cs="Arial" w:eastAsia="Arial" w:hAnsi="Arial"/>
          <w:sz w:val="19"/>
          <w:szCs w:val="19"/>
          <w:b w:val="1"/>
          <w:bCs w:val="1"/>
          <w:color w:val="auto"/>
        </w:rPr>
        <w:t xml:space="preserve">5.9 </w:t>
      </w:r>
      <w:r>
        <w:rPr>
          <w:rFonts w:ascii="Arial" w:cs="Arial" w:eastAsia="Arial" w:hAnsi="Arial"/>
          <w:sz w:val="19"/>
          <w:szCs w:val="19"/>
          <w:b w:val="1"/>
          <w:bCs w:val="1"/>
          <w:u w:val="single" w:color="auto"/>
          <w:color w:val="auto"/>
        </w:rPr>
        <w:t>Deferrals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may determine that the delivery of shares of Common Stock or the payment of cash, or a</w:t>
      </w:r>
      <w:r>
        <w:rPr>
          <w:rFonts w:ascii="Arial" w:cs="Arial" w:eastAsia="Arial" w:hAnsi="Arial"/>
          <w:sz w:val="19"/>
          <w:szCs w:val="19"/>
          <w:b w:val="1"/>
          <w:bCs w:val="1"/>
          <w:color w:val="auto"/>
        </w:rPr>
        <w:t xml:space="preserve"> </w:t>
      </w:r>
      <w:r>
        <w:rPr>
          <w:rFonts w:ascii="Arial" w:cs="Arial" w:eastAsia="Arial" w:hAnsi="Arial"/>
          <w:sz w:val="19"/>
          <w:szCs w:val="19"/>
          <w:color w:val="auto"/>
        </w:rPr>
        <w:t>combination thereof, upon the 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No Right of Participation, Employment or Service</w:t>
      </w:r>
      <w:r>
        <w:rPr>
          <w:rFonts w:ascii="Arial" w:cs="Arial" w:eastAsia="Arial" w:hAnsi="Arial"/>
          <w:sz w:val="22"/>
          <w:szCs w:val="22"/>
          <w:color w:val="auto"/>
        </w:rPr>
        <w:t>. Unless otherwise set forth in an employment agreement, no person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any right 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w:t>
      </w:r>
    </w:p>
    <w:p>
      <w:pPr>
        <w:spacing w:after="0" w:line="179" w:lineRule="exact"/>
        <w:rPr>
          <w:sz w:val="20"/>
          <w:szCs w:val="20"/>
          <w:color w:val="auto"/>
        </w:rPr>
      </w:pPr>
    </w:p>
    <w:p>
      <w:pPr>
        <w:jc w:val="both"/>
        <w:ind w:right="620"/>
        <w:spacing w:after="0" w:line="323" w:lineRule="auto"/>
        <w:rPr>
          <w:sz w:val="20"/>
          <w:szCs w:val="20"/>
          <w:color w:val="auto"/>
        </w:rPr>
      </w:pPr>
      <w:r>
        <w:rPr>
          <w:rFonts w:ascii="Arial" w:cs="Arial" w:eastAsia="Arial" w:hAnsi="Arial"/>
          <w:sz w:val="19"/>
          <w:szCs w:val="19"/>
          <w:b w:val="1"/>
          <w:bCs w:val="1"/>
          <w:color w:val="auto"/>
        </w:rPr>
        <w:t xml:space="preserve">5.11 </w:t>
      </w:r>
      <w:r>
        <w:rPr>
          <w:rFonts w:ascii="Arial" w:cs="Arial" w:eastAsia="Arial" w:hAnsi="Arial"/>
          <w:sz w:val="19"/>
          <w:szCs w:val="19"/>
          <w:b w:val="1"/>
          <w:bCs w:val="1"/>
          <w:u w:val="single" w:color="auto"/>
          <w:color w:val="auto"/>
        </w:rPr>
        <w:t>Rights as Stockholder</w:t>
      </w:r>
      <w:r>
        <w:rPr>
          <w:rFonts w:ascii="Arial" w:cs="Arial" w:eastAsia="Arial" w:hAnsi="Arial"/>
          <w:sz w:val="19"/>
          <w:szCs w:val="19"/>
          <w:color w:val="auto"/>
        </w:rPr>
        <w:t>. No person shall have any right as a stockholder of the Company with respect to any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or other equity security of the Company which is subject to an award hereunder unless and until such person becomes a stockholder of record with respect to such shares of Common Stock or equity security.</w:t>
      </w:r>
    </w:p>
    <w:p>
      <w:pPr>
        <w:spacing w:after="0" w:line="117" w:lineRule="exact"/>
        <w:rPr>
          <w:sz w:val="20"/>
          <w:szCs w:val="20"/>
          <w:color w:val="auto"/>
        </w:rPr>
      </w:pPr>
    </w:p>
    <w:p>
      <w:pPr>
        <w:ind w:right="60"/>
        <w:spacing w:after="0" w:line="309" w:lineRule="auto"/>
        <w:rPr>
          <w:sz w:val="20"/>
          <w:szCs w:val="20"/>
          <w:color w:val="auto"/>
        </w:rPr>
      </w:pPr>
      <w:r>
        <w:rPr>
          <w:rFonts w:ascii="Arial" w:cs="Arial" w:eastAsia="Arial" w:hAnsi="Arial"/>
          <w:sz w:val="19"/>
          <w:szCs w:val="19"/>
          <w:b w:val="1"/>
          <w:bCs w:val="1"/>
          <w:color w:val="auto"/>
        </w:rPr>
        <w:t xml:space="preserve">5.12 </w:t>
      </w:r>
      <w:r>
        <w:rPr>
          <w:rFonts w:ascii="Arial" w:cs="Arial" w:eastAsia="Arial" w:hAnsi="Arial"/>
          <w:sz w:val="19"/>
          <w:szCs w:val="19"/>
          <w:b w:val="1"/>
          <w:bCs w:val="1"/>
          <w:u w:val="single" w:color="auto"/>
          <w:color w:val="auto"/>
        </w:rPr>
        <w:t>Designation of Beneficiary</w:t>
      </w:r>
      <w:r>
        <w:rPr>
          <w:rFonts w:ascii="Arial" w:cs="Arial" w:eastAsia="Arial" w:hAnsi="Arial"/>
          <w:sz w:val="19"/>
          <w:szCs w:val="19"/>
          <w:color w:val="auto"/>
        </w:rPr>
        <w:t>. A holder of an award may file with the Company a written designation of one or more persons</w:t>
      </w:r>
      <w:r>
        <w:rPr>
          <w:rFonts w:ascii="Arial" w:cs="Arial" w:eastAsia="Arial" w:hAnsi="Arial"/>
          <w:sz w:val="19"/>
          <w:szCs w:val="19"/>
          <w:b w:val="1"/>
          <w:bCs w:val="1"/>
          <w:color w:val="auto"/>
        </w:rPr>
        <w:t xml:space="preserve"> </w:t>
      </w:r>
      <w:r>
        <w:rPr>
          <w:rFonts w:ascii="Arial" w:cs="Arial" w:eastAsia="Arial" w:hAnsi="Arial"/>
          <w:sz w:val="19"/>
          <w:szCs w:val="19"/>
          <w:color w:val="auto"/>
        </w:rPr>
        <w:t>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Committee. Each beneficiary designation shall become effective only</w:t>
      </w:r>
    </w:p>
    <w:p>
      <w:pPr>
        <w:sectPr>
          <w:pgSz w:w="11900" w:h="16838" w:orient="portrait"/>
          <w:cols w:equalWidth="0" w:num="1">
            <w:col w:w="11400"/>
          </w:cols>
          <w:pgMar w:left="240" w:top="132" w:right="259" w:bottom="0" w:gutter="0" w:footer="0" w:header="0"/>
        </w:sectPr>
      </w:pPr>
    </w:p>
    <w:bookmarkStart w:id="46" w:name="page47"/>
    <w:bookmarkEnd w:id="46"/>
    <w:p>
      <w:pPr>
        <w:spacing w:after="0" w:line="261" w:lineRule="auto"/>
        <w:rPr>
          <w:sz w:val="20"/>
          <w:szCs w:val="20"/>
          <w:color w:val="auto"/>
        </w:rPr>
      </w:pPr>
      <w:r>
        <w:rPr>
          <w:rFonts w:ascii="Arial" w:cs="Arial" w:eastAsia="Arial" w:hAnsi="Arial"/>
          <w:sz w:val="21"/>
          <w:szCs w:val="21"/>
          <w:color w:val="auto"/>
        </w:rPr>
        <w:t>when filed in writing with the Committee during the holder’s lifetime on a form prescribed by the Committee. The spouse of a married holder domiciled in a community property jurisdiction shall join in any designation of a beneficiary other than such spouse. The filing with the Committee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color w:val="auto"/>
        </w:rPr>
        <w:t xml:space="preserve">5.13 </w:t>
      </w:r>
      <w:r>
        <w:rPr>
          <w:rFonts w:ascii="Arial" w:cs="Arial" w:eastAsia="Arial" w:hAnsi="Arial"/>
          <w:sz w:val="19"/>
          <w:szCs w:val="19"/>
          <w:b w:val="1"/>
          <w:bCs w:val="1"/>
          <w:u w:val="single" w:color="auto"/>
          <w:color w:val="auto"/>
        </w:rPr>
        <w:t>Awards Subject to Clawback</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awards granted under this Plan and any cash payment or shares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pursuant to such an award are subject to forfeiture, recovery by the Company or other action pursuant to the applicable award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38" w:lineRule="exact"/>
        <w:rPr>
          <w:sz w:val="20"/>
          <w:szCs w:val="20"/>
          <w:color w:val="auto"/>
        </w:rPr>
      </w:pPr>
    </w:p>
    <w:p>
      <w:pPr>
        <w:ind w:right="20"/>
        <w:spacing w:after="0" w:line="323" w:lineRule="auto"/>
        <w:rPr>
          <w:sz w:val="20"/>
          <w:szCs w:val="20"/>
          <w:color w:val="auto"/>
        </w:rPr>
      </w:pPr>
      <w:r>
        <w:rPr>
          <w:rFonts w:ascii="Arial" w:cs="Arial" w:eastAsia="Arial" w:hAnsi="Arial"/>
          <w:sz w:val="19"/>
          <w:szCs w:val="19"/>
          <w:b w:val="1"/>
          <w:bCs w:val="1"/>
          <w:color w:val="auto"/>
        </w:rPr>
        <w:t xml:space="preserve">5.14 </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Plan,</w:t>
      </w:r>
      <w:r>
        <w:rPr>
          <w:rFonts w:ascii="Arial" w:cs="Arial" w:eastAsia="Arial" w:hAnsi="Arial"/>
          <w:sz w:val="19"/>
          <w:szCs w:val="19"/>
          <w:b w:val="1"/>
          <w:bCs w:val="1"/>
          <w:color w:val="auto"/>
        </w:rPr>
        <w:t xml:space="preserve"> e</w:t>
      </w:r>
      <w:r>
        <w:rPr>
          <w:rFonts w:ascii="Arial" w:cs="Arial" w:eastAsia="Arial" w:hAnsi="Arial"/>
          <w:sz w:val="19"/>
          <w:szCs w:val="19"/>
          <w:color w:val="auto"/>
        </w:rPr>
        <w:t>ach award hereunder and the related Agreement, and all determinations made and actions taken</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thereto, to the extent not otherwise governed by the Code or the laws of the United States, shall be governed by the laws of the State of Delaware and construed in accordance therewith without giving effect to principles of conflicts of laws.</w:t>
      </w:r>
    </w:p>
    <w:p>
      <w:pPr>
        <w:spacing w:after="0" w:line="117"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b w:val="1"/>
          <w:bCs w:val="1"/>
          <w:color w:val="auto"/>
        </w:rPr>
        <w:t xml:space="preserve">5.15 </w:t>
      </w:r>
      <w:r>
        <w:rPr>
          <w:rFonts w:ascii="Arial" w:cs="Arial" w:eastAsia="Arial" w:hAnsi="Arial"/>
          <w:sz w:val="22"/>
          <w:szCs w:val="22"/>
          <w:b w:val="1"/>
          <w:bCs w:val="1"/>
          <w:u w:val="single" w:color="auto"/>
          <w:color w:val="auto"/>
        </w:rPr>
        <w:t>Foreign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amending this Plan, the Committee may grant awards to eligible persons who are foreign</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sectPr>
          <w:pgSz w:w="11900" w:h="16838" w:orient="portrait"/>
          <w:cols w:equalWidth="0" w:num="1">
            <w:col w:w="11420"/>
          </w:cols>
          <w:pgMar w:left="240" w:top="13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Cash-Settled RSU Agreement – Non-Employee Directors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RESTRICTED STOCK UNIT AWARD AGREEMENT </w:t>
      </w:r>
      <w:r>
        <w:rPr>
          <w:rFonts w:ascii="Arial" w:cs="Arial" w:eastAsia="Arial" w:hAnsi="Arial"/>
          <w:sz w:val="21"/>
          <w:szCs w:val="21"/>
          <w:color w:val="auto"/>
        </w:rPr>
        <w:t>(“Agreement”) is entered into as of ___________ (the</w:t>
      </w:r>
    </w:p>
    <w:p>
      <w:pPr>
        <w:spacing w:after="0" w:line="39" w:lineRule="exact"/>
        <w:rPr>
          <w:sz w:val="20"/>
          <w:szCs w:val="20"/>
          <w:color w:val="auto"/>
        </w:rPr>
      </w:pPr>
    </w:p>
    <w:p>
      <w:pPr>
        <w:ind w:right="460"/>
        <w:spacing w:after="0" w:line="270" w:lineRule="auto"/>
        <w:rPr>
          <w:sz w:val="20"/>
          <w:szCs w:val="20"/>
          <w:color w:val="auto"/>
        </w:rPr>
      </w:pPr>
      <w:r>
        <w:rPr>
          <w:rFonts w:ascii="Arial" w:cs="Arial" w:eastAsia="Arial" w:hAnsi="Arial"/>
          <w:sz w:val="21"/>
          <w:szCs w:val="21"/>
          <w:color w:val="auto"/>
        </w:rPr>
        <w:t xml:space="preserve">“Date of Grant”), by and between </w:t>
      </w:r>
      <w:r>
        <w:rPr>
          <w:rFonts w:ascii="Arial" w:cs="Arial" w:eastAsia="Arial" w:hAnsi="Arial"/>
          <w:sz w:val="21"/>
          <w:szCs w:val="21"/>
          <w:b w:val="1"/>
          <w:bCs w:val="1"/>
          <w:color w:val="auto"/>
        </w:rPr>
        <w:t>DINE BRANDS GLOBAL, INC.</w:t>
      </w:r>
      <w:r>
        <w:rPr>
          <w:rFonts w:ascii="Arial" w:cs="Arial" w:eastAsia="Arial" w:hAnsi="Arial"/>
          <w:sz w:val="21"/>
          <w:szCs w:val="21"/>
          <w:color w:val="auto"/>
        </w:rPr>
        <w:t xml:space="preserve"> (formerly DineEquity, Inc.), a Delaware corporation (the “Company”) and __________________, a Non-Employee Director of the Company (the “Participant”).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the cash value of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hereby grants to the Participant an award of</w:t>
      </w:r>
    </w:p>
    <w:p>
      <w:pPr>
        <w:spacing w:after="0" w:line="33" w:lineRule="exact"/>
        <w:rPr>
          <w:rFonts w:ascii="Arial" w:cs="Arial" w:eastAsia="Arial" w:hAnsi="Arial"/>
          <w:sz w:val="21"/>
          <w:szCs w:val="21"/>
          <w:color w:val="010000"/>
        </w:rPr>
      </w:pPr>
    </w:p>
    <w:p>
      <w:pPr>
        <w:ind w:right="60"/>
        <w:spacing w:after="0" w:line="245" w:lineRule="auto"/>
        <w:rPr>
          <w:rFonts w:ascii="Arial" w:cs="Arial" w:eastAsia="Arial" w:hAnsi="Arial"/>
          <w:sz w:val="21"/>
          <w:szCs w:val="21"/>
          <w:color w:val="010000"/>
        </w:rPr>
      </w:pPr>
      <w:r>
        <w:rPr>
          <w:rFonts w:ascii="Arial" w:cs="Arial" w:eastAsia="Arial" w:hAnsi="Arial"/>
          <w:sz w:val="22"/>
          <w:szCs w:val="22"/>
          <w:color w:val="auto"/>
        </w:rPr>
        <w:t>_____________ restricted stock units (the “Restricted Stock Units”). Each Restricted Stock Unit represents the right to receive a cash payment based on the value of one share of common stock, $.01 par value, of the Company (the “Common Stock”), subject to the terms and conditions set forth herein.</w:t>
      </w:r>
    </w:p>
    <w:p>
      <w:pPr>
        <w:spacing w:after="0" w:line="193" w:lineRule="exact"/>
        <w:rPr>
          <w:rFonts w:ascii="Arial" w:cs="Arial" w:eastAsia="Arial" w:hAnsi="Arial"/>
          <w:sz w:val="21"/>
          <w:szCs w:val="21"/>
          <w:color w:val="010000"/>
        </w:rPr>
      </w:pPr>
    </w:p>
    <w:p>
      <w:pPr>
        <w:ind w:firstLine="656"/>
        <w:spacing w:after="0" w:line="288" w:lineRule="auto"/>
        <w:tabs>
          <w:tab w:leader="none" w:pos="990" w:val="left"/>
        </w:tabs>
        <w:numPr>
          <w:ilvl w:val="0"/>
          <w:numId w:val="33"/>
        </w:numPr>
        <w:rPr>
          <w:rFonts w:ascii="Arial" w:cs="Arial" w:eastAsia="Arial" w:hAnsi="Arial"/>
          <w:sz w:val="19"/>
          <w:szCs w:val="19"/>
          <w:color w:val="010000"/>
        </w:rPr>
      </w:pPr>
      <w:r>
        <w:rPr>
          <w:rFonts w:ascii="Arial" w:cs="Arial" w:eastAsia="Arial" w:hAnsi="Arial"/>
          <w:sz w:val="19"/>
          <w:szCs w:val="19"/>
          <w:u w:val="single" w:color="auto"/>
          <w:color w:val="auto"/>
        </w:rPr>
        <w:t>VESTING AND SETTLEMENT</w:t>
      </w:r>
      <w:r>
        <w:rPr>
          <w:rFonts w:ascii="Arial" w:cs="Arial" w:eastAsia="Arial" w:hAnsi="Arial"/>
          <w:sz w:val="19"/>
          <w:szCs w:val="19"/>
          <w:color w:val="auto"/>
        </w:rPr>
        <w:t>. Subject to the Participant’s continuous service with the Company, the Restricted Stock Units shall vest on the third anniversary of the Date of Grant. If the Restricted Stock Units have vested in accordance with this vesting schedule, they are referred to herein as “Vested Units.” If the Restricted Stock Units have not vested in accordance with this vesting schedule, they are referred to herein as “Unvested Units.” Notwithstanding anything herein or in the Plan to the contrary, all Unvested Units shall become immediately and fully vested and thereafter be considered Vested Units upon the Participant’s cessation from service as a member of the Board due to Retirement, death or Disability. For purposes of the definition of “Retirement” (as defined in the Plan), “Cause” means,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 Except as set forth in the preceding two sentences, upon the termination of the Participant’s service as a director for any reason, any then Unvested Units held by the Participant shall be forfeited and canceled as of the date of such termination.</w:t>
      </w:r>
    </w:p>
    <w:p>
      <w:pPr>
        <w:spacing w:after="0" w:line="200" w:lineRule="exact"/>
        <w:rPr>
          <w:sz w:val="20"/>
          <w:szCs w:val="20"/>
          <w:color w:val="auto"/>
        </w:rPr>
      </w:pPr>
    </w:p>
    <w:p>
      <w:pPr>
        <w:spacing w:after="0" w:line="214"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The Vested Units shall be settled in cash by the delivery to the Participant of the cash-equivalent of one share of Common Stock per Vested Unit within thirty (30) days after the vesting or accelerated vesting of such Restricted Stock Units as set forth in the preceding paragraph. Notwithstanding the foregoing, the Company may determine in its sole and absolute discretion at the time of delivery that all or a portion of the Vested Units shall be settled in shares of Common Stock. No fractional shares will be issued under this Agreement.</w:t>
      </w:r>
    </w:p>
    <w:p>
      <w:pPr>
        <w:spacing w:after="0" w:line="192" w:lineRule="exact"/>
        <w:rPr>
          <w:sz w:val="20"/>
          <w:szCs w:val="20"/>
          <w:color w:val="auto"/>
        </w:rPr>
      </w:pPr>
    </w:p>
    <w:p>
      <w:pPr>
        <w:ind w:right="20" w:firstLine="656"/>
        <w:spacing w:after="0" w:line="264" w:lineRule="auto"/>
        <w:tabs>
          <w:tab w:leader="none" w:pos="990" w:val="left"/>
        </w:tabs>
        <w:numPr>
          <w:ilvl w:val="0"/>
          <w:numId w:val="34"/>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80" w:firstLine="656"/>
        <w:spacing w:after="0" w:line="297" w:lineRule="auto"/>
        <w:tabs>
          <w:tab w:leader="none" w:pos="990" w:val="left"/>
        </w:tabs>
        <w:numPr>
          <w:ilvl w:val="0"/>
          <w:numId w:val="34"/>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w:t>
      </w:r>
    </w:p>
    <w:p>
      <w:pPr>
        <w:sectPr>
          <w:pgSz w:w="11900" w:h="16838" w:orient="portrait"/>
          <w:cols w:equalWidth="0" w:num="1">
            <w:col w:w="11420"/>
          </w:cols>
          <w:pgMar w:left="240" w:top="126" w:right="239" w:bottom="0" w:gutter="0" w:footer="0" w:header="0"/>
        </w:sectPr>
      </w:pPr>
    </w:p>
    <w:bookmarkStart w:id="48" w:name="page49"/>
    <w:bookmarkEnd w:id="48"/>
    <w:p>
      <w:pPr>
        <w:spacing w:after="0" w:line="20"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88" w:lineRule="exact"/>
        <w:rPr>
          <w:sz w:val="20"/>
          <w:szCs w:val="20"/>
          <w:color w:val="auto"/>
        </w:rPr>
      </w:pPr>
    </w:p>
    <w:p>
      <w:pPr>
        <w:ind w:right="20" w:firstLine="656"/>
        <w:spacing w:after="0" w:line="290" w:lineRule="auto"/>
        <w:tabs>
          <w:tab w:leader="none" w:pos="990" w:val="left"/>
        </w:tabs>
        <w:numPr>
          <w:ilvl w:val="1"/>
          <w:numId w:val="35"/>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6" w:lineRule="auto"/>
        <w:tabs>
          <w:tab w:leader="none" w:pos="414" w:val="left"/>
        </w:tabs>
        <w:numPr>
          <w:ilvl w:val="0"/>
          <w:numId w:val="36"/>
        </w:numPr>
        <w:rPr>
          <w:rFonts w:ascii="Arial" w:cs="Arial" w:eastAsia="Arial" w:hAnsi="Arial"/>
          <w:sz w:val="21"/>
          <w:szCs w:val="21"/>
          <w:color w:val="auto"/>
        </w:rPr>
      </w:pPr>
      <w:r>
        <w:rPr>
          <w:rFonts w:ascii="Arial" w:cs="Arial" w:eastAsia="Arial" w:hAnsi="Arial"/>
          <w:sz w:val="21"/>
          <w:szCs w:val="21"/>
          <w:color w:val="auto"/>
        </w:rPr>
        <w:t>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right="60" w:firstLine="656"/>
        <w:spacing w:after="0" w:line="251" w:lineRule="auto"/>
        <w:tabs>
          <w:tab w:leader="none" w:pos="990"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right="40" w:firstLine="656"/>
        <w:spacing w:after="0" w:line="287" w:lineRule="auto"/>
        <w:tabs>
          <w:tab w:leader="none" w:pos="990" w:val="left"/>
        </w:tabs>
        <w:numPr>
          <w:ilvl w:val="1"/>
          <w:numId w:val="36"/>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ind w:right="260" w:firstLine="656"/>
        <w:spacing w:after="0" w:line="301" w:lineRule="auto"/>
        <w:tabs>
          <w:tab w:leader="none" w:pos="990" w:val="left"/>
        </w:tabs>
        <w:numPr>
          <w:ilvl w:val="1"/>
          <w:numId w:val="36"/>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120" w:firstLine="656"/>
        <w:spacing w:after="0" w:line="260" w:lineRule="auto"/>
        <w:tabs>
          <w:tab w:leader="none" w:pos="990"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w:t>
      </w:r>
    </w:p>
    <w:p>
      <w:pPr>
        <w:spacing w:after="0" w:line="177" w:lineRule="exact"/>
        <w:rPr>
          <w:rFonts w:ascii="Arial" w:cs="Arial" w:eastAsia="Arial" w:hAnsi="Arial"/>
          <w:sz w:val="22"/>
          <w:szCs w:val="22"/>
          <w:color w:val="010000"/>
        </w:rPr>
      </w:pPr>
    </w:p>
    <w:p>
      <w:pPr>
        <w:ind w:right="240" w:firstLine="656"/>
        <w:spacing w:after="0" w:line="276" w:lineRule="auto"/>
        <w:tabs>
          <w:tab w:leader="none" w:pos="1098"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00" w:firstLine="656"/>
        <w:spacing w:after="0" w:line="307" w:lineRule="auto"/>
        <w:tabs>
          <w:tab w:leader="none" w:pos="1090" w:val="left"/>
        </w:tabs>
        <w:numPr>
          <w:ilvl w:val="1"/>
          <w:numId w:val="36"/>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provided, however,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720" w:firstLine="656"/>
        <w:spacing w:after="0" w:line="276" w:lineRule="auto"/>
        <w:tabs>
          <w:tab w:leader="none" w:pos="1098"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jc w:val="both"/>
        <w:ind w:right="60" w:firstLine="656"/>
        <w:spacing w:after="0" w:line="320" w:lineRule="auto"/>
        <w:tabs>
          <w:tab w:leader="none" w:pos="1098" w:val="left"/>
        </w:tabs>
        <w:numPr>
          <w:ilvl w:val="1"/>
          <w:numId w:val="36"/>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In the event the terms of this Agreement would subject the Participant to taxes or penalties under Section 409A of the Code (“409A Penalties”), the Company and the Participant shall cooperate diligently</w:t>
      </w:r>
    </w:p>
    <w:p>
      <w:pPr>
        <w:sectPr>
          <w:pgSz w:w="11900" w:h="16859" w:orient="portrait"/>
          <w:cols w:equalWidth="0" w:num="1">
            <w:col w:w="11420"/>
          </w:cols>
          <w:pgMar w:left="240" w:top="132" w:right="239" w:bottom="0" w:gutter="0" w:footer="0" w:header="0"/>
        </w:sectPr>
      </w:pPr>
    </w:p>
    <w:bookmarkStart w:id="49" w:name="page50"/>
    <w:bookmarkEnd w:id="49"/>
    <w:p>
      <w:pPr>
        <w:spacing w:after="0" w:line="285" w:lineRule="auto"/>
        <w:rPr>
          <w:sz w:val="20"/>
          <w:szCs w:val="20"/>
          <w:color w:val="auto"/>
        </w:rPr>
      </w:pPr>
      <w:r>
        <w:rPr>
          <w:rFonts w:ascii="Arial" w:cs="Arial" w:eastAsia="Arial" w:hAnsi="Arial"/>
          <w:sz w:val="19"/>
          <w:szCs w:val="19"/>
          <w:color w:val="auto"/>
        </w:rPr>
        <w:t>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cessation from service as a member of the Board, such term shall be deemed to refer to the Participant’s “separation from service,” within the meaning of Section 409A of the Code. Notwithstanding any other provision in this Agreement, if the Participant is a “specified employee,” as defined in</w:t>
      </w:r>
    </w:p>
    <w:p>
      <w:pPr>
        <w:spacing w:after="0" w:line="4" w:lineRule="exact"/>
        <w:rPr>
          <w:sz w:val="20"/>
          <w:szCs w:val="20"/>
          <w:color w:val="auto"/>
        </w:rPr>
      </w:pPr>
    </w:p>
    <w:p>
      <w:pPr>
        <w:ind w:right="300"/>
        <w:spacing w:after="0" w:line="281" w:lineRule="auto"/>
        <w:rPr>
          <w:sz w:val="20"/>
          <w:szCs w:val="20"/>
          <w:color w:val="auto"/>
        </w:rPr>
      </w:pPr>
      <w:r>
        <w:rPr>
          <w:rFonts w:ascii="Arial" w:cs="Arial" w:eastAsia="Arial" w:hAnsi="Arial"/>
          <w:sz w:val="19"/>
          <w:szCs w:val="19"/>
          <w:color w:val="auto"/>
        </w:rPr>
        <w:t>Section 409A of the Code, as of the date of Participant’s separation from service, then to the extent any amount payable to the Participant (i) constitutes the payment of nonqualified deferred compensation, within the meaning of Section 409A of the Code,</w:t>
      </w:r>
    </w:p>
    <w:p>
      <w:pPr>
        <w:spacing w:after="0" w:line="2" w:lineRule="exact"/>
        <w:rPr>
          <w:sz w:val="20"/>
          <w:szCs w:val="20"/>
          <w:color w:val="auto"/>
        </w:rPr>
      </w:pPr>
    </w:p>
    <w:p>
      <w:pPr>
        <w:ind w:right="120" w:firstLine="8"/>
        <w:spacing w:after="0" w:line="281" w:lineRule="auto"/>
        <w:tabs>
          <w:tab w:leader="none" w:pos="318" w:val="left"/>
        </w:tabs>
        <w:numPr>
          <w:ilvl w:val="0"/>
          <w:numId w:val="37"/>
        </w:numPr>
        <w:rPr>
          <w:rFonts w:ascii="Arial" w:cs="Arial" w:eastAsia="Arial" w:hAnsi="Arial"/>
          <w:sz w:val="19"/>
          <w:szCs w:val="19"/>
          <w:color w:val="auto"/>
        </w:rPr>
      </w:pPr>
      <w:r>
        <w:rPr>
          <w:rFonts w:ascii="Arial" w:cs="Arial" w:eastAsia="Arial" w:hAnsi="Arial"/>
          <w:sz w:val="19"/>
          <w:szCs w:val="19"/>
          <w:color w:val="auto"/>
        </w:rPr>
        <w:t>is payable upon the Participant’s separation from service and (iii) under the terms of this Agreement would be payable prior to the six-month anniversary of the Participant’s separation from service, such payment shall be delayed until the earlier to occur of</w:t>
      </w:r>
    </w:p>
    <w:p>
      <w:pPr>
        <w:spacing w:after="0" w:line="1" w:lineRule="exact"/>
        <w:rPr>
          <w:rFonts w:ascii="Arial" w:cs="Arial" w:eastAsia="Arial" w:hAnsi="Arial"/>
          <w:sz w:val="19"/>
          <w:szCs w:val="19"/>
          <w:color w:val="auto"/>
        </w:rPr>
      </w:pPr>
    </w:p>
    <w:p>
      <w:pPr>
        <w:ind w:right="320" w:firstLine="8"/>
        <w:spacing w:after="0" w:line="246" w:lineRule="auto"/>
        <w:tabs>
          <w:tab w:leader="none" w:pos="29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first business day following the six-month anniversary of the separation from service and (b) the date of the Participant’s death.</w:t>
      </w:r>
    </w:p>
    <w:p>
      <w:pPr>
        <w:spacing w:after="0" w:line="192" w:lineRule="exact"/>
        <w:rPr>
          <w:rFonts w:ascii="Arial" w:cs="Arial" w:eastAsia="Arial" w:hAnsi="Arial"/>
          <w:sz w:val="22"/>
          <w:szCs w:val="22"/>
          <w:color w:val="auto"/>
        </w:rPr>
      </w:pPr>
    </w:p>
    <w:p>
      <w:pPr>
        <w:ind w:right="360" w:firstLine="656"/>
        <w:spacing w:after="0" w:line="266" w:lineRule="auto"/>
        <w:tabs>
          <w:tab w:leader="none" w:pos="1098" w:val="left"/>
        </w:tabs>
        <w:numPr>
          <w:ilvl w:val="1"/>
          <w:numId w:val="38"/>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82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11360"/>
          </w:cols>
          <w:pgMar w:left="240" w:top="132"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Cash-Settled RSU Agreement –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(“Agreement”) is entered into as of ___________ by and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 an employee of the 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the cash value of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39"/>
        </w:numPr>
        <w:rPr>
          <w:rFonts w:ascii="Arial" w:cs="Arial" w:eastAsia="Arial" w:hAnsi="Arial"/>
          <w:sz w:val="21"/>
          <w:szCs w:val="21"/>
          <w:color w:val="010000"/>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hereby grants to the Participant an award of</w:t>
      </w:r>
    </w:p>
    <w:p>
      <w:pPr>
        <w:spacing w:after="0" w:line="33" w:lineRule="exact"/>
        <w:rPr>
          <w:rFonts w:ascii="Arial" w:cs="Arial" w:eastAsia="Arial" w:hAnsi="Arial"/>
          <w:sz w:val="21"/>
          <w:szCs w:val="21"/>
          <w:color w:val="010000"/>
        </w:rPr>
      </w:pPr>
    </w:p>
    <w:p>
      <w:pPr>
        <w:ind w:right="60"/>
        <w:spacing w:after="0" w:line="245" w:lineRule="auto"/>
        <w:rPr>
          <w:rFonts w:ascii="Arial" w:cs="Arial" w:eastAsia="Arial" w:hAnsi="Arial"/>
          <w:sz w:val="21"/>
          <w:szCs w:val="21"/>
          <w:color w:val="010000"/>
        </w:rPr>
      </w:pPr>
      <w:r>
        <w:rPr>
          <w:rFonts w:ascii="Arial" w:cs="Arial" w:eastAsia="Arial" w:hAnsi="Arial"/>
          <w:sz w:val="22"/>
          <w:szCs w:val="22"/>
          <w:color w:val="auto"/>
        </w:rPr>
        <w:t>____________ restricted stock units (the “Restricted Stock Units”). Each Restricted Stock Unit represents the right to receive a cash payment based on the value of one share of common stock, $.01 par value, of the Company (the “Common Stock”), subject to the terms and conditions set forth herein.</w:t>
      </w:r>
    </w:p>
    <w:p>
      <w:pPr>
        <w:spacing w:after="0" w:line="193" w:lineRule="exact"/>
        <w:rPr>
          <w:rFonts w:ascii="Arial" w:cs="Arial" w:eastAsia="Arial" w:hAnsi="Arial"/>
          <w:sz w:val="21"/>
          <w:szCs w:val="21"/>
          <w:color w:val="010000"/>
        </w:rPr>
      </w:pPr>
    </w:p>
    <w:p>
      <w:pPr>
        <w:ind w:left="1000" w:hanging="344"/>
        <w:spacing w:after="0"/>
        <w:tabs>
          <w:tab w:leader="none" w:pos="1000" w:val="left"/>
        </w:tabs>
        <w:numPr>
          <w:ilvl w:val="0"/>
          <w:numId w:val="39"/>
        </w:numPr>
        <w:rPr>
          <w:rFonts w:ascii="Arial" w:cs="Arial" w:eastAsia="Arial" w:hAnsi="Arial"/>
          <w:sz w:val="22"/>
          <w:szCs w:val="22"/>
          <w:color w:val="010000"/>
        </w:rPr>
      </w:pPr>
      <w:r>
        <w:rPr>
          <w:rFonts w:ascii="Arial" w:cs="Arial" w:eastAsia="Arial" w:hAnsi="Arial"/>
          <w:sz w:val="22"/>
          <w:szCs w:val="22"/>
          <w:u w:val="single" w:color="auto"/>
          <w:color w:val="auto"/>
        </w:rPr>
        <w:t>VESTING AND SETTLEMENT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60" w:right="80" w:firstLine="1293"/>
        <w:spacing w:after="0" w:line="270" w:lineRule="auto"/>
        <w:tabs>
          <w:tab w:leader="none" w:pos="2376" w:val="left"/>
        </w:tabs>
        <w:numPr>
          <w:ilvl w:val="1"/>
          <w:numId w:val="39"/>
        </w:numPr>
        <w:rPr>
          <w:rFonts w:ascii="Arial" w:cs="Arial" w:eastAsia="Arial" w:hAnsi="Arial"/>
          <w:sz w:val="21"/>
          <w:szCs w:val="21"/>
          <w:color w:val="010000"/>
        </w:rPr>
      </w:pPr>
      <w:r>
        <w:rPr>
          <w:rFonts w:ascii="Arial" w:cs="Arial" w:eastAsia="Arial" w:hAnsi="Arial"/>
          <w:sz w:val="21"/>
          <w:szCs w:val="21"/>
          <w:u w:val="single" w:color="auto"/>
          <w:color w:val="auto"/>
        </w:rPr>
        <w:t>Service Vesting</w:t>
      </w:r>
      <w:r>
        <w:rPr>
          <w:rFonts w:ascii="Arial" w:cs="Arial" w:eastAsia="Arial" w:hAnsi="Arial"/>
          <w:sz w:val="21"/>
          <w:szCs w:val="21"/>
          <w:color w:val="auto"/>
        </w:rPr>
        <w:t xml:space="preserve">. Subject to the Participant’s continuous employment with the Company, the Restricted Stock Units shall vest in accordance with the specific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Restricted Stock Units that have vested in accordance with the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are referred to herein as “Vested Units.” Restricted Stock Units that are not vested are referred to herein as “Unvested Units.”</w:t>
      </w:r>
    </w:p>
    <w:p>
      <w:pPr>
        <w:spacing w:after="0" w:line="169" w:lineRule="exact"/>
        <w:rPr>
          <w:rFonts w:ascii="Arial" w:cs="Arial" w:eastAsia="Arial" w:hAnsi="Arial"/>
          <w:sz w:val="21"/>
          <w:szCs w:val="21"/>
          <w:color w:val="010000"/>
        </w:rPr>
      </w:pPr>
    </w:p>
    <w:p>
      <w:pPr>
        <w:ind w:left="660" w:right="200" w:firstLine="1293"/>
        <w:spacing w:after="0" w:line="358" w:lineRule="auto"/>
        <w:tabs>
          <w:tab w:leader="none" w:pos="2389" w:val="left"/>
        </w:tabs>
        <w:numPr>
          <w:ilvl w:val="1"/>
          <w:numId w:val="39"/>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Restricted Stock Units shall become immediately and fully vested and thereafter be considered Vested Units.</w:t>
      </w:r>
    </w:p>
    <w:p>
      <w:pPr>
        <w:spacing w:after="0" w:line="90" w:lineRule="exact"/>
        <w:rPr>
          <w:rFonts w:ascii="Arial" w:cs="Arial" w:eastAsia="Arial" w:hAnsi="Arial"/>
          <w:sz w:val="19"/>
          <w:szCs w:val="19"/>
          <w:color w:val="010000"/>
        </w:rPr>
      </w:pPr>
    </w:p>
    <w:p>
      <w:pPr>
        <w:jc w:val="both"/>
        <w:ind w:left="660" w:right="180" w:firstLine="1293"/>
        <w:spacing w:after="0" w:line="270" w:lineRule="auto"/>
        <w:tabs>
          <w:tab w:leader="none" w:pos="2376" w:val="left"/>
        </w:tabs>
        <w:numPr>
          <w:ilvl w:val="1"/>
          <w:numId w:val="39"/>
        </w:numPr>
        <w:rPr>
          <w:rFonts w:ascii="Arial" w:cs="Arial" w:eastAsia="Arial" w:hAnsi="Arial"/>
          <w:sz w:val="21"/>
          <w:szCs w:val="21"/>
          <w:color w:val="010000"/>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pacing w:after="0" w:line="169" w:lineRule="exact"/>
        <w:rPr>
          <w:rFonts w:ascii="Arial" w:cs="Arial" w:eastAsia="Arial" w:hAnsi="Arial"/>
          <w:sz w:val="21"/>
          <w:szCs w:val="21"/>
          <w:color w:val="010000"/>
        </w:rPr>
      </w:pPr>
    </w:p>
    <w:p>
      <w:pPr>
        <w:ind w:left="660" w:right="100" w:firstLine="1293"/>
        <w:spacing w:after="0" w:line="260" w:lineRule="auto"/>
        <w:tabs>
          <w:tab w:leader="none" w:pos="2389" w:val="left"/>
        </w:tabs>
        <w:numPr>
          <w:ilvl w:val="1"/>
          <w:numId w:val="39"/>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Units</w:t>
      </w:r>
      <w:r>
        <w:rPr>
          <w:rFonts w:ascii="Arial" w:cs="Arial" w:eastAsia="Arial" w:hAnsi="Arial"/>
          <w:sz w:val="22"/>
          <w:szCs w:val="22"/>
          <w:color w:val="auto"/>
        </w:rPr>
        <w:t>. Except as set forth in Sections 2(b) and 2(c), upon the termination of the Participant’s employment, any then Unvested Units held by the Participant shall be forfeited and canceled as of the date of such termination.</w:t>
      </w:r>
    </w:p>
    <w:p>
      <w:pPr>
        <w:spacing w:after="0" w:line="177" w:lineRule="exact"/>
        <w:rPr>
          <w:rFonts w:ascii="Arial" w:cs="Arial" w:eastAsia="Arial" w:hAnsi="Arial"/>
          <w:sz w:val="22"/>
          <w:szCs w:val="22"/>
          <w:color w:val="010000"/>
        </w:rPr>
      </w:pPr>
    </w:p>
    <w:p>
      <w:pPr>
        <w:ind w:left="660" w:right="20" w:firstLine="1293"/>
        <w:spacing w:after="0" w:line="300" w:lineRule="auto"/>
        <w:tabs>
          <w:tab w:leader="none" w:pos="2376" w:val="left"/>
        </w:tabs>
        <w:numPr>
          <w:ilvl w:val="1"/>
          <w:numId w:val="39"/>
        </w:numPr>
        <w:rPr>
          <w:rFonts w:ascii="Arial" w:cs="Arial" w:eastAsia="Arial" w:hAnsi="Arial"/>
          <w:sz w:val="19"/>
          <w:szCs w:val="19"/>
          <w:color w:val="010000"/>
        </w:rPr>
      </w:pPr>
      <w:r>
        <w:rPr>
          <w:rFonts w:ascii="Arial" w:cs="Arial" w:eastAsia="Arial" w:hAnsi="Arial"/>
          <w:sz w:val="19"/>
          <w:szCs w:val="19"/>
          <w:u w:val="single" w:color="auto"/>
          <w:color w:val="auto"/>
        </w:rPr>
        <w:t>Settlement of Vested Units</w:t>
      </w:r>
      <w:r>
        <w:rPr>
          <w:rFonts w:ascii="Arial" w:cs="Arial" w:eastAsia="Arial" w:hAnsi="Arial"/>
          <w:sz w:val="19"/>
          <w:szCs w:val="19"/>
          <w:color w:val="auto"/>
        </w:rPr>
        <w:t xml:space="preserve">. The Vested Units shall be settled in cash by the delivery to the Participant of the cash equivalent of one share of Common Stock per Vested Unit within thirty (30) days after the vesting of such Restricted Stock Units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or upon accelerated vesting as set forth in this Section 2. Notwithstanding the foregoing, the Company may determine in its sole and absolute discretion at the time of delivery that all or a portion of the Vested Units shall be settled in shares of Common Stock. No fractional shares will be issued under this Agreement.</w:t>
      </w:r>
    </w:p>
    <w:p>
      <w:pPr>
        <w:spacing w:after="0" w:line="147" w:lineRule="exact"/>
        <w:rPr>
          <w:rFonts w:ascii="Arial" w:cs="Arial" w:eastAsia="Arial" w:hAnsi="Arial"/>
          <w:sz w:val="19"/>
          <w:szCs w:val="19"/>
          <w:color w:val="010000"/>
        </w:rPr>
      </w:pPr>
    </w:p>
    <w:p>
      <w:pPr>
        <w:ind w:right="20" w:firstLine="656"/>
        <w:spacing w:after="0" w:line="264" w:lineRule="auto"/>
        <w:tabs>
          <w:tab w:leader="none" w:pos="990" w:val="left"/>
        </w:tabs>
        <w:numPr>
          <w:ilvl w:val="0"/>
          <w:numId w:val="39"/>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80" w:firstLine="656"/>
        <w:spacing w:after="0" w:line="358" w:lineRule="auto"/>
        <w:tabs>
          <w:tab w:leader="none" w:pos="990"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w:t>
      </w:r>
    </w:p>
    <w:p>
      <w:pPr>
        <w:sectPr>
          <w:pgSz w:w="11900" w:h="16838" w:orient="portrait"/>
          <w:cols w:equalWidth="0" w:num="1">
            <w:col w:w="11420"/>
          </w:cols>
          <w:pgMar w:left="240" w:top="126" w:right="239" w:bottom="0" w:gutter="0" w:footer="0" w:header="0"/>
        </w:sectPr>
      </w:pPr>
    </w:p>
    <w:bookmarkStart w:id="51" w:name="page52"/>
    <w:bookmarkEnd w:id="51"/>
    <w:p>
      <w:pPr>
        <w:spacing w:after="0" w:line="89"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84" w:lineRule="exact"/>
        <w:rPr>
          <w:sz w:val="20"/>
          <w:szCs w:val="20"/>
          <w:color w:val="auto"/>
        </w:rPr>
      </w:pPr>
    </w:p>
    <w:p>
      <w:pPr>
        <w:ind w:firstLine="656"/>
        <w:spacing w:after="0" w:line="287" w:lineRule="auto"/>
        <w:tabs>
          <w:tab w:leader="none" w:pos="990"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right="40" w:firstLine="656"/>
        <w:spacing w:after="0" w:line="266" w:lineRule="auto"/>
        <w:tabs>
          <w:tab w:leader="none" w:pos="990" w:val="left"/>
        </w:tabs>
        <w:numPr>
          <w:ilvl w:val="0"/>
          <w:numId w:val="40"/>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174" w:lineRule="exact"/>
        <w:rPr>
          <w:rFonts w:ascii="Arial" w:cs="Arial" w:eastAsia="Arial" w:hAnsi="Arial"/>
          <w:sz w:val="21"/>
          <w:szCs w:val="21"/>
          <w:color w:val="010000"/>
        </w:rPr>
      </w:pPr>
    </w:p>
    <w:p>
      <w:pPr>
        <w:ind w:right="20" w:firstLine="656"/>
        <w:spacing w:after="0" w:line="287" w:lineRule="auto"/>
        <w:tabs>
          <w:tab w:leader="none" w:pos="990"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ind w:right="240" w:firstLine="656"/>
        <w:spacing w:after="0" w:line="301" w:lineRule="auto"/>
        <w:tabs>
          <w:tab w:leader="none" w:pos="990" w:val="left"/>
        </w:tabs>
        <w:numPr>
          <w:ilvl w:val="0"/>
          <w:numId w:val="40"/>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7" w:lineRule="auto"/>
        <w:tabs>
          <w:tab w:leader="none" w:pos="990"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w:t>
      </w:r>
    </w:p>
    <w:p>
      <w:pPr>
        <w:sectPr>
          <w:pgSz w:w="11900" w:h="16928" w:orient="portrait"/>
          <w:cols w:equalWidth="0" w:num="1">
            <w:col w:w="11400"/>
          </w:cols>
          <w:pgMar w:left="240" w:top="132" w:right="259" w:bottom="0" w:gutter="0" w:footer="0" w:header="0"/>
        </w:sectPr>
      </w:pPr>
    </w:p>
    <w:bookmarkStart w:id="52" w:name="page53"/>
    <w:bookmarkEnd w:id="52"/>
    <w:p>
      <w:pPr>
        <w:ind w:right="580"/>
        <w:spacing w:after="0" w:line="287" w:lineRule="auto"/>
        <w:rPr>
          <w:sz w:val="20"/>
          <w:szCs w:val="20"/>
          <w:color w:val="auto"/>
        </w:rPr>
      </w:pPr>
      <w:r>
        <w:rPr>
          <w:rFonts w:ascii="Arial" w:cs="Arial" w:eastAsia="Arial" w:hAnsi="Arial"/>
          <w:sz w:val="21"/>
          <w:szCs w:val="21"/>
          <w:color w:val="auto"/>
        </w:rPr>
        <w:t>award, as determined by the Company. Any fraction of a share of Common Stock which would be required to satisfy such an obligation shall be disregarded and the remaining amount due shall be paid in cash by the Participant.</w:t>
      </w:r>
    </w:p>
    <w:p>
      <w:pPr>
        <w:spacing w:after="0" w:line="152" w:lineRule="exact"/>
        <w:rPr>
          <w:sz w:val="20"/>
          <w:szCs w:val="20"/>
          <w:color w:val="auto"/>
        </w:rPr>
      </w:pPr>
    </w:p>
    <w:p>
      <w:pPr>
        <w:ind w:right="220" w:firstLine="656"/>
        <w:spacing w:after="0" w:line="276" w:lineRule="auto"/>
        <w:tabs>
          <w:tab w:leader="none" w:pos="1098"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00" w:firstLine="656"/>
        <w:spacing w:after="0" w:line="266" w:lineRule="auto"/>
        <w:tabs>
          <w:tab w:leader="none" w:pos="1090" w:val="left"/>
        </w:tabs>
        <w:numPr>
          <w:ilvl w:val="0"/>
          <w:numId w:val="41"/>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right="180" w:firstLine="656"/>
        <w:spacing w:after="0" w:line="307" w:lineRule="auto"/>
        <w:tabs>
          <w:tab w:leader="none" w:pos="1098"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provided, however,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700" w:firstLine="656"/>
        <w:spacing w:after="0" w:line="276" w:lineRule="auto"/>
        <w:tabs>
          <w:tab w:leader="none" w:pos="1098"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ind w:firstLine="656"/>
        <w:spacing w:after="0" w:line="287" w:lineRule="auto"/>
        <w:tabs>
          <w:tab w:leader="none" w:pos="1098"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right="100" w:firstLine="656"/>
        <w:spacing w:after="0" w:line="276" w:lineRule="auto"/>
        <w:tabs>
          <w:tab w:leader="none" w:pos="1098"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0"/>
          <w:numId w:val="41"/>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41"/>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660" w:right="100" w:firstLine="1293"/>
        <w:spacing w:after="0" w:line="297" w:lineRule="auto"/>
        <w:tabs>
          <w:tab w:leader="none" w:pos="2376"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46" w:lineRule="exact"/>
        <w:rPr>
          <w:rFonts w:ascii="Arial" w:cs="Arial" w:eastAsia="Arial" w:hAnsi="Arial"/>
          <w:sz w:val="19"/>
          <w:szCs w:val="19"/>
          <w:color w:val="010000"/>
        </w:rPr>
      </w:pPr>
    </w:p>
    <w:p>
      <w:pPr>
        <w:ind w:left="660" w:right="20" w:firstLine="1293"/>
        <w:spacing w:after="0" w:line="254" w:lineRule="auto"/>
        <w:tabs>
          <w:tab w:leader="none" w:pos="2389"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left="660" w:right="40" w:firstLine="1293"/>
        <w:spacing w:after="0" w:line="297" w:lineRule="auto"/>
        <w:tabs>
          <w:tab w:leader="none" w:pos="2376"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w:t>
      </w:r>
    </w:p>
    <w:p>
      <w:pPr>
        <w:sectPr>
          <w:pgSz w:w="11900" w:h="16838" w:orient="portrait"/>
          <w:cols w:equalWidth="0" w:num="1">
            <w:col w:w="11400"/>
          </w:cols>
          <w:pgMar w:left="240" w:top="132" w:right="259" w:bottom="0" w:gutter="0" w:footer="0" w:header="0"/>
        </w:sectPr>
      </w:pPr>
    </w:p>
    <w:bookmarkStart w:id="53" w:name="page54"/>
    <w:bookmarkEnd w:id="53"/>
    <w:p>
      <w:pPr>
        <w:ind w:left="660" w:right="40"/>
        <w:spacing w:after="0" w:line="260" w:lineRule="auto"/>
        <w:rPr>
          <w:sz w:val="20"/>
          <w:szCs w:val="20"/>
          <w:color w:val="auto"/>
        </w:rPr>
      </w:pPr>
      <w:r>
        <w:rPr>
          <w:rFonts w:ascii="Arial" w:cs="Arial" w:eastAsia="Arial" w:hAnsi="Arial"/>
          <w:sz w:val="21"/>
          <w:szCs w:val="21"/>
          <w:color w:val="auto"/>
        </w:rPr>
        <w:t>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81"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4114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VESTING SCHEDULE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Restricted Stock Units (RSUs) shall vest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54875" cy="943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54875" cy="943610"/>
                    </a:xfrm>
                    <a:prstGeom prst="rect">
                      <a:avLst/>
                    </a:prstGeom>
                    <a:noFill/>
                  </pic:spPr>
                </pic:pic>
              </a:graphicData>
            </a:graphic>
          </wp:anchor>
        </w:drawing>
      </w:r>
    </w:p>
    <w:p>
      <w:pPr>
        <w:spacing w:after="0" w:line="366" w:lineRule="exact"/>
        <w:rPr>
          <w:sz w:val="20"/>
          <w:szCs w:val="20"/>
          <w:color w:val="auto"/>
        </w:rPr>
      </w:pPr>
    </w:p>
    <w:tbl>
      <w:tblPr>
        <w:tblLayout w:type="fixed"/>
        <w:tblInd w:w="1540" w:type="dxa"/>
        <w:tblCellMar>
          <w:top w:w="0" w:type="dxa"/>
          <w:left w:w="0" w:type="dxa"/>
          <w:bottom w:w="0" w:type="dxa"/>
          <w:right w:w="0" w:type="dxa"/>
        </w:tblCellMar>
      </w:tblPr>
      <w:tr>
        <w:trPr>
          <w:trHeight w:val="250"/>
        </w:trPr>
        <w:tc>
          <w:tcPr>
            <w:tcW w:w="2280" w:type="dxa"/>
            <w:vAlign w:val="bottom"/>
          </w:tcPr>
          <w:p>
            <w:pPr>
              <w:spacing w:after="0"/>
              <w:rPr>
                <w:sz w:val="20"/>
                <w:szCs w:val="20"/>
                <w:color w:val="auto"/>
              </w:rPr>
            </w:pPr>
            <w:r>
              <w:rPr>
                <w:rFonts w:ascii="Arial" w:cs="Arial" w:eastAsia="Arial" w:hAnsi="Arial"/>
                <w:sz w:val="20"/>
                <w:szCs w:val="20"/>
                <w:color w:val="auto"/>
              </w:rPr>
              <w:t>Grant Date</w:t>
            </w:r>
          </w:p>
        </w:tc>
        <w:tc>
          <w:tcPr>
            <w:tcW w:w="3880" w:type="dxa"/>
            <w:vAlign w:val="bottom"/>
          </w:tcPr>
          <w:p>
            <w:pPr>
              <w:ind w:left="1420"/>
              <w:spacing w:after="0"/>
              <w:rPr>
                <w:sz w:val="20"/>
                <w:szCs w:val="20"/>
                <w:color w:val="auto"/>
              </w:rPr>
            </w:pPr>
            <w:r>
              <w:rPr>
                <w:rFonts w:ascii="Arial" w:cs="Arial" w:eastAsia="Arial" w:hAnsi="Arial"/>
                <w:sz w:val="20"/>
                <w:szCs w:val="20"/>
                <w:color w:val="auto"/>
              </w:rPr>
              <w:t>Shares Grated</w:t>
            </w:r>
          </w:p>
        </w:tc>
        <w:tc>
          <w:tcPr>
            <w:tcW w:w="2380" w:type="dxa"/>
            <w:vAlign w:val="bottom"/>
          </w:tcPr>
          <w:p>
            <w:pPr>
              <w:ind w:left="1360"/>
              <w:spacing w:after="0"/>
              <w:rPr>
                <w:sz w:val="20"/>
                <w:szCs w:val="20"/>
                <w:color w:val="auto"/>
              </w:rPr>
            </w:pPr>
            <w:r>
              <w:rPr>
                <w:rFonts w:ascii="Arial" w:cs="Arial" w:eastAsia="Arial" w:hAnsi="Arial"/>
                <w:sz w:val="20"/>
                <w:szCs w:val="20"/>
                <w:color w:val="auto"/>
                <w:w w:val="87"/>
              </w:rPr>
              <w:t>Vesting Date</w:t>
            </w:r>
          </w:p>
        </w:tc>
      </w:tr>
    </w:tbl>
    <w:p>
      <w:pPr>
        <w:spacing w:after="0" w:line="200" w:lineRule="exact"/>
        <w:rPr>
          <w:sz w:val="20"/>
          <w:szCs w:val="20"/>
          <w:color w:val="auto"/>
        </w:rPr>
      </w:pPr>
    </w:p>
    <w:p>
      <w:pPr>
        <w:spacing w:after="0" w:line="247" w:lineRule="exact"/>
        <w:rPr>
          <w:sz w:val="20"/>
          <w:szCs w:val="20"/>
          <w:color w:val="auto"/>
        </w:rPr>
      </w:pPr>
    </w:p>
    <w:p>
      <w:pPr>
        <w:jc w:val="center"/>
        <w:ind w:left="7760"/>
        <w:spacing w:after="0"/>
        <w:rPr>
          <w:sz w:val="20"/>
          <w:szCs w:val="20"/>
          <w:color w:val="auto"/>
        </w:rPr>
      </w:pPr>
      <w:r>
        <w:rPr>
          <w:rFonts w:ascii="Arial" w:cs="Arial" w:eastAsia="Arial" w:hAnsi="Arial"/>
          <w:sz w:val="20"/>
          <w:szCs w:val="20"/>
          <w:color w:val="auto"/>
        </w:rPr>
        <w:t xml:space="preserve">On the </w:t>
      </w:r>
      <w:r>
        <w:rPr>
          <w:rFonts w:ascii="Arial" w:cs="Arial" w:eastAsia="Arial" w:hAnsi="Arial"/>
          <w:sz w:val="21"/>
          <w:szCs w:val="21"/>
          <w:color w:val="auto"/>
        </w:rPr>
        <w:t>third anniversary of the date of</w:t>
      </w:r>
    </w:p>
    <w:p>
      <w:pPr>
        <w:spacing w:after="0" w:line="20" w:lineRule="exact"/>
        <w:rPr>
          <w:sz w:val="20"/>
          <w:szCs w:val="20"/>
          <w:color w:val="auto"/>
        </w:rPr>
      </w:pPr>
    </w:p>
    <w:p>
      <w:pPr>
        <w:jc w:val="center"/>
        <w:ind w:left="7760"/>
        <w:spacing w:after="0"/>
        <w:rPr>
          <w:sz w:val="20"/>
          <w:szCs w:val="20"/>
          <w:color w:val="auto"/>
        </w:rPr>
      </w:pPr>
      <w:r>
        <w:rPr>
          <w:rFonts w:ascii="Arial" w:cs="Arial" w:eastAsia="Arial" w:hAnsi="Arial"/>
          <w:sz w:val="22"/>
          <w:szCs w:val="22"/>
          <w:color w:val="auto"/>
        </w:rPr>
        <w:t>grant</w:t>
      </w:r>
    </w:p>
    <w:p>
      <w:pPr>
        <w:sectPr>
          <w:pgSz w:w="11900" w:h="16838" w:orient="portrait"/>
          <w:cols w:equalWidth="0" w:num="1">
            <w:col w:w="11420"/>
          </w:cols>
          <w:pgMar w:left="240" w:top="13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10.4</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Cash-Settled RSU Agreement – International Employees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DINE BRANDS GLOBAL,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STOCK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THIS RESTRICTED STOCK UNIT AWARD AGREEMENT (“Agreement”) is entered into as of ___________ by and between DINE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BRANDS GLOBAL, INC. (formerly, DineEquity, Inc.), a Delaware corporation (the “Company”), and ___________, an employee of the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Company (the “Participant”).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w:t>
      </w:r>
    </w:p>
    <w:p>
      <w:pPr>
        <w:spacing w:after="0" w:line="222" w:lineRule="exact"/>
        <w:rPr>
          <w:sz w:val="20"/>
          <w:szCs w:val="20"/>
          <w:color w:val="auto"/>
        </w:rPr>
      </w:pPr>
    </w:p>
    <w:p>
      <w:pPr>
        <w:ind w:right="20" w:firstLine="324"/>
        <w:spacing w:after="0" w:line="246" w:lineRule="auto"/>
        <w:rPr>
          <w:sz w:val="20"/>
          <w:szCs w:val="20"/>
          <w:color w:val="auto"/>
        </w:rPr>
      </w:pPr>
      <w:r>
        <w:rPr>
          <w:rFonts w:ascii="Arial" w:cs="Arial" w:eastAsia="Arial" w:hAnsi="Arial"/>
          <w:sz w:val="20"/>
          <w:szCs w:val="20"/>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the cash value of shares of the Company's common stock, on the terms and conditions set forth herein.</w:t>
      </w:r>
    </w:p>
    <w:p>
      <w:pPr>
        <w:spacing w:after="0" w:line="205"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 xml:space="preserve">This Award is subject to all of the terms and conditions set forth herein, the special provisions for Participant’s country of residence, if any,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the Plan, all of which are incorporated herein by reference. Any capitalized terms not defined herein shall have their respective meanings set forth in the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w:t>
      </w:r>
    </w:p>
    <w:p>
      <w:pPr>
        <w:spacing w:after="0" w:line="222" w:lineRule="exact"/>
        <w:rPr>
          <w:sz w:val="20"/>
          <w:szCs w:val="20"/>
          <w:color w:val="auto"/>
        </w:rPr>
      </w:pPr>
    </w:p>
    <w:p>
      <w:pPr>
        <w:ind w:right="80" w:firstLine="324"/>
        <w:spacing w:after="0" w:line="260" w:lineRule="auto"/>
        <w:rPr>
          <w:sz w:val="20"/>
          <w:szCs w:val="20"/>
          <w:color w:val="auto"/>
        </w:rPr>
      </w:pPr>
      <w:r>
        <w:rPr>
          <w:rFonts w:ascii="Arial" w:cs="Arial" w:eastAsia="Arial" w:hAnsi="Arial"/>
          <w:sz w:val="20"/>
          <w:szCs w:val="20"/>
          <w:color w:val="auto"/>
        </w:rPr>
        <w:t>In consideration of the foregoing and of the mutual covenants set forth herein and other good and valuable consideration, the parties hereto agree as follows:</w:t>
      </w:r>
    </w:p>
    <w:p>
      <w:pPr>
        <w:spacing w:after="0" w:line="204" w:lineRule="exact"/>
        <w:rPr>
          <w:sz w:val="20"/>
          <w:szCs w:val="20"/>
          <w:color w:val="auto"/>
        </w:rPr>
      </w:pPr>
    </w:p>
    <w:p>
      <w:pPr>
        <w:jc w:val="both"/>
        <w:ind w:firstLine="656"/>
        <w:spacing w:after="0" w:line="322" w:lineRule="auto"/>
        <w:tabs>
          <w:tab w:leader="none" w:pos="1445" w:val="left"/>
        </w:tabs>
        <w:numPr>
          <w:ilvl w:val="0"/>
          <w:numId w:val="42"/>
        </w:numPr>
        <w:rPr>
          <w:rFonts w:ascii="Arial" w:cs="Arial" w:eastAsia="Arial" w:hAnsi="Arial"/>
          <w:sz w:val="18"/>
          <w:szCs w:val="18"/>
          <w:color w:val="010000"/>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Company hereby grants to the Participant an award of restricted stock units (the “Restricted Stock Units”). Each Restricted Stock Unit represents the right to receive a cash payment based on the value of one share of common stock, $.01 par value, of the Company (the “Common Stock”), subject to the terms and conditions set forth herein.</w:t>
      </w:r>
    </w:p>
    <w:p>
      <w:pPr>
        <w:spacing w:after="0" w:line="163" w:lineRule="exact"/>
        <w:rPr>
          <w:rFonts w:ascii="Arial" w:cs="Arial" w:eastAsia="Arial" w:hAnsi="Arial"/>
          <w:sz w:val="18"/>
          <w:szCs w:val="18"/>
          <w:color w:val="010000"/>
        </w:rPr>
      </w:pPr>
    </w:p>
    <w:p>
      <w:pPr>
        <w:ind w:left="1000" w:hanging="344"/>
        <w:spacing w:after="0"/>
        <w:tabs>
          <w:tab w:leader="none" w:pos="1000" w:val="left"/>
        </w:tabs>
        <w:numPr>
          <w:ilvl w:val="0"/>
          <w:numId w:val="42"/>
        </w:numPr>
        <w:rPr>
          <w:rFonts w:ascii="Arial" w:cs="Arial" w:eastAsia="Arial" w:hAnsi="Arial"/>
          <w:sz w:val="22"/>
          <w:szCs w:val="22"/>
          <w:color w:val="010000"/>
        </w:rPr>
      </w:pPr>
      <w:r>
        <w:rPr>
          <w:rFonts w:ascii="Arial" w:cs="Arial" w:eastAsia="Arial" w:hAnsi="Arial"/>
          <w:sz w:val="20"/>
          <w:szCs w:val="20"/>
          <w:u w:val="single" w:color="auto"/>
          <w:color w:val="auto"/>
        </w:rPr>
        <w:t>VESTING AND SETTLEMENT</w:t>
      </w:r>
      <w:r>
        <w:rPr>
          <w:rFonts w:ascii="Arial" w:cs="Arial" w:eastAsia="Arial" w:hAnsi="Arial"/>
          <w:sz w:val="20"/>
          <w:szCs w:val="20"/>
          <w:color w:val="auto"/>
        </w:rPr>
        <w:t>.</w:t>
      </w:r>
    </w:p>
    <w:p>
      <w:pPr>
        <w:spacing w:after="0" w:line="235"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42"/>
        </w:numPr>
        <w:rPr>
          <w:rFonts w:ascii="Arial" w:cs="Arial" w:eastAsia="Arial" w:hAnsi="Arial"/>
          <w:sz w:val="22"/>
          <w:szCs w:val="22"/>
          <w:color w:val="010000"/>
        </w:rPr>
      </w:pPr>
      <w:r>
        <w:rPr>
          <w:rFonts w:ascii="Arial" w:cs="Arial" w:eastAsia="Arial" w:hAnsi="Arial"/>
          <w:sz w:val="20"/>
          <w:szCs w:val="20"/>
          <w:u w:val="single" w:color="auto"/>
          <w:color w:val="auto"/>
        </w:rPr>
        <w:t>Service Vesting</w:t>
      </w:r>
      <w:r>
        <w:rPr>
          <w:rFonts w:ascii="Arial" w:cs="Arial" w:eastAsia="Arial" w:hAnsi="Arial"/>
          <w:sz w:val="20"/>
          <w:szCs w:val="20"/>
          <w:color w:val="auto"/>
        </w:rPr>
        <w:t>. Subject to the Participant's continuous employment with the Company, the Restricted Stock Units shall vest in accordance with the specific vesting schedule set forth on Exhibit A hereto. Restricted Stock Units that have vested in accordance with the vesting schedule set forth on Exhibit A are referred to herein as “Vested Units.” Restricted Stock Units that are not vested are referred to herein as “Unvested Units.”</w:t>
      </w:r>
    </w:p>
    <w:p>
      <w:pPr>
        <w:spacing w:after="0" w:line="210" w:lineRule="exact"/>
        <w:rPr>
          <w:rFonts w:ascii="Arial" w:cs="Arial" w:eastAsia="Arial" w:hAnsi="Arial"/>
          <w:sz w:val="22"/>
          <w:szCs w:val="22"/>
          <w:color w:val="010000"/>
        </w:rPr>
      </w:pPr>
    </w:p>
    <w:p>
      <w:pPr>
        <w:ind w:firstLine="1305"/>
        <w:spacing w:after="0" w:line="265" w:lineRule="auto"/>
        <w:tabs>
          <w:tab w:leader="none" w:pos="1877" w:val="left"/>
        </w:tabs>
        <w:numPr>
          <w:ilvl w:val="1"/>
          <w:numId w:val="42"/>
        </w:numPr>
        <w:rPr>
          <w:rFonts w:ascii="Arial" w:cs="Arial" w:eastAsia="Arial" w:hAnsi="Arial"/>
          <w:sz w:val="22"/>
          <w:szCs w:val="22"/>
          <w:color w:val="010000"/>
        </w:rPr>
      </w:pPr>
      <w:r>
        <w:rPr>
          <w:rFonts w:ascii="Arial" w:cs="Arial" w:eastAsia="Arial" w:hAnsi="Arial"/>
          <w:sz w:val="20"/>
          <w:szCs w:val="20"/>
          <w:u w:val="single" w:color="auto"/>
          <w:color w:val="auto"/>
        </w:rPr>
        <w:t>Disability or Death</w:t>
      </w:r>
      <w:r>
        <w:rPr>
          <w:rFonts w:ascii="Arial" w:cs="Arial" w:eastAsia="Arial" w:hAnsi="Arial"/>
          <w:sz w:val="20"/>
          <w:szCs w:val="20"/>
          <w:color w:val="auto"/>
        </w:rPr>
        <w:t>. If the Participant's employment with the Company terminates due to Disability or death, the Restricted Stock Units shall become immediately and fully vested and thereafter be considered Vested Units.</w:t>
      </w:r>
    </w:p>
    <w:p>
      <w:pPr>
        <w:spacing w:after="0" w:line="209"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42"/>
        </w:numPr>
        <w:rPr>
          <w:rFonts w:ascii="Arial" w:cs="Arial" w:eastAsia="Arial" w:hAnsi="Arial"/>
          <w:sz w:val="22"/>
          <w:szCs w:val="22"/>
          <w:color w:val="010000"/>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pacing w:after="0" w:line="210" w:lineRule="exact"/>
        <w:rPr>
          <w:rFonts w:ascii="Arial" w:cs="Arial" w:eastAsia="Arial" w:hAnsi="Arial"/>
          <w:sz w:val="22"/>
          <w:szCs w:val="22"/>
          <w:color w:val="010000"/>
        </w:rPr>
      </w:pPr>
    </w:p>
    <w:p>
      <w:pPr>
        <w:jc w:val="both"/>
        <w:ind w:firstLine="1305"/>
        <w:spacing w:after="0" w:line="266" w:lineRule="auto"/>
        <w:tabs>
          <w:tab w:leader="none" w:pos="1796" w:val="left"/>
        </w:tabs>
        <w:numPr>
          <w:ilvl w:val="1"/>
          <w:numId w:val="42"/>
        </w:numPr>
        <w:rPr>
          <w:rFonts w:ascii="Arial" w:cs="Arial" w:eastAsia="Arial" w:hAnsi="Arial"/>
          <w:sz w:val="22"/>
          <w:szCs w:val="22"/>
          <w:color w:val="010000"/>
        </w:rPr>
      </w:pPr>
      <w:r>
        <w:rPr>
          <w:rFonts w:ascii="Arial" w:cs="Arial" w:eastAsia="Arial" w:hAnsi="Arial"/>
          <w:sz w:val="20"/>
          <w:szCs w:val="20"/>
          <w:u w:val="single" w:color="auto"/>
          <w:color w:val="auto"/>
        </w:rPr>
        <w:t>Termination of Unvested Units</w:t>
      </w:r>
      <w:r>
        <w:rPr>
          <w:rFonts w:ascii="Arial" w:cs="Arial" w:eastAsia="Arial" w:hAnsi="Arial"/>
          <w:sz w:val="20"/>
          <w:szCs w:val="20"/>
          <w:color w:val="auto"/>
        </w:rPr>
        <w:t>. Except as set forth in Sections 2(b) and 2(c), upon the termination of the Participant's employment, any then Unvested Units held by the Participant shall be forfeited and canceled as of the date of such termination. As noted in Section 12(k) below, for the avoidance of doubt and for purposes of the Restricted Stock Units only, termination shall be deemed to occur as of the date Participant is no longer actively providing services to the Company, a Subsidiary, or other affiliated entity and will not be extended by any notice period or “garden leave” that may be required contractually or under applicable laws, unless otherwise determined by the Company in its sole discretion.</w:t>
      </w:r>
    </w:p>
    <w:p>
      <w:pPr>
        <w:spacing w:after="0" w:line="214" w:lineRule="exact"/>
        <w:rPr>
          <w:rFonts w:ascii="Arial" w:cs="Arial" w:eastAsia="Arial" w:hAnsi="Arial"/>
          <w:sz w:val="22"/>
          <w:szCs w:val="22"/>
          <w:color w:val="010000"/>
        </w:rPr>
      </w:pPr>
    </w:p>
    <w:p>
      <w:pPr>
        <w:jc w:val="both"/>
        <w:ind w:firstLine="1305"/>
        <w:spacing w:after="0" w:line="266" w:lineRule="auto"/>
        <w:tabs>
          <w:tab w:leader="none" w:pos="1838" w:val="left"/>
        </w:tabs>
        <w:numPr>
          <w:ilvl w:val="1"/>
          <w:numId w:val="42"/>
        </w:numPr>
        <w:rPr>
          <w:rFonts w:ascii="Arial" w:cs="Arial" w:eastAsia="Arial" w:hAnsi="Arial"/>
          <w:sz w:val="22"/>
          <w:szCs w:val="22"/>
          <w:color w:val="010000"/>
        </w:rPr>
      </w:pPr>
      <w:r>
        <w:rPr>
          <w:rFonts w:ascii="Arial" w:cs="Arial" w:eastAsia="Arial" w:hAnsi="Arial"/>
          <w:sz w:val="20"/>
          <w:szCs w:val="20"/>
          <w:u w:val="single" w:color="auto"/>
          <w:color w:val="auto"/>
        </w:rPr>
        <w:t>Settlement of Vested Units</w:t>
      </w:r>
      <w:r>
        <w:rPr>
          <w:rFonts w:ascii="Arial" w:cs="Arial" w:eastAsia="Arial" w:hAnsi="Arial"/>
          <w:sz w:val="20"/>
          <w:szCs w:val="20"/>
          <w:color w:val="auto"/>
        </w:rPr>
        <w:t>. The Vested Units shall be settled in cash by the delivery to the Participant of the cash equivalent of one share of Common Stock per Vested Unit within thirty (30) days after the vesting of such Restricted Stock Units as set forth on Exhibit A, or upon accelerated vesting as set forth in this Section 2. Notwithstanding the foregoing, the Company may determine in its sole and absolute discretion at the time of delivery that all or a portion of the Vested Units shall be settled in shares of Common Stock. No fractional shares will be issued under this Agreement.</w:t>
      </w:r>
    </w:p>
    <w:p>
      <w:pPr>
        <w:spacing w:after="0" w:line="212" w:lineRule="exact"/>
        <w:rPr>
          <w:rFonts w:ascii="Arial" w:cs="Arial" w:eastAsia="Arial" w:hAnsi="Arial"/>
          <w:sz w:val="22"/>
          <w:szCs w:val="22"/>
          <w:color w:val="010000"/>
        </w:rPr>
      </w:pPr>
    </w:p>
    <w:p>
      <w:pPr>
        <w:jc w:val="both"/>
        <w:ind w:firstLine="656"/>
        <w:spacing w:after="0" w:line="266" w:lineRule="auto"/>
        <w:tabs>
          <w:tab w:leader="none" w:pos="1017" w:val="left"/>
        </w:tabs>
        <w:numPr>
          <w:ilvl w:val="0"/>
          <w:numId w:val="42"/>
        </w:numPr>
        <w:rPr>
          <w:rFonts w:ascii="Arial" w:cs="Arial" w:eastAsia="Arial" w:hAnsi="Arial"/>
          <w:sz w:val="22"/>
          <w:szCs w:val="22"/>
          <w:color w:val="010000"/>
        </w:rPr>
      </w:pPr>
      <w:r>
        <w:rPr>
          <w:rFonts w:ascii="Arial" w:cs="Arial" w:eastAsia="Arial" w:hAnsi="Arial"/>
          <w:sz w:val="20"/>
          <w:szCs w:val="20"/>
          <w:u w:val="single" w:color="auto"/>
          <w:color w:val="auto"/>
        </w:rPr>
        <w:t>ADJUSTMENT IN COMMON STOCK</w:t>
      </w:r>
      <w:r>
        <w:rPr>
          <w:rFonts w:ascii="Arial" w:cs="Arial" w:eastAsia="Arial" w:hAnsi="Arial"/>
          <w:sz w:val="20"/>
          <w:szCs w:val="20"/>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ectPr>
          <w:pgSz w:w="11900" w:h="16838" w:orient="portrait"/>
          <w:cols w:equalWidth="0" w:num="1">
            <w:col w:w="11420"/>
          </w:cols>
          <w:pgMar w:left="240" w:top="126" w:right="239" w:bottom="0" w:gutter="0" w:footer="0" w:header="0"/>
        </w:sectPr>
      </w:pPr>
    </w:p>
    <w:bookmarkStart w:id="55" w:name="page56"/>
    <w:bookmarkEnd w:id="55"/>
    <w:p>
      <w:pPr>
        <w:spacing w:after="0" w:line="90" w:lineRule="exact"/>
        <w:rPr>
          <w:sz w:val="20"/>
          <w:szCs w:val="20"/>
          <w:color w:val="auto"/>
        </w:rPr>
      </w:pPr>
    </w:p>
    <w:p>
      <w:pPr>
        <w:jc w:val="both"/>
        <w:ind w:left="-656" w:firstLine="656"/>
        <w:spacing w:after="0" w:line="282" w:lineRule="auto"/>
        <w:tabs>
          <w:tab w:leader="none" w:pos="348" w:val="left"/>
        </w:tabs>
        <w:numPr>
          <w:ilvl w:val="0"/>
          <w:numId w:val="43"/>
        </w:numPr>
        <w:rPr>
          <w:rFonts w:ascii="Arial" w:cs="Arial" w:eastAsia="Arial" w:hAnsi="Arial"/>
          <w:sz w:val="21"/>
          <w:szCs w:val="21"/>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201" w:lineRule="exact"/>
        <w:rPr>
          <w:rFonts w:ascii="Arial" w:cs="Arial" w:eastAsia="Arial" w:hAnsi="Arial"/>
          <w:sz w:val="21"/>
          <w:szCs w:val="21"/>
          <w:color w:val="010000"/>
        </w:rPr>
      </w:pPr>
    </w:p>
    <w:p>
      <w:pPr>
        <w:jc w:val="both"/>
        <w:ind w:left="-656" w:firstLine="656"/>
        <w:spacing w:after="0" w:line="300" w:lineRule="auto"/>
        <w:tabs>
          <w:tab w:leader="none" w:pos="361" w:val="left"/>
        </w:tabs>
        <w:numPr>
          <w:ilvl w:val="0"/>
          <w:numId w:val="43"/>
        </w:numPr>
        <w:rPr>
          <w:rFonts w:ascii="Arial" w:cs="Arial" w:eastAsia="Arial" w:hAnsi="Arial"/>
          <w:sz w:val="19"/>
          <w:szCs w:val="19"/>
          <w:color w:val="010000"/>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5" w:lineRule="exact"/>
        <w:rPr>
          <w:rFonts w:ascii="Arial" w:cs="Arial" w:eastAsia="Arial" w:hAnsi="Arial"/>
          <w:sz w:val="19"/>
          <w:szCs w:val="19"/>
          <w:color w:val="010000"/>
        </w:rPr>
      </w:pPr>
    </w:p>
    <w:p>
      <w:pPr>
        <w:jc w:val="both"/>
        <w:ind w:left="-656" w:firstLine="656"/>
        <w:spacing w:after="0" w:line="266" w:lineRule="auto"/>
        <w:tabs>
          <w:tab w:leader="none" w:pos="402" w:val="left"/>
        </w:tabs>
        <w:numPr>
          <w:ilvl w:val="0"/>
          <w:numId w:val="43"/>
        </w:numPr>
        <w:rPr>
          <w:rFonts w:ascii="Arial" w:cs="Arial" w:eastAsia="Arial" w:hAnsi="Arial"/>
          <w:sz w:val="22"/>
          <w:szCs w:val="22"/>
          <w:color w:val="010000"/>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212" w:lineRule="exact"/>
        <w:rPr>
          <w:rFonts w:ascii="Arial" w:cs="Arial" w:eastAsia="Arial" w:hAnsi="Arial"/>
          <w:sz w:val="22"/>
          <w:szCs w:val="22"/>
          <w:color w:val="010000"/>
        </w:rPr>
      </w:pPr>
    </w:p>
    <w:p>
      <w:pPr>
        <w:jc w:val="both"/>
        <w:ind w:left="-656" w:firstLine="656"/>
        <w:spacing w:after="0" w:line="282" w:lineRule="auto"/>
        <w:tabs>
          <w:tab w:leader="none" w:pos="415" w:val="left"/>
        </w:tabs>
        <w:numPr>
          <w:ilvl w:val="0"/>
          <w:numId w:val="43"/>
        </w:numPr>
        <w:rPr>
          <w:rFonts w:ascii="Arial" w:cs="Arial" w:eastAsia="Arial" w:hAnsi="Arial"/>
          <w:sz w:val="21"/>
          <w:szCs w:val="21"/>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21"/>
          <w:szCs w:val="21"/>
          <w:color w:val="010000"/>
        </w:rPr>
      </w:pPr>
    </w:p>
    <w:p>
      <w:pPr>
        <w:ind w:left="-656" w:right="20" w:firstLine="656"/>
        <w:spacing w:after="0" w:line="265" w:lineRule="auto"/>
        <w:tabs>
          <w:tab w:leader="none" w:pos="361" w:val="left"/>
        </w:tabs>
        <w:numPr>
          <w:ilvl w:val="0"/>
          <w:numId w:val="43"/>
        </w:numPr>
        <w:rPr>
          <w:rFonts w:ascii="Arial" w:cs="Arial" w:eastAsia="Arial" w:hAnsi="Arial"/>
          <w:sz w:val="22"/>
          <w:szCs w:val="22"/>
          <w:color w:val="010000"/>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the Company to enforce at any time any provision of this Agreement shall in no way be construed to be a waiver of such provision or of any other provision hereof.</w:t>
      </w:r>
    </w:p>
    <w:p>
      <w:pPr>
        <w:spacing w:after="0" w:line="209" w:lineRule="exact"/>
        <w:rPr>
          <w:rFonts w:ascii="Arial" w:cs="Arial" w:eastAsia="Arial" w:hAnsi="Arial"/>
          <w:sz w:val="22"/>
          <w:szCs w:val="22"/>
          <w:color w:val="010000"/>
        </w:rPr>
      </w:pPr>
    </w:p>
    <w:p>
      <w:pPr>
        <w:jc w:val="both"/>
        <w:ind w:left="-656" w:firstLine="656"/>
        <w:spacing w:after="0" w:line="299" w:lineRule="auto"/>
        <w:tabs>
          <w:tab w:leader="none" w:pos="348" w:val="left"/>
        </w:tabs>
        <w:numPr>
          <w:ilvl w:val="0"/>
          <w:numId w:val="43"/>
        </w:numPr>
        <w:rPr>
          <w:rFonts w:ascii="Arial" w:cs="Arial" w:eastAsia="Arial" w:hAnsi="Arial"/>
          <w:sz w:val="19"/>
          <w:szCs w:val="19"/>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require, prior to the payment of any amount or the issuance or delivery of any shares of Common Stock pursuant to the Award, payment by the Participant of any taxes, social contributions, required deductions, or other payments (“Tax-Related Items”) which may be required to be withheld or paid in connection with the Award or the Common Stock, and the Participant agrees to indemnify the Company, Subsidiary, or affiliate for any such Tax-Related Items.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subject to the Committee’s discretion: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w:t>
      </w:r>
    </w:p>
    <w:p>
      <w:pPr>
        <w:sectPr>
          <w:pgSz w:w="11900" w:h="16929" w:orient="portrait"/>
          <w:cols w:equalWidth="0" w:num="1">
            <w:col w:w="10764"/>
          </w:cols>
          <w:pgMar w:left="896" w:top="150" w:right="239" w:bottom="0" w:gutter="0" w:footer="0" w:header="0"/>
        </w:sectPr>
      </w:pPr>
    </w:p>
    <w:bookmarkStart w:id="56" w:name="page57"/>
    <w:bookmarkEnd w:id="56"/>
    <w:p>
      <w:pPr>
        <w:jc w:val="both"/>
        <w:spacing w:after="0" w:line="285" w:lineRule="auto"/>
        <w:rPr>
          <w:sz w:val="20"/>
          <w:szCs w:val="20"/>
          <w:color w:val="auto"/>
        </w:rPr>
      </w:pPr>
      <w:r>
        <w:rPr>
          <w:rFonts w:ascii="Arial" w:cs="Arial" w:eastAsia="Arial" w:hAnsi="Arial"/>
          <w:sz w:val="19"/>
          <w:szCs w:val="19"/>
          <w:color w:val="auto"/>
        </w:rPr>
        <w:t>paid in cash by the Participant. Regardless of any action the Company or any Subsidiary or affiliate takes with respect to any or all applicable Tax-Related Items, the Participant acknowledges and agrees that the ultimate liability for all Tax-Related Items is and remains the Participant’s responsibility and may exceed any amount actually withheld by the Company or any Subsidiary or affiliate. The Participant further acknowledges and agrees that the Participant is solely responsible for filing all relevant documentation that may be required of Participant in relation to this Award or any Tax-Related Items other than filings or documentation, such as but not limited to personal income tax returns or reporting statements in relation to the grant or vesting of the Award, the payment of any amount, the issuance or ownership of Common Stock or any bank or brokerage account, the subsequent sale of Common Stock, and the receipt of any dividends. The Participant further acknowledges that the Company makes no representations or undertakings regarding the treatment of any Tax-Related Items and does not commit to and is under no obligation to structure the terms or any aspect of the Award to reduce or eliminate the Participant’s liability for Tax-Related Items or achieve any particular tax result. Further, if the Participant has become subject to tax in more than one jurisdiction, the Participant acknowledges that the Company or any Subsidiary or affiliate may be required to withhold or account for Tax-Related Items in more than one jurisdiction.</w:t>
      </w:r>
    </w:p>
    <w:p>
      <w:pPr>
        <w:spacing w:after="0" w:line="195" w:lineRule="exact"/>
        <w:rPr>
          <w:sz w:val="20"/>
          <w:szCs w:val="20"/>
          <w:color w:val="auto"/>
        </w:rPr>
      </w:pPr>
    </w:p>
    <w:p>
      <w:pPr>
        <w:ind w:firstLine="656"/>
        <w:spacing w:after="0" w:line="265" w:lineRule="auto"/>
        <w:tabs>
          <w:tab w:leader="none" w:pos="1166" w:val="left"/>
        </w:tabs>
        <w:numPr>
          <w:ilvl w:val="0"/>
          <w:numId w:val="44"/>
        </w:numPr>
        <w:rPr>
          <w:rFonts w:ascii="Arial" w:cs="Arial" w:eastAsia="Arial" w:hAnsi="Arial"/>
          <w:sz w:val="22"/>
          <w:szCs w:val="22"/>
          <w:color w:val="010000"/>
        </w:rPr>
      </w:pPr>
      <w:r>
        <w:rPr>
          <w:rFonts w:ascii="Arial" w:cs="Arial" w:eastAsia="Arial" w:hAnsi="Arial"/>
          <w:sz w:val="20"/>
          <w:szCs w:val="20"/>
          <w:u w:val="single" w:color="auto"/>
          <w:color w:val="auto"/>
        </w:rPr>
        <w:t>INCORPORATION OF PLAN</w:t>
      </w:r>
      <w:r>
        <w:rPr>
          <w:rFonts w:ascii="Arial" w:cs="Arial" w:eastAsia="Arial" w:hAnsi="Arial"/>
          <w:sz w:val="20"/>
          <w:szCs w:val="20"/>
          <w:color w:val="auto"/>
        </w:rPr>
        <w:t>. The Plan is hereby incorporated by reference and made a part hereof, and the Award and this Agreement are subject to all terms and conditions of the Plan.</w:t>
      </w:r>
    </w:p>
    <w:p>
      <w:pPr>
        <w:spacing w:after="0" w:line="209" w:lineRule="exact"/>
        <w:rPr>
          <w:rFonts w:ascii="Arial" w:cs="Arial" w:eastAsia="Arial" w:hAnsi="Arial"/>
          <w:sz w:val="22"/>
          <w:szCs w:val="22"/>
          <w:color w:val="010000"/>
        </w:rPr>
      </w:pPr>
    </w:p>
    <w:p>
      <w:pPr>
        <w:ind w:firstLine="656"/>
        <w:spacing w:after="0" w:line="265" w:lineRule="auto"/>
        <w:tabs>
          <w:tab w:leader="none" w:pos="1198" w:val="left"/>
        </w:tabs>
        <w:numPr>
          <w:ilvl w:val="0"/>
          <w:numId w:val="44"/>
        </w:numPr>
        <w:rPr>
          <w:rFonts w:ascii="Arial" w:cs="Arial" w:eastAsia="Arial" w:hAnsi="Arial"/>
          <w:sz w:val="22"/>
          <w:szCs w:val="22"/>
          <w:color w:val="010000"/>
        </w:rPr>
      </w:pPr>
      <w:r>
        <w:rPr>
          <w:rFonts w:ascii="Arial" w:cs="Arial" w:eastAsia="Arial" w:hAnsi="Arial"/>
          <w:sz w:val="20"/>
          <w:szCs w:val="20"/>
          <w:u w:val="single" w:color="auto"/>
          <w:color w:val="auto"/>
        </w:rPr>
        <w:t>EMPLOYMENT</w:t>
      </w:r>
      <w:r>
        <w:rPr>
          <w:rFonts w:ascii="Arial" w:cs="Arial" w:eastAsia="Arial" w:hAnsi="Arial"/>
          <w:sz w:val="20"/>
          <w:szCs w:val="20"/>
          <w:color w:val="auto"/>
        </w:rPr>
        <w:t>. For purposes of this Agreement, references to employment shall include employment or service with any Subsidiary of the Company.</w:t>
      </w:r>
    </w:p>
    <w:p>
      <w:pPr>
        <w:spacing w:after="0" w:line="206" w:lineRule="exact"/>
        <w:rPr>
          <w:rFonts w:ascii="Arial" w:cs="Arial" w:eastAsia="Arial" w:hAnsi="Arial"/>
          <w:sz w:val="22"/>
          <w:szCs w:val="22"/>
          <w:color w:val="010000"/>
        </w:rPr>
      </w:pPr>
    </w:p>
    <w:p>
      <w:pPr>
        <w:ind w:left="1100" w:hanging="444"/>
        <w:spacing w:after="0"/>
        <w:tabs>
          <w:tab w:leader="none" w:pos="1100" w:val="left"/>
        </w:tabs>
        <w:numPr>
          <w:ilvl w:val="0"/>
          <w:numId w:val="44"/>
        </w:numPr>
        <w:rPr>
          <w:rFonts w:ascii="Arial" w:cs="Arial" w:eastAsia="Arial" w:hAnsi="Arial"/>
          <w:sz w:val="22"/>
          <w:szCs w:val="22"/>
          <w:color w:val="010000"/>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Award, the Participant acknowledges, understands and agrees that:</w:t>
      </w:r>
    </w:p>
    <w:p>
      <w:pPr>
        <w:spacing w:after="0" w:line="200" w:lineRule="exact"/>
        <w:rPr>
          <w:sz w:val="20"/>
          <w:szCs w:val="20"/>
          <w:color w:val="auto"/>
        </w:rPr>
      </w:pPr>
    </w:p>
    <w:p>
      <w:pPr>
        <w:spacing w:after="0" w:line="238" w:lineRule="exact"/>
        <w:rPr>
          <w:sz w:val="20"/>
          <w:szCs w:val="20"/>
          <w:color w:val="auto"/>
        </w:rPr>
      </w:pPr>
    </w:p>
    <w:p>
      <w:pPr>
        <w:ind w:right="20" w:firstLine="1297"/>
        <w:spacing w:after="0" w:line="289" w:lineRule="auto"/>
        <w:rPr>
          <w:sz w:val="20"/>
          <w:szCs w:val="20"/>
          <w:color w:val="auto"/>
        </w:rPr>
      </w:pPr>
      <w:r>
        <w:rPr>
          <w:rFonts w:ascii="Arial" w:cs="Arial" w:eastAsia="Arial" w:hAnsi="Arial"/>
          <w:sz w:val="20"/>
          <w:szCs w:val="20"/>
          <w:color w:val="auto"/>
        </w:rPr>
        <w:t>(a) the Plan is established voluntarily by the Company, it is discretionary in nature, and it may be modified, amended or terminated by the Company at any time, to the extent permitted by the Plan;</w:t>
      </w:r>
    </w:p>
    <w:p>
      <w:pPr>
        <w:spacing w:after="0" w:line="175"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grant of the Restricted Stock Units is voluntary and occasional and does not create any contractual or</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other right to receive future grants of Restricted Stock Units, or benefits in lieu of Restricted Stock Units, even if Restricted Stock Units have been granted in the past;</w:t>
      </w:r>
    </w:p>
    <w:p>
      <w:pPr>
        <w:sectPr>
          <w:pgSz w:w="11900" w:h="16838" w:orient="portrait"/>
          <w:cols w:equalWidth="0" w:num="1">
            <w:col w:w="11420"/>
          </w:cols>
          <w:pgMar w:left="240" w:top="136" w:right="239" w:bottom="0" w:gutter="0" w:footer="0" w:header="0"/>
        </w:sectPr>
      </w:pPr>
    </w:p>
    <w:p>
      <w:pPr>
        <w:spacing w:after="0" w:line="17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decisions with respect to future grants of Restricted Stock Units, if any, will be at the sole discretion of</w:t>
      </w:r>
    </w:p>
    <w:p>
      <w:pPr>
        <w:spacing w:after="0" w:line="50" w:lineRule="exact"/>
        <w:rPr>
          <w:sz w:val="20"/>
          <w:szCs w:val="20"/>
          <w:color w:val="auto"/>
        </w:rPr>
      </w:pPr>
    </w:p>
    <w:p>
      <w:pPr>
        <w:sectPr>
          <w:pgSz w:w="11900" w:h="16838" w:orient="portrait"/>
          <w:cols w:equalWidth="0" w:num="2">
            <w:col w:w="2100" w:space="720"/>
            <w:col w:w="8600"/>
          </w:cols>
          <w:pgMar w:left="240" w:top="136" w:right="239" w:bottom="0" w:gutter="0" w:footer="0" w:header="0"/>
          <w:type w:val="continuous"/>
        </w:sectPr>
      </w:pPr>
    </w:p>
    <w:p>
      <w:pPr>
        <w:spacing w:after="0"/>
        <w:rPr>
          <w:sz w:val="20"/>
          <w:szCs w:val="20"/>
          <w:color w:val="auto"/>
        </w:rPr>
      </w:pPr>
      <w:r>
        <w:rPr>
          <w:rFonts w:ascii="Arial" w:cs="Arial" w:eastAsia="Arial" w:hAnsi="Arial"/>
          <w:sz w:val="16"/>
          <w:szCs w:val="16"/>
          <w:color w:val="auto"/>
        </w:rPr>
        <w:t>the Company;</w:t>
      </w:r>
    </w:p>
    <w:p>
      <w:pPr>
        <w:sectPr>
          <w:pgSz w:w="11900" w:h="16838" w:orient="portrait"/>
          <w:cols w:equalWidth="0" w:num="1">
            <w:col w:w="11420"/>
          </w:cols>
          <w:pgMar w:left="240" w:top="136" w:right="239" w:bottom="0" w:gutter="0" w:footer="0" w:header="0"/>
          <w:type w:val="continuous"/>
        </w:sectPr>
      </w:pPr>
    </w:p>
    <w:p>
      <w:pPr>
        <w:spacing w:after="0" w:line="289"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is voluntarily participating in the Plan;</w:t>
      </w:r>
    </w:p>
    <w:p>
      <w:pPr>
        <w:spacing w:after="0" w:line="211" w:lineRule="exact"/>
        <w:rPr>
          <w:sz w:val="20"/>
          <w:szCs w:val="20"/>
          <w:color w:val="auto"/>
        </w:rPr>
      </w:pPr>
    </w:p>
    <w:p>
      <w:pPr>
        <w:sectPr>
          <w:pgSz w:w="11900" w:h="16838" w:orient="portrait"/>
          <w:cols w:equalWidth="0" w:num="2">
            <w:col w:w="2120" w:space="720"/>
            <w:col w:w="8580"/>
          </w:cols>
          <w:pgMar w:left="240" w:top="136" w:right="239" w:bottom="0" w:gutter="0" w:footer="0" w:header="0"/>
          <w:type w:val="continuous"/>
        </w:sectPr>
      </w:pPr>
    </w:p>
    <w:p>
      <w:pPr>
        <w:spacing w:after="0" w:line="54"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Participant’s participation in the Plan shall not create a right to further employment or to otherwise</w:t>
      </w:r>
    </w:p>
    <w:p>
      <w:pPr>
        <w:sectPr>
          <w:pgSz w:w="11900" w:h="16838" w:orient="portrait"/>
          <w:cols w:equalWidth="0" w:num="1">
            <w:col w:w="11420"/>
          </w:cols>
          <w:pgMar w:left="240" w:top="136" w:right="239" w:bottom="0" w:gutter="0" w:footer="0" w:header="0"/>
          <w:type w:val="continuous"/>
        </w:sectPr>
      </w:pPr>
    </w:p>
    <w:p>
      <w:pPr>
        <w:spacing w:after="0" w:line="38"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remain associated with the Company or any of its affiliates and shall not interfere with the ability of the Company or any of its affiliates to terminate the Participant’s employment or service relationship (if any) at any time, subject to applicable law;</w:t>
      </w:r>
    </w:p>
    <w:p>
      <w:pPr>
        <w:spacing w:after="0" w:line="17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0"/>
          <w:szCs w:val="20"/>
          <w:color w:val="auto"/>
        </w:rPr>
        <w:t>(f) the Award and any payment hereunder or any shares of Common Stock subject to the Award are not intended to replace any pension rights;</w:t>
      </w:r>
    </w:p>
    <w:p>
      <w:pPr>
        <w:spacing w:after="0" w:line="175"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in the event that the Participant is not an employee of the Company or any Subsidiary or affiliate, the Award</w:t>
      </w: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and the Participant’s participation in the Plan will not be interpreted to form an employment or service contract or relationship with the Company or any Subsidiary or affiliate;</w:t>
      </w:r>
    </w:p>
    <w:p>
      <w:pPr>
        <w:spacing w:after="0" w:line="175"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0"/>
          <w:szCs w:val="20"/>
          <w:color w:val="auto"/>
        </w:rPr>
        <w:t>(h) the Award and any payment hereunder or any shares of Common Stock subject to the Award are not part of normal or expected compensation or salary for any purpose, including but not limited to calculating any severance, resignation, termination, redundancy, dismissal, end of service payments, bonuses, long-service awards, pension or retirement or welfare benefits or similar payments (if any);</w:t>
      </w:r>
    </w:p>
    <w:p>
      <w:pPr>
        <w:sectPr>
          <w:pgSz w:w="11900" w:h="16838" w:orient="portrait"/>
          <w:cols w:equalWidth="0" w:num="1">
            <w:col w:w="11420"/>
          </w:cols>
          <w:pgMar w:left="240" w:top="136" w:right="239" w:bottom="0" w:gutter="0" w:footer="0" w:header="0"/>
          <w:type w:val="continuous"/>
        </w:sectPr>
      </w:pPr>
    </w:p>
    <w:p>
      <w:pPr>
        <w:spacing w:after="0" w:line="192"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cannot be predicted with certainty;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the future value of the shares of Common Stock subject to the Award is unknown, indeterminable and</w:t>
      </w:r>
    </w:p>
    <w:p>
      <w:pPr>
        <w:spacing w:after="0" w:line="445" w:lineRule="exact"/>
        <w:rPr>
          <w:sz w:val="20"/>
          <w:szCs w:val="20"/>
          <w:color w:val="auto"/>
        </w:rPr>
      </w:pPr>
    </w:p>
    <w:p>
      <w:pPr>
        <w:sectPr>
          <w:pgSz w:w="11900" w:h="16838" w:orient="portrait"/>
          <w:cols w:equalWidth="0" w:num="2">
            <w:col w:w="2760" w:space="20"/>
            <w:col w:w="8640"/>
          </w:cols>
          <w:pgMar w:left="240" w:top="136" w:right="239" w:bottom="0" w:gutter="0" w:footer="0" w:header="0"/>
          <w:type w:val="continuous"/>
        </w:sectPr>
      </w:pPr>
    </w:p>
    <w:p>
      <w:pPr>
        <w:spacing w:after="0" w:line="79" w:lineRule="exact"/>
        <w:rPr>
          <w:sz w:val="20"/>
          <w:szCs w:val="20"/>
          <w:color w:val="auto"/>
        </w:rPr>
      </w:pPr>
    </w:p>
    <w:p>
      <w:pPr>
        <w:jc w:val="both"/>
        <w:ind w:firstLine="1305"/>
        <w:spacing w:after="0" w:line="302" w:lineRule="auto"/>
        <w:tabs>
          <w:tab w:leader="none" w:pos="1604" w:val="left"/>
        </w:tabs>
        <w:numPr>
          <w:ilvl w:val="0"/>
          <w:numId w:val="45"/>
        </w:numPr>
        <w:rPr>
          <w:rFonts w:ascii="Arial" w:cs="Arial" w:eastAsia="Arial" w:hAnsi="Arial"/>
          <w:sz w:val="19"/>
          <w:szCs w:val="19"/>
          <w:color w:val="auto"/>
        </w:rPr>
      </w:pPr>
      <w:r>
        <w:rPr>
          <w:rFonts w:ascii="Arial" w:cs="Arial" w:eastAsia="Arial" w:hAnsi="Arial"/>
          <w:sz w:val="18"/>
          <w:szCs w:val="18"/>
          <w:color w:val="auto"/>
        </w:rPr>
        <w:t>no claim or entitlement to compensation or damages shall arise from forfeiture of the Restricted Stock Units resulting from the Participant ceasing to provide services to the Company or any of its affiliates (for any reason whatsoever and whether or not later found to be invalid or in breach of employment laws in the jurisdiction where the Participant is employed or the terms of the Participant’s employment agreement, if any) and in consideration of the grant of the Award to which the Participant is otherwise not entitled, the Participant irrevocably agrees never to institute any claim against the Company or any of its affiliates, waives his or her ability, if any, to bring any such claim, and releases the Company and each of its affiliates from any such claim;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claims;</w:t>
      </w:r>
    </w:p>
    <w:p>
      <w:pPr>
        <w:spacing w:after="0" w:line="171"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8"/>
          <w:szCs w:val="18"/>
          <w:color w:val="auto"/>
        </w:rPr>
        <w:t>(j) in the event of a termination of employment (whether or not later found to be invalid or in breach of employment laws in the jurisdiction where the Participant is employed or the terms of the Participant’s employment agreement, if any), unless otherwise provided by this Agreement or determined by the Company, the Participant’s right to receive and vest in Restricted Stock Units under the Plan, if any, will terminate effective as of the date that the Participant is no longer actively providing services and will not be extended by</w:t>
      </w:r>
    </w:p>
    <w:p>
      <w:pPr>
        <w:sectPr>
          <w:pgSz w:w="11900" w:h="16838" w:orient="portrait"/>
          <w:cols w:equalWidth="0" w:num="1">
            <w:col w:w="11420"/>
          </w:cols>
          <w:pgMar w:left="240" w:top="136" w:right="239" w:bottom="0" w:gutter="0" w:footer="0" w:header="0"/>
          <w:type w:val="continuous"/>
        </w:sectPr>
      </w:pPr>
    </w:p>
    <w:bookmarkStart w:id="57" w:name="page58"/>
    <w:bookmarkEnd w:id="57"/>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Award;</w:t>
      </w:r>
    </w:p>
    <w:p>
      <w:pPr>
        <w:spacing w:after="0" w:line="19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0"/>
          <w:szCs w:val="20"/>
          <w:color w:val="auto"/>
        </w:rPr>
        <w:t>(k) unless otherwise provided in the Plan or by the Company in its discretion, the Award and the benefits evidenced by this Agreement do not create any entitlement to have the Plan or any such benefits granted thereunder, transferred to, or assumed by, another company nor to be exchanged, cashed out or substituted for, in connection with any corporate transaction affecting the shares of Common Stock; and</w:t>
      </w:r>
    </w:p>
    <w:p>
      <w:pPr>
        <w:spacing w:after="0" w:line="19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0"/>
          <w:szCs w:val="20"/>
          <w:color w:val="auto"/>
        </w:rPr>
        <w:t>(l) neither the Company nor any of its affiliates will be liable for any foreign exchange rate fluctuation between the Participant’s local currency and the United States dollar that may affect the value of the Restricted Stock Units, the Common Stock, or any amounts due to the Participant pursuant to the vesting of the Restricted Stock Units or the subsequent sale of any shares of Common Stock acquired under the Plan, or the calculation of income or Tax-Related Items under the Award; and</w:t>
      </w:r>
    </w:p>
    <w:p>
      <w:pPr>
        <w:spacing w:after="0" w:line="192"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0"/>
          <w:szCs w:val="20"/>
          <w:color w:val="auto"/>
        </w:rPr>
        <w:t>(m) any cross-border cash remittance made to transfer proceeds received upon the sale of Common Stock or otherwise in relation to the Award must be made through a locally authorized financial institution or registered foreign exchange agency and may require the Participant to provide to such entity certain information regarding the transaction.</w:t>
      </w:r>
    </w:p>
    <w:p>
      <w:pPr>
        <w:spacing w:after="0" w:line="214" w:lineRule="exact"/>
        <w:rPr>
          <w:sz w:val="20"/>
          <w:szCs w:val="20"/>
          <w:color w:val="auto"/>
        </w:rPr>
      </w:pPr>
    </w:p>
    <w:p>
      <w:pPr>
        <w:jc w:val="both"/>
        <w:ind w:firstLine="656"/>
        <w:spacing w:after="0" w:line="266" w:lineRule="auto"/>
        <w:tabs>
          <w:tab w:leader="none" w:pos="1233" w:val="left"/>
        </w:tabs>
        <w:numPr>
          <w:ilvl w:val="0"/>
          <w:numId w:val="46"/>
        </w:numPr>
        <w:rPr>
          <w:rFonts w:ascii="Arial" w:cs="Arial" w:eastAsia="Arial" w:hAnsi="Arial"/>
          <w:sz w:val="22"/>
          <w:szCs w:val="22"/>
          <w:color w:val="010000"/>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The Participant hereby explicitly and unambiguously consents to the collection, use and transfer, in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electronic or other form, of the Participant’s personal data as described in this Agreement and any other grant materials by and among, as applicable, the Company and any affiliate for the exclusive purpose of implementing, administering and managing the Participant’s participation in the Plan. The Participant understands that refusal or withdrawal of consent may affect the Participant’s ability to participate in the Plan.</w:t>
      </w:r>
    </w:p>
    <w:p>
      <w:pPr>
        <w:spacing w:after="0" w:line="186" w:lineRule="exact"/>
        <w:rPr>
          <w:sz w:val="20"/>
          <w:szCs w:val="20"/>
          <w:color w:val="auto"/>
        </w:rPr>
      </w:pPr>
    </w:p>
    <w:p>
      <w:pPr>
        <w:ind w:right="80" w:firstLine="648"/>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its affiliates may hold certain personal information about the Participant, including, but not limited to, the Participant’s name, home address and telephone number, date of birth, social insurance number or other identification number, salary, nationality, job title, any shares of Common Stock or directorships held in the Company, details of all awards or any other entitlement to shares of Common Stock awarded, canceled, exercised, vested, unvested or outstanding in the Participant’s favor, for the exclusive purpose of implementing, administering and managing the Plan (“Personal Data”).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The Participant understands that Personal Data may be transferred to any Subsidiary or affiliate or third parties as may be selected by the Company to assist the Company with the implementation, administration and management of the Plan. The Participant understands that the recipients of Personal Data may be located in the United States or elsewhere, and that the recipient’s country may have different data privacy laws and protections than the Participant’s country.</w:t>
      </w:r>
    </w:p>
    <w:p>
      <w:pPr>
        <w:spacing w:after="0" w:line="217" w:lineRule="exact"/>
        <w:rPr>
          <w:sz w:val="20"/>
          <w:szCs w:val="20"/>
          <w:color w:val="auto"/>
        </w:rPr>
      </w:pPr>
    </w:p>
    <w:p>
      <w:pPr>
        <w:jc w:val="both"/>
        <w:ind w:firstLine="656"/>
        <w:spacing w:after="0" w:line="266" w:lineRule="auto"/>
        <w:tabs>
          <w:tab w:leader="none" w:pos="1125" w:val="left"/>
        </w:tabs>
        <w:numPr>
          <w:ilvl w:val="0"/>
          <w:numId w:val="47"/>
        </w:numPr>
        <w:rPr>
          <w:rFonts w:ascii="Arial" w:cs="Arial" w:eastAsia="Arial" w:hAnsi="Arial"/>
          <w:sz w:val="22"/>
          <w:szCs w:val="22"/>
          <w:color w:val="010000"/>
        </w:rPr>
      </w:pPr>
      <w:r>
        <w:rPr>
          <w:rFonts w:ascii="Arial" w:cs="Arial" w:eastAsia="Arial" w:hAnsi="Arial"/>
          <w:sz w:val="20"/>
          <w:szCs w:val="20"/>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the Award or future awards granted under the Plan by electronic means or request the Participant’s consent to participate in the Plan by electronic means. By accepting this Award, whether electronically or otherwise, the Participant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14" w:lineRule="exact"/>
        <w:rPr>
          <w:rFonts w:ascii="Arial" w:cs="Arial" w:eastAsia="Arial" w:hAnsi="Arial"/>
          <w:sz w:val="22"/>
          <w:szCs w:val="22"/>
          <w:color w:val="010000"/>
        </w:rPr>
      </w:pPr>
    </w:p>
    <w:p>
      <w:pPr>
        <w:ind w:firstLine="656"/>
        <w:spacing w:after="0" w:line="334" w:lineRule="auto"/>
        <w:tabs>
          <w:tab w:leader="none" w:pos="1112" w:val="left"/>
        </w:tabs>
        <w:numPr>
          <w:ilvl w:val="0"/>
          <w:numId w:val="47"/>
        </w:numPr>
        <w:rPr>
          <w:rFonts w:ascii="Arial" w:cs="Arial" w:eastAsia="Arial" w:hAnsi="Arial"/>
          <w:sz w:val="19"/>
          <w:szCs w:val="19"/>
          <w:color w:val="010000"/>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50" w:lineRule="exact"/>
        <w:rPr>
          <w:rFonts w:ascii="Arial" w:cs="Arial" w:eastAsia="Arial" w:hAnsi="Arial"/>
          <w:sz w:val="19"/>
          <w:szCs w:val="19"/>
          <w:color w:val="010000"/>
        </w:rPr>
      </w:pPr>
    </w:p>
    <w:p>
      <w:pPr>
        <w:jc w:val="both"/>
        <w:ind w:firstLine="656"/>
        <w:spacing w:after="0" w:line="283" w:lineRule="auto"/>
        <w:tabs>
          <w:tab w:leader="none" w:pos="1098" w:val="left"/>
        </w:tabs>
        <w:numPr>
          <w:ilvl w:val="0"/>
          <w:numId w:val="47"/>
        </w:numPr>
        <w:rPr>
          <w:rFonts w:ascii="Arial" w:cs="Arial" w:eastAsia="Arial" w:hAnsi="Arial"/>
          <w:sz w:val="21"/>
          <w:szCs w:val="21"/>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provided, however, that no amendment may impair the rights of the Participant without the consent of the Participant, subject to Section 19 below.</w:t>
      </w:r>
    </w:p>
    <w:p>
      <w:pPr>
        <w:spacing w:after="0" w:line="198" w:lineRule="exact"/>
        <w:rPr>
          <w:rFonts w:ascii="Arial" w:cs="Arial" w:eastAsia="Arial" w:hAnsi="Arial"/>
          <w:sz w:val="21"/>
          <w:szCs w:val="21"/>
          <w:color w:val="010000"/>
        </w:rPr>
      </w:pPr>
    </w:p>
    <w:p>
      <w:pPr>
        <w:jc w:val="both"/>
        <w:ind w:firstLine="656"/>
        <w:spacing w:after="0" w:line="308" w:lineRule="auto"/>
        <w:tabs>
          <w:tab w:leader="none" w:pos="1139" w:val="left"/>
        </w:tabs>
        <w:numPr>
          <w:ilvl w:val="0"/>
          <w:numId w:val="47"/>
        </w:numPr>
        <w:rPr>
          <w:rFonts w:ascii="Arial" w:cs="Arial" w:eastAsia="Arial" w:hAnsi="Arial"/>
          <w:sz w:val="19"/>
          <w:szCs w:val="19"/>
          <w:color w:val="010000"/>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This Agreement shall be governed by and construed according to the laws of the State of Delaware without regard to its principles of conflict of laws. For purposes of litigating any dispute that cannot be resolved pursuant to Section 5 above,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color w:val="auto"/>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204" w:lineRule="exact"/>
        <w:rPr>
          <w:sz w:val="20"/>
          <w:szCs w:val="20"/>
          <w:color w:val="auto"/>
        </w:rPr>
      </w:pPr>
    </w:p>
    <w:p>
      <w:pPr>
        <w:jc w:val="both"/>
        <w:ind w:firstLine="656"/>
        <w:spacing w:after="0" w:line="292" w:lineRule="auto"/>
        <w:tabs>
          <w:tab w:leader="none" w:pos="1220" w:val="left"/>
        </w:tabs>
        <w:numPr>
          <w:ilvl w:val="0"/>
          <w:numId w:val="48"/>
        </w:numPr>
        <w:rPr>
          <w:rFonts w:ascii="Arial" w:cs="Arial" w:eastAsia="Arial" w:hAnsi="Arial"/>
          <w:sz w:val="19"/>
          <w:szCs w:val="19"/>
          <w:color w:val="010000"/>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w:t>
      </w:r>
    </w:p>
    <w:p>
      <w:pPr>
        <w:jc w:val="both"/>
        <w:spacing w:after="0" w:line="322" w:lineRule="auto"/>
        <w:rPr>
          <w:rFonts w:ascii="Arial" w:cs="Arial" w:eastAsia="Arial" w:hAnsi="Arial"/>
          <w:sz w:val="19"/>
          <w:szCs w:val="19"/>
          <w:color w:val="010000"/>
        </w:rPr>
      </w:pPr>
      <w:r>
        <w:rPr>
          <w:rFonts w:ascii="Arial" w:cs="Arial" w:eastAsia="Arial" w:hAnsi="Arial"/>
          <w:sz w:val="18"/>
          <w:szCs w:val="18"/>
          <w:color w:val="auto"/>
        </w:rPr>
        <w:t>(4).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w:t>
      </w:r>
    </w:p>
    <w:p>
      <w:pPr>
        <w:sectPr>
          <w:pgSz w:w="11900" w:h="16863" w:orient="portrait"/>
          <w:cols w:equalWidth="0" w:num="1">
            <w:col w:w="11420"/>
          </w:cols>
          <w:pgMar w:left="240" w:top="136" w:right="239" w:bottom="0" w:gutter="0" w:footer="0" w:header="0"/>
        </w:sectPr>
      </w:pPr>
    </w:p>
    <w:bookmarkStart w:id="58" w:name="page59"/>
    <w:bookmarkEnd w:id="58"/>
    <w:p>
      <w:pPr>
        <w:jc w:val="both"/>
        <w:spacing w:after="0" w:line="286" w:lineRule="auto"/>
        <w:rPr>
          <w:sz w:val="20"/>
          <w:szCs w:val="20"/>
          <w:color w:val="auto"/>
        </w:rPr>
      </w:pPr>
      <w:r>
        <w:rPr>
          <w:rFonts w:ascii="Arial" w:cs="Arial" w:eastAsia="Arial" w:hAnsi="Arial"/>
          <w:sz w:val="19"/>
          <w:szCs w:val="19"/>
          <w:color w:val="auto"/>
        </w:rPr>
        <w:t>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99" w:lineRule="exact"/>
        <w:rPr>
          <w:sz w:val="20"/>
          <w:szCs w:val="20"/>
          <w:color w:val="auto"/>
        </w:rPr>
      </w:pPr>
    </w:p>
    <w:p>
      <w:pPr>
        <w:jc w:val="both"/>
        <w:ind w:firstLine="656"/>
        <w:spacing w:after="0" w:line="282" w:lineRule="auto"/>
        <w:tabs>
          <w:tab w:leader="none" w:pos="1152" w:val="left"/>
        </w:tabs>
        <w:numPr>
          <w:ilvl w:val="1"/>
          <w:numId w:val="49"/>
        </w:numPr>
        <w:rPr>
          <w:rFonts w:ascii="Arial" w:cs="Arial" w:eastAsia="Arial" w:hAnsi="Arial"/>
          <w:sz w:val="21"/>
          <w:szCs w:val="21"/>
          <w:color w:val="010000"/>
        </w:rPr>
      </w:pPr>
      <w:r>
        <w:rPr>
          <w:rFonts w:ascii="Arial" w:cs="Arial" w:eastAsia="Arial" w:hAnsi="Arial"/>
          <w:sz w:val="19"/>
          <w:szCs w:val="19"/>
          <w:u w:val="single" w:color="auto"/>
          <w:color w:val="auto"/>
        </w:rPr>
        <w:t>OTHER REQUIREMENTS AND EXHIBIT B.</w:t>
      </w:r>
      <w:r>
        <w:rPr>
          <w:rFonts w:ascii="Arial" w:cs="Arial" w:eastAsia="Arial" w:hAnsi="Arial"/>
          <w:sz w:val="19"/>
          <w:szCs w:val="19"/>
          <w:color w:val="auto"/>
        </w:rPr>
        <w:t xml:space="preserve"> The Company is not obligated and will have no liability for failure to issue or deliver any Common Stock upon vesting of this Award, or to make a payment with respect thereto, if such issuance, delivery or payment would violate any applicable laws, with compliance with applicable laws determined by the Company in consultation with its legal counsel. The Participant understands that the applicable laws of the country in which Participant is residing or working at the time of grant or vesting of this Award (including any rules or regulations governing securities, foreign exchange, tax, labor or other matters) may restrict or prevent the issuance of shares thereunder. Furthermore, the Company reserves the right to impose other requirements on the Participant’s participation in the Plan, on this Award, and the Common Stock subject to this Award, or any payment with respect thereto, to the extent the Company determines it is necessary or advisable in order to comply with applicable laws or facilitate the administration of the Plan. The Participant agrees to sign any additional agreements or undertakings that may be necessary to accomplish the foregoing. Furthermore, the Participant acknowledges that the applicable laws of the country in which the Participant is residing or working at the time of grant or vesting of the Award or the issuance, holding, or sale of Common Stock received pursuant to the Award (including any rules or regulations governing securities, foreign exchange, tax, labor, or other matters) may subject the Participant to additional procedural or regulatory requirements that the Participant is and will be solely responsible for and must fulfill. Such requirements may be outlined in but are not limited to any special provisions set forth in Exhibit B for the Participant’s country, if any. Notwithstanding any provision herein, the Participant’s participation in the Plan shall be subject to any applicable special terms and conditions or disclosures as set forth in Exhibit B. If the Participant relocates to one of the countries included in Exhibit B during the vesting period or while holding shares of Common Stock issued upon vesting of the Award, the special provisions for such country shall apply to the Participant, to the extent the Company determines that the application of such provisions is advisable or necessary in order to comply with local law or facilitate the administration of the Plan. Exhibit B constitutes part of this Agreement.</w:t>
      </w:r>
    </w:p>
    <w:p>
      <w:pPr>
        <w:spacing w:after="0" w:line="200" w:lineRule="exact"/>
        <w:rPr>
          <w:rFonts w:ascii="Arial" w:cs="Arial" w:eastAsia="Arial" w:hAnsi="Arial"/>
          <w:sz w:val="21"/>
          <w:szCs w:val="21"/>
          <w:color w:val="010000"/>
        </w:rPr>
      </w:pPr>
    </w:p>
    <w:p>
      <w:pPr>
        <w:ind w:right="20" w:firstLine="656"/>
        <w:spacing w:after="0" w:line="265" w:lineRule="auto"/>
        <w:tabs>
          <w:tab w:leader="none" w:pos="1139" w:val="left"/>
        </w:tabs>
        <w:numPr>
          <w:ilvl w:val="1"/>
          <w:numId w:val="49"/>
        </w:numPr>
        <w:rPr>
          <w:rFonts w:ascii="Arial" w:cs="Arial" w:eastAsia="Arial" w:hAnsi="Arial"/>
          <w:sz w:val="22"/>
          <w:szCs w:val="22"/>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shall constitute one and the same instrument.</w:t>
      </w:r>
    </w:p>
    <w:p>
      <w:pPr>
        <w:spacing w:after="0" w:line="209" w:lineRule="exact"/>
        <w:rPr>
          <w:rFonts w:ascii="Arial" w:cs="Arial" w:eastAsia="Arial" w:hAnsi="Arial"/>
          <w:sz w:val="22"/>
          <w:szCs w:val="22"/>
          <w:color w:val="010000"/>
        </w:rPr>
      </w:pPr>
    </w:p>
    <w:p>
      <w:pPr>
        <w:jc w:val="both"/>
        <w:ind w:firstLine="656"/>
        <w:spacing w:after="0" w:line="266" w:lineRule="auto"/>
        <w:tabs>
          <w:tab w:leader="none" w:pos="1112" w:val="left"/>
        </w:tabs>
        <w:numPr>
          <w:ilvl w:val="1"/>
          <w:numId w:val="49"/>
        </w:numPr>
        <w:rPr>
          <w:rFonts w:ascii="Arial" w:cs="Arial" w:eastAsia="Arial" w:hAnsi="Arial"/>
          <w:sz w:val="22"/>
          <w:szCs w:val="22"/>
          <w:color w:val="010000"/>
        </w:rPr>
      </w:pPr>
      <w:r>
        <w:rPr>
          <w:rFonts w:ascii="Arial" w:cs="Arial" w:eastAsia="Arial" w:hAnsi="Arial"/>
          <w:sz w:val="20"/>
          <w:szCs w:val="20"/>
          <w:u w:val="single" w:color="auto"/>
          <w:color w:val="auto"/>
        </w:rPr>
        <w:t>AWARDS SUBJECT TO CLAWBACK</w:t>
      </w:r>
      <w:r>
        <w:rPr>
          <w:rFonts w:ascii="Arial" w:cs="Arial" w:eastAsia="Arial" w:hAnsi="Arial"/>
          <w:sz w:val="20"/>
          <w:szCs w:val="20"/>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10" w:lineRule="exact"/>
        <w:rPr>
          <w:rFonts w:ascii="Arial" w:cs="Arial" w:eastAsia="Arial" w:hAnsi="Arial"/>
          <w:sz w:val="22"/>
          <w:szCs w:val="22"/>
          <w:color w:val="010000"/>
        </w:rPr>
      </w:pPr>
    </w:p>
    <w:p>
      <w:pPr>
        <w:ind w:left="1100" w:hanging="444"/>
        <w:spacing w:after="0"/>
        <w:tabs>
          <w:tab w:leader="none" w:pos="1100" w:val="left"/>
        </w:tabs>
        <w:numPr>
          <w:ilvl w:val="1"/>
          <w:numId w:val="49"/>
        </w:numPr>
        <w:rPr>
          <w:rFonts w:ascii="Arial" w:cs="Arial" w:eastAsia="Arial" w:hAnsi="Arial"/>
          <w:sz w:val="22"/>
          <w:szCs w:val="22"/>
          <w:color w:val="010000"/>
        </w:rPr>
      </w:pP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shall have the meanings set forth below:</w:t>
      </w:r>
    </w:p>
    <w:p>
      <w:pPr>
        <w:spacing w:after="0" w:line="235" w:lineRule="exact"/>
        <w:rPr>
          <w:rFonts w:ascii="Arial" w:cs="Arial" w:eastAsia="Arial" w:hAnsi="Arial"/>
          <w:sz w:val="22"/>
          <w:szCs w:val="22"/>
          <w:color w:val="010000"/>
        </w:rPr>
      </w:pPr>
    </w:p>
    <w:p>
      <w:pPr>
        <w:jc w:val="both"/>
        <w:ind w:firstLine="1305"/>
        <w:spacing w:after="0" w:line="305" w:lineRule="auto"/>
        <w:tabs>
          <w:tab w:leader="none" w:pos="1716" w:val="left"/>
        </w:tabs>
        <w:numPr>
          <w:ilvl w:val="2"/>
          <w:numId w:val="49"/>
        </w:numPr>
        <w:rPr>
          <w:rFonts w:ascii="Arial" w:cs="Arial" w:eastAsia="Arial" w:hAnsi="Arial"/>
          <w:sz w:val="19"/>
          <w:szCs w:val="19"/>
          <w:color w:val="010000"/>
        </w:rPr>
      </w:pPr>
      <w:r>
        <w:rPr>
          <w:rFonts w:ascii="Arial" w:cs="Arial" w:eastAsia="Arial" w:hAnsi="Arial"/>
          <w:sz w:val="18"/>
          <w:szCs w:val="18"/>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2" w:lineRule="exact"/>
        <w:rPr>
          <w:rFonts w:ascii="Arial" w:cs="Arial" w:eastAsia="Arial" w:hAnsi="Arial"/>
          <w:sz w:val="19"/>
          <w:szCs w:val="19"/>
          <w:color w:val="010000"/>
        </w:rPr>
      </w:pPr>
    </w:p>
    <w:p>
      <w:pPr>
        <w:jc w:val="both"/>
        <w:ind w:firstLine="1305"/>
        <w:spacing w:after="0" w:line="338" w:lineRule="auto"/>
        <w:tabs>
          <w:tab w:leader="none" w:pos="1756" w:val="left"/>
        </w:tabs>
        <w:numPr>
          <w:ilvl w:val="2"/>
          <w:numId w:val="49"/>
        </w:numPr>
        <w:rPr>
          <w:rFonts w:ascii="Arial" w:cs="Arial" w:eastAsia="Arial" w:hAnsi="Arial"/>
          <w:sz w:val="18"/>
          <w:szCs w:val="18"/>
          <w:color w:val="010000"/>
        </w:rPr>
      </w:pPr>
      <w:r>
        <w:rPr>
          <w:rFonts w:ascii="Arial" w:cs="Arial" w:eastAsia="Arial" w:hAnsi="Arial"/>
          <w:sz w:val="17"/>
          <w:szCs w:val="17"/>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57" w:lineRule="exact"/>
        <w:rPr>
          <w:rFonts w:ascii="Arial" w:cs="Arial" w:eastAsia="Arial" w:hAnsi="Arial"/>
          <w:sz w:val="18"/>
          <w:szCs w:val="18"/>
          <w:color w:val="010000"/>
        </w:rPr>
      </w:pPr>
    </w:p>
    <w:p>
      <w:pPr>
        <w:jc w:val="both"/>
        <w:ind w:firstLine="1305"/>
        <w:spacing w:after="0" w:line="295" w:lineRule="auto"/>
        <w:tabs>
          <w:tab w:leader="none" w:pos="1716" w:val="left"/>
        </w:tabs>
        <w:numPr>
          <w:ilvl w:val="2"/>
          <w:numId w:val="49"/>
        </w:numPr>
        <w:rPr>
          <w:rFonts w:ascii="Arial" w:cs="Arial" w:eastAsia="Arial" w:hAnsi="Arial"/>
          <w:sz w:val="19"/>
          <w:szCs w:val="19"/>
          <w:color w:val="010000"/>
        </w:rPr>
      </w:pPr>
      <w:r>
        <w:rPr>
          <w:rFonts w:ascii="Arial" w:cs="Arial" w:eastAsia="Arial" w:hAnsi="Arial"/>
          <w:sz w:val="18"/>
          <w:szCs w:val="18"/>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w:t>
      </w:r>
    </w:p>
    <w:p>
      <w:pPr>
        <w:spacing w:after="0" w:line="3" w:lineRule="exact"/>
        <w:rPr>
          <w:rFonts w:ascii="Arial" w:cs="Arial" w:eastAsia="Arial" w:hAnsi="Arial"/>
          <w:sz w:val="19"/>
          <w:szCs w:val="19"/>
          <w:color w:val="010000"/>
        </w:rPr>
      </w:pPr>
    </w:p>
    <w:p>
      <w:pPr>
        <w:jc w:val="both"/>
        <w:ind w:firstLine="8"/>
        <w:spacing w:after="0" w:line="299" w:lineRule="auto"/>
        <w:tabs>
          <w:tab w:leader="none" w:pos="392" w:val="left"/>
        </w:tabs>
        <w:numPr>
          <w:ilvl w:val="0"/>
          <w:numId w:val="50"/>
        </w:numPr>
        <w:rPr>
          <w:rFonts w:ascii="Arial" w:cs="Arial" w:eastAsia="Arial" w:hAnsi="Arial"/>
          <w:sz w:val="19"/>
          <w:szCs w:val="19"/>
          <w:color w:val="auto"/>
        </w:rPr>
      </w:pPr>
      <w:r>
        <w:rPr>
          <w:rFonts w:ascii="Arial" w:cs="Arial" w:eastAsia="Arial" w:hAnsi="Arial"/>
          <w:sz w:val="19"/>
          <w:szCs w:val="19"/>
          <w:color w:val="auto"/>
        </w:rPr>
        <w:t>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ectPr>
          <w:pgSz w:w="11900" w:h="16838" w:orient="portrait"/>
          <w:cols w:equalWidth="0" w:num="1">
            <w:col w:w="11420"/>
          </w:cols>
          <w:pgMar w:left="240" w:top="136" w:right="239" w:bottom="627" w:gutter="0" w:footer="0" w:header="0"/>
        </w:sectPr>
      </w:pPr>
    </w:p>
    <w:bookmarkStart w:id="59" w:name="page60"/>
    <w:bookmarkEnd w:id="59"/>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parties have executed this Restricted Stock Unit Award Agreement on the day and year first above written.</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DINE BRANDS GLOBAL, INC.</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______________________________________</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Stephen P. Joyce</w:t>
      </w:r>
    </w:p>
    <w:p>
      <w:pPr>
        <w:ind w:left="43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-14605</wp:posOffset>
            </wp:positionV>
            <wp:extent cx="125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0"/>
          <w:szCs w:val="20"/>
          <w:color w:val="auto"/>
        </w:rPr>
        <w:t>Address</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-14605</wp:posOffset>
            </wp:positionV>
            <wp:extent cx="125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-14605</wp:posOffset>
            </wp:positionV>
            <wp:extent cx="125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VESTING SCHEDULE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Stock Units (RSUs) shall vest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400"/>
        <w:spacing w:after="0"/>
        <w:rPr>
          <w:sz w:val="20"/>
          <w:szCs w:val="20"/>
          <w:color w:val="auto"/>
        </w:rPr>
      </w:pPr>
      <w:r>
        <w:rPr>
          <w:rFonts w:ascii="Arial" w:cs="Arial" w:eastAsia="Arial" w:hAnsi="Arial"/>
          <w:sz w:val="20"/>
          <w:szCs w:val="20"/>
          <w:b w:val="1"/>
          <w:bCs w:val="1"/>
          <w:color w:val="auto"/>
        </w:rPr>
        <w:t>EXHIBIT B</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DINE BRANDS GLOBAL, INC.</w:t>
      </w:r>
    </w:p>
    <w:p>
      <w:pPr>
        <w:ind w:left="4260"/>
        <w:spacing w:after="0"/>
        <w:rPr>
          <w:sz w:val="20"/>
          <w:szCs w:val="20"/>
          <w:color w:val="auto"/>
        </w:rPr>
      </w:pPr>
      <w:r>
        <w:rPr>
          <w:rFonts w:ascii="Arial" w:cs="Arial" w:eastAsia="Arial" w:hAnsi="Arial"/>
          <w:sz w:val="20"/>
          <w:szCs w:val="20"/>
          <w:b w:val="1"/>
          <w:bCs w:val="1"/>
          <w:color w:val="auto"/>
        </w:rPr>
        <w:t>2016 STOCK INCENTIVE PLAN</w:t>
      </w:r>
    </w:p>
    <w:p>
      <w:pPr>
        <w:ind w:left="2640"/>
        <w:spacing w:after="0"/>
        <w:rPr>
          <w:sz w:val="20"/>
          <w:szCs w:val="20"/>
          <w:color w:val="auto"/>
        </w:rPr>
      </w:pPr>
      <w:r>
        <w:rPr>
          <w:rFonts w:ascii="Arial" w:cs="Arial" w:eastAsia="Arial" w:hAnsi="Arial"/>
          <w:sz w:val="20"/>
          <w:szCs w:val="20"/>
          <w:b w:val="1"/>
          <w:bCs w:val="1"/>
          <w:color w:val="auto"/>
        </w:rPr>
        <w:t>SPECIAL PROVISIONS FOR RESTRICTED STOCK UNIT AWARDS</w:t>
      </w:r>
    </w:p>
    <w:p>
      <w:pPr>
        <w:ind w:left="3860"/>
        <w:spacing w:after="0"/>
        <w:rPr>
          <w:sz w:val="20"/>
          <w:szCs w:val="20"/>
          <w:color w:val="auto"/>
        </w:rPr>
      </w:pPr>
      <w:r>
        <w:rPr>
          <w:rFonts w:ascii="Arial" w:cs="Arial" w:eastAsia="Arial" w:hAnsi="Arial"/>
          <w:sz w:val="20"/>
          <w:szCs w:val="20"/>
          <w:b w:val="1"/>
          <w:bCs w:val="1"/>
          <w:color w:val="auto"/>
        </w:rPr>
        <w:t>FOR PARTICIPANTS OUTSIDE THE U.S.</w:t>
      </w:r>
    </w:p>
    <w:p>
      <w:pPr>
        <w:spacing w:after="0" w:line="213"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 xml:space="preserve">This Exhibit B includes special terms and conditions applicable to Participants in the countries below. These terms and conditions are in addition to those set forth in the Restricted Stock Unit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Any capitalized term used in this Exhibit B without definition shall have the meaning ascribed to such term in the Dine Brands global, Inc. 2016 Stock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Agreement, as applicable.</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Exhibit B also includes information relating to exchange control and other issues of which the Participant should be aware with respect to his or her participation in the Plan. However, because such laws are often complex and change frequently, the Company strongly recommends that the Participant not rely on the information herein as the only source of information relating to the consequences of participation in the Plan because the information may be out of date at the time the Restricted Stock Units (the “RSUs”) vest or any shares of Common Stock acquired under the Plan are sold.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is general in nature and may not apply to the particular situation of the Participant, and the Company is not in a position to assure the Participant of any particular result. Accordingly, the Participant is advised to seek appropriate professional advice as to how the relevant laws in his or her country may apply to his or her situation. The Company is not providing any tax, legal or financial advice, nor is the Company making any recommendations regarding Participant’s acceptance of the Award or participation in the Plan</w:t>
      </w:r>
      <w:r>
        <w:rPr>
          <w:rFonts w:ascii="Arial" w:cs="Arial" w:eastAsia="Arial" w:hAnsi="Arial"/>
          <w:sz w:val="20"/>
          <w:szCs w:val="20"/>
          <w:color w:val="4F81BD"/>
        </w:rPr>
        <w:t>.</w:t>
      </w:r>
      <w:r>
        <w:rPr>
          <w:rFonts w:ascii="Arial" w:cs="Arial" w:eastAsia="Arial" w:hAnsi="Arial"/>
          <w:sz w:val="20"/>
          <w:szCs w:val="20"/>
          <w:color w:val="auto"/>
        </w:rPr>
        <w:t xml:space="preserve"> Finally, if the Participant is a citizen or resident of a country other than the one in which he or she is currently working, the information contained herein may not be applicable to the Participant.</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Securities Law Notice: Unless otherwise noted, neither the Company nor the Common Stock are registered with any local stock exchange or under the control of any local securities regulator outside the United States. The Agreement (of which this Exhibit B is a part), the Plan, and any other communications or materials that you may receive regarding participation in the Plan do not constitute advertising or an offering of</w:t>
      </w:r>
    </w:p>
    <w:p>
      <w:pPr>
        <w:sectPr>
          <w:pgSz w:w="11900" w:h="16904" w:orient="portrait"/>
          <w:cols w:equalWidth="0" w:num="1">
            <w:col w:w="11420"/>
          </w:cols>
          <w:pgMar w:left="240" w:top="1440" w:right="239" w:bottom="0" w:gutter="0" w:footer="0" w:header="0"/>
        </w:sectPr>
      </w:pPr>
    </w:p>
    <w:bookmarkStart w:id="60" w:name="page61"/>
    <w:bookmarkEnd w:id="60"/>
    <w:p>
      <w:pPr>
        <w:ind w:right="20"/>
        <w:spacing w:after="0" w:line="262" w:lineRule="auto"/>
        <w:rPr>
          <w:sz w:val="20"/>
          <w:szCs w:val="20"/>
          <w:color w:val="auto"/>
        </w:rPr>
      </w:pPr>
      <w:r>
        <w:rPr>
          <w:rFonts w:ascii="Arial" w:cs="Arial" w:eastAsia="Arial" w:hAnsi="Arial"/>
          <w:sz w:val="20"/>
          <w:szCs w:val="20"/>
          <w:color w:val="auto"/>
        </w:rPr>
        <w:t>securities outside the United States, and the issuance of securities described in any Plan-related documents is not intended for public offering or circulation in your jurisdiction.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w:t>
      </w:r>
    </w:p>
    <w:p>
      <w:pPr>
        <w:spacing w:after="0" w:line="216"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following supplements the Section 13 of the Agreement: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Participant understands that Personal Data will be held only as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long as is necessary to implement, administer and manage Participant’s participation in the Plan. Participant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Participant’s local human resources representative.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Participant is resident or domiciled in Brazil, the Participant will be required to submit an annual declaration of assets and rights held outside of Brazil to the Central Bank of Brazil (“BACEN”) if the aggregate value of such assets and rights equals or exceeds US $100,000. Assets and rights that must be reported include shares of Common Stock of the Company. The reporting should be completed at the beginning of the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b w:val="1"/>
          <w:bCs w:val="1"/>
          <w:color w:val="auto"/>
        </w:rPr>
        <w:t xml:space="preserve">Foreign Share Ownership Reporting. </w:t>
      </w:r>
      <w:r>
        <w:rPr>
          <w:rFonts w:ascii="Arial" w:cs="Arial" w:eastAsia="Arial" w:hAnsi="Arial"/>
          <w:sz w:val="20"/>
          <w:szCs w:val="20"/>
          <w:color w:val="auto"/>
        </w:rPr>
        <w:t>If the Participant is a Canadian resident, the Participant’s ownership of certain foreign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shares of foreign corporations) in excess of $100,000 may be subject to ongoing annual reporting obligations. Please refer to </w:t>
      </w:r>
      <w:r>
        <w:rPr>
          <w:rFonts w:ascii="Arial" w:cs="Arial" w:eastAsia="Arial" w:hAnsi="Arial"/>
          <w:sz w:val="21"/>
          <w:szCs w:val="21"/>
          <w:u w:val="single" w:color="auto"/>
          <w:color w:val="0000FF"/>
        </w:rPr>
        <w:t>CRA</w:t>
      </w:r>
      <w:r>
        <w:rPr>
          <w:rFonts w:ascii="Arial" w:cs="Arial" w:eastAsia="Arial" w:hAnsi="Arial"/>
          <w:sz w:val="20"/>
          <w:szCs w:val="20"/>
          <w:color w:val="auto"/>
        </w:rPr>
        <w:t xml:space="preserve"> </w:t>
      </w:r>
      <w:r>
        <w:rPr>
          <w:rFonts w:ascii="Arial" w:cs="Arial" w:eastAsia="Arial" w:hAnsi="Arial"/>
          <w:sz w:val="21"/>
          <w:szCs w:val="21"/>
          <w:u w:val="single" w:color="auto"/>
          <w:color w:val="0000FF"/>
        </w:rPr>
        <w:t>Form T1135</w:t>
      </w:r>
      <w:r>
        <w:rPr>
          <w:rFonts w:ascii="Arial" w:cs="Arial" w:eastAsia="Arial" w:hAnsi="Arial"/>
          <w:sz w:val="21"/>
          <w:szCs w:val="21"/>
          <w:color w:val="0000FF"/>
        </w:rPr>
        <w:t xml:space="preserve"> </w:t>
      </w:r>
      <w:r>
        <w:rPr>
          <w:rFonts w:ascii="Arial" w:cs="Arial" w:eastAsia="Arial" w:hAnsi="Arial"/>
          <w:sz w:val="19"/>
          <w:szCs w:val="19"/>
          <w:color w:val="000000"/>
        </w:rPr>
        <w:t>(Foreign Income Verification Statement) and consult your tax advisor for further details. It is your responsibility to comply with</w:t>
      </w:r>
      <w:r>
        <w:rPr>
          <w:rFonts w:ascii="Arial" w:cs="Arial" w:eastAsia="Arial" w:hAnsi="Arial"/>
          <w:sz w:val="21"/>
          <w:szCs w:val="21"/>
          <w:color w:val="0000FF"/>
        </w:rPr>
        <w:t xml:space="preserve"> </w:t>
      </w:r>
      <w:r>
        <w:rPr>
          <w:rFonts w:ascii="Arial" w:cs="Arial" w:eastAsia="Arial" w:hAnsi="Arial"/>
          <w:sz w:val="19"/>
          <w:szCs w:val="19"/>
          <w:color w:val="000000"/>
        </w:rPr>
        <w:t>all applicable tax reporting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b w:val="1"/>
          <w:bCs w:val="1"/>
          <w:color w:val="auto"/>
        </w:rPr>
        <w:t xml:space="preserve">Labor Law Statement. </w:t>
      </w:r>
      <w:r>
        <w:rPr>
          <w:rFonts w:ascii="Arial" w:cs="Arial" w:eastAsia="Arial" w:hAnsi="Arial"/>
          <w:sz w:val="20"/>
          <w:szCs w:val="20"/>
          <w:color w:val="auto"/>
        </w:rPr>
        <w:t>The invitation Dine Brands Global, Inc. is making under the Plan is unilateral and discretionary and is not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salary and other contractual benefits granted to Participant by Participant’s employer. Dine Brands Global, Inc. reserves the absolute right to amend the Plan and discontinue it at any time without any liability to Participant. This invitation and, in Participant’s case, the acquisition of shares does not, in any way, establish a labor relationship between Participant and Dine Brands Global, Inc., nor does it establish any rights between Participant and Participant’s employer.</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La invitación que Dine Brands Global, Inc. hace en relación con el Plan es unilateral y discrecional, por lo tanto, Dine Brands Global, Inc. se reserva el derecho absoluto para modificar o terminar el mismo, sin ninguna responsabilidad para usted. Esta invitación y, en su caso, la adquisición de acciones, de ninguna manera establecen relación laboral alguna entre usted y Dine Brands Global, Inc. y tampoco establece derecho alguno entre usted y su empleador.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2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This offering is subject to exemption from the requirements of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Commission under Section 10.1 (k) of the Philippines Securities Regulation Code. </w:t>
      </w:r>
      <w:r>
        <w:rPr>
          <w:rFonts w:ascii="Arial" w:cs="Arial" w:eastAsia="Arial" w:hAnsi="Arial"/>
          <w:sz w:val="18"/>
          <w:szCs w:val="18"/>
          <w:b w:val="1"/>
          <w:bCs w:val="1"/>
          <w:color w:val="auto"/>
        </w:rPr>
        <w:t>THE SECURITIES BEING OFFERED OR</w:t>
      </w:r>
    </w:p>
    <w:p>
      <w:pPr>
        <w:spacing w:after="0" w:line="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SOLD HAVE NOT BEEN REGISTERED WITH THE PHILIPPINES SECURITIES AND EXCHANGE COMMISSION UNDER THE SECURITIES REGULATION CODE. ANY FUTURE OFFER OR SALE THEREOF IS SUBJECT TO REGISTRATION REQUIREMENTS UNDER THE CODE UNLESS SUCH OFFER OR SALE QUALIFIES AS AN EXEMPT TRANSACTION.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UAE</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Award has not been approved or licensed by the UAE Central Bank, the UAE Securities and Commodities Authority or any other relevant licensing authorities or governmental agencies in the United Arab Emirates. This offer is strictly private and confidential and the terms of such offer have not been reviewed by, deposited or registered with the UAE Central Bank, the UAE Securities and Commodities Authority or any other licensing authority or governmental agencies in the United Arab Emirates. This offer is being issued from outside the United Arab Emirates and must not be provided to any person other than the Holder and may not be reproduced or used for any other purpose. Further, the information contained in this offer is not intended to lead to the issue of any securities or the conclusion of any other contract of whatsoever nature within the territory of the United Arab Emirates.</w:t>
      </w:r>
    </w:p>
    <w:p>
      <w:pPr>
        <w:sectPr>
          <w:pgSz w:w="11900" w:h="16838" w:orient="portrait"/>
          <w:cols w:equalWidth="0" w:num="1">
            <w:col w:w="11420"/>
          </w:cols>
          <w:pgMar w:left="240" w:top="12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10.5</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Stock-Settled RSU Agreement – Employees – Performance Based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RESTRICTED STOCK UNIT AWARD AGREEMENT </w:t>
      </w:r>
      <w:r>
        <w:rPr>
          <w:rFonts w:ascii="Arial" w:cs="Arial" w:eastAsia="Arial" w:hAnsi="Arial"/>
          <w:sz w:val="21"/>
          <w:szCs w:val="21"/>
          <w:color w:val="auto"/>
        </w:rPr>
        <w:t>(“Agreement”) is entered into as of ________________</w:t>
      </w:r>
    </w:p>
    <w:p>
      <w:pPr>
        <w:spacing w:after="0" w:line="39"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 xml:space="preserve">(the “Date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____________________, an employee of the Company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51"/>
        </w:numPr>
        <w:rPr>
          <w:rFonts w:ascii="Arial" w:cs="Arial" w:eastAsia="Arial" w:hAnsi="Arial"/>
          <w:sz w:val="21"/>
          <w:szCs w:val="21"/>
          <w:color w:val="010000"/>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hereby grants to the Participant an award of</w:t>
      </w:r>
    </w:p>
    <w:p>
      <w:pPr>
        <w:spacing w:after="0" w:line="33" w:lineRule="exact"/>
        <w:rPr>
          <w:rFonts w:ascii="Arial" w:cs="Arial" w:eastAsia="Arial" w:hAnsi="Arial"/>
          <w:sz w:val="21"/>
          <w:szCs w:val="21"/>
          <w:color w:val="010000"/>
        </w:rPr>
      </w:pPr>
    </w:p>
    <w:p>
      <w:pPr>
        <w:ind w:right="80"/>
        <w:spacing w:after="0" w:line="245" w:lineRule="auto"/>
        <w:rPr>
          <w:rFonts w:ascii="Arial" w:cs="Arial" w:eastAsia="Arial" w:hAnsi="Arial"/>
          <w:sz w:val="21"/>
          <w:szCs w:val="21"/>
          <w:color w:val="010000"/>
        </w:rPr>
      </w:pPr>
      <w:r>
        <w:rPr>
          <w:rFonts w:ascii="Arial" w:cs="Arial" w:eastAsia="Arial" w:hAnsi="Arial"/>
          <w:sz w:val="22"/>
          <w:szCs w:val="22"/>
          <w:u w:val="single" w:color="auto"/>
          <w:color w:val="auto"/>
        </w:rPr>
        <w:t>_____________</w:t>
      </w:r>
      <w:r>
        <w:rPr>
          <w:rFonts w:ascii="Arial" w:cs="Arial" w:eastAsia="Arial" w:hAnsi="Arial"/>
          <w:sz w:val="22"/>
          <w:szCs w:val="22"/>
          <w:color w:val="auto"/>
        </w:rPr>
        <w:t xml:space="preserve"> restricted stock units (the “Restricted Stock Units”). Each Restricted Stock Unit represents the right to receive one share of common stock, $.01 par value, of the Company (the “Common Stock”), subject to the terms and conditions set forth herein.</w:t>
      </w:r>
    </w:p>
    <w:p>
      <w:pPr>
        <w:spacing w:after="0" w:line="193" w:lineRule="exact"/>
        <w:rPr>
          <w:rFonts w:ascii="Arial" w:cs="Arial" w:eastAsia="Arial" w:hAnsi="Arial"/>
          <w:sz w:val="21"/>
          <w:szCs w:val="21"/>
          <w:color w:val="010000"/>
        </w:rPr>
      </w:pPr>
    </w:p>
    <w:p>
      <w:pPr>
        <w:ind w:left="1000" w:hanging="344"/>
        <w:spacing w:after="0"/>
        <w:tabs>
          <w:tab w:leader="none" w:pos="1000" w:val="left"/>
        </w:tabs>
        <w:numPr>
          <w:ilvl w:val="0"/>
          <w:numId w:val="51"/>
        </w:numPr>
        <w:rPr>
          <w:rFonts w:ascii="Arial" w:cs="Arial" w:eastAsia="Arial" w:hAnsi="Arial"/>
          <w:sz w:val="22"/>
          <w:szCs w:val="22"/>
          <w:color w:val="010000"/>
        </w:rPr>
      </w:pPr>
      <w:r>
        <w:rPr>
          <w:rFonts w:ascii="Arial" w:cs="Arial" w:eastAsia="Arial" w:hAnsi="Arial"/>
          <w:sz w:val="22"/>
          <w:szCs w:val="22"/>
          <w:u w:val="single" w:color="auto"/>
          <w:color w:val="auto"/>
        </w:rPr>
        <w:t>VESTING AND SETTLEMENT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60" w:right="100" w:firstLine="1293"/>
        <w:spacing w:after="0" w:line="270" w:lineRule="auto"/>
        <w:tabs>
          <w:tab w:leader="none" w:pos="2376" w:val="left"/>
        </w:tabs>
        <w:numPr>
          <w:ilvl w:val="1"/>
          <w:numId w:val="51"/>
        </w:numPr>
        <w:rPr>
          <w:rFonts w:ascii="Arial" w:cs="Arial" w:eastAsia="Arial" w:hAnsi="Arial"/>
          <w:sz w:val="21"/>
          <w:szCs w:val="21"/>
          <w:color w:val="010000"/>
        </w:rPr>
      </w:pP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Subject to the Participant’s continuous employment with the Company, the Restricted Stock Units shall vest in accordance with the specific vesting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Restricted Stock Units that have vested in accordance with the vesting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are referred to herein as “Vested Units.” Restricted Stock Units that are not vested are referred to herein as “Unvested Units.”</w:t>
      </w:r>
    </w:p>
    <w:p>
      <w:pPr>
        <w:spacing w:after="0" w:line="169" w:lineRule="exact"/>
        <w:rPr>
          <w:rFonts w:ascii="Arial" w:cs="Arial" w:eastAsia="Arial" w:hAnsi="Arial"/>
          <w:sz w:val="21"/>
          <w:szCs w:val="21"/>
          <w:color w:val="010000"/>
        </w:rPr>
      </w:pPr>
    </w:p>
    <w:p>
      <w:pPr>
        <w:ind w:left="660" w:firstLine="1293"/>
        <w:spacing w:after="0" w:line="266" w:lineRule="auto"/>
        <w:tabs>
          <w:tab w:leader="none" w:pos="2389" w:val="left"/>
        </w:tabs>
        <w:numPr>
          <w:ilvl w:val="1"/>
          <w:numId w:val="51"/>
        </w:numPr>
        <w:rPr>
          <w:rFonts w:ascii="Arial" w:cs="Arial" w:eastAsia="Arial" w:hAnsi="Arial"/>
          <w:sz w:val="21"/>
          <w:szCs w:val="21"/>
          <w:color w:val="010000"/>
        </w:rPr>
      </w:pPr>
      <w:r>
        <w:rPr>
          <w:rFonts w:ascii="Arial" w:cs="Arial" w:eastAsia="Arial" w:hAnsi="Arial"/>
          <w:sz w:val="21"/>
          <w:szCs w:val="21"/>
          <w:u w:val="single" w:color="auto"/>
          <w:color w:val="auto"/>
        </w:rPr>
        <w:t>Disability or Death</w:t>
      </w:r>
      <w:r>
        <w:rPr>
          <w:rFonts w:ascii="Arial" w:cs="Arial" w:eastAsia="Arial" w:hAnsi="Arial"/>
          <w:sz w:val="21"/>
          <w:szCs w:val="21"/>
          <w:color w:val="auto"/>
        </w:rPr>
        <w:t xml:space="preserve">. If the Participant’s employment with the Company terminates due to Disability or death, the Restricted Stock Units shall become immediately vested to the extent the Performance Criteria set forth in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have been satisfied as of the date of the Participant’s death or termination of employment or service, without regard to the Time-Based Criteria, which shall be deemed to have been satisfied as of the date of such termination, and the Restricted Stock Units thereafter be considered Vested Units.</w:t>
      </w:r>
    </w:p>
    <w:p>
      <w:pPr>
        <w:spacing w:after="0" w:line="174" w:lineRule="exact"/>
        <w:rPr>
          <w:rFonts w:ascii="Arial" w:cs="Arial" w:eastAsia="Arial" w:hAnsi="Arial"/>
          <w:sz w:val="21"/>
          <w:szCs w:val="21"/>
          <w:color w:val="010000"/>
        </w:rPr>
      </w:pPr>
    </w:p>
    <w:p>
      <w:pPr>
        <w:ind w:left="660" w:right="20" w:firstLine="1293"/>
        <w:spacing w:after="0" w:line="264" w:lineRule="auto"/>
        <w:tabs>
          <w:tab w:leader="none" w:pos="2376" w:val="left"/>
        </w:tabs>
        <w:numPr>
          <w:ilvl w:val="1"/>
          <w:numId w:val="51"/>
        </w:numPr>
        <w:rPr>
          <w:rFonts w:ascii="Arial" w:cs="Arial" w:eastAsia="Arial" w:hAnsi="Arial"/>
          <w:sz w:val="21"/>
          <w:szCs w:val="21"/>
          <w:color w:val="010000"/>
        </w:rPr>
      </w:pPr>
      <w:r>
        <w:rPr>
          <w:rFonts w:ascii="Arial" w:cs="Arial" w:eastAsia="Arial" w:hAnsi="Arial"/>
          <w:sz w:val="21"/>
          <w:szCs w:val="21"/>
          <w:u w:val="single" w:color="auto"/>
          <w:color w:val="auto"/>
        </w:rPr>
        <w:t>Termination Without Cause/Resignation for Good Reason</w:t>
      </w:r>
      <w:r>
        <w:rPr>
          <w:rFonts w:ascii="Arial" w:cs="Arial" w:eastAsia="Arial" w:hAnsi="Arial"/>
          <w:sz w:val="21"/>
          <w:szCs w:val="21"/>
          <w:color w:val="auto"/>
        </w:rPr>
        <w:t xml:space="preserve">. If the Participant’s employment with or service to the Company terminates by reason of an involuntary termination by the Company other than for Cause or a resignation by the Participant for Good Reason (as such terms are defined herein below), the Restricted Stock Units shall become immediately vested to the extent the Performance Criteria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been satisfied as of the date of the Participant’s termination of employment or service, without regard to the Time-Based Criteria, which shall be deemed to have been satisfied as of the date of such termination.</w:t>
      </w:r>
    </w:p>
    <w:p>
      <w:pPr>
        <w:spacing w:after="0" w:line="175" w:lineRule="exact"/>
        <w:rPr>
          <w:rFonts w:ascii="Arial" w:cs="Arial" w:eastAsia="Arial" w:hAnsi="Arial"/>
          <w:sz w:val="21"/>
          <w:szCs w:val="21"/>
          <w:color w:val="010000"/>
        </w:rPr>
      </w:pPr>
    </w:p>
    <w:p>
      <w:pPr>
        <w:ind w:left="660" w:right="140" w:firstLine="1293"/>
        <w:spacing w:after="0" w:line="254" w:lineRule="auto"/>
        <w:tabs>
          <w:tab w:leader="none" w:pos="2389" w:val="left"/>
        </w:tabs>
        <w:numPr>
          <w:ilvl w:val="1"/>
          <w:numId w:val="51"/>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pacing w:after="0" w:line="185" w:lineRule="exact"/>
        <w:rPr>
          <w:rFonts w:ascii="Arial" w:cs="Arial" w:eastAsia="Arial" w:hAnsi="Arial"/>
          <w:sz w:val="22"/>
          <w:szCs w:val="22"/>
          <w:color w:val="010000"/>
        </w:rPr>
      </w:pPr>
    </w:p>
    <w:p>
      <w:pPr>
        <w:ind w:left="660" w:right="100" w:firstLine="1293"/>
        <w:spacing w:after="0" w:line="260" w:lineRule="auto"/>
        <w:tabs>
          <w:tab w:leader="none" w:pos="2376" w:val="left"/>
        </w:tabs>
        <w:numPr>
          <w:ilvl w:val="1"/>
          <w:numId w:val="51"/>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Units</w:t>
      </w:r>
      <w:r>
        <w:rPr>
          <w:rFonts w:ascii="Arial" w:cs="Arial" w:eastAsia="Arial" w:hAnsi="Arial"/>
          <w:sz w:val="22"/>
          <w:szCs w:val="22"/>
          <w:color w:val="auto"/>
        </w:rPr>
        <w:t>. Except as set forth in Sections 2(b), 2(c) and 2(d), upon the termination of the Participant’s employment, any then Unvested Units held by the Participant shall be forfeited and canceled as of the date of such termination.</w:t>
      </w:r>
    </w:p>
    <w:p>
      <w:pPr>
        <w:spacing w:after="0" w:line="177" w:lineRule="exact"/>
        <w:rPr>
          <w:rFonts w:ascii="Arial" w:cs="Arial" w:eastAsia="Arial" w:hAnsi="Arial"/>
          <w:sz w:val="22"/>
          <w:szCs w:val="22"/>
          <w:color w:val="010000"/>
        </w:rPr>
      </w:pPr>
    </w:p>
    <w:p>
      <w:pPr>
        <w:ind w:left="660" w:right="460" w:firstLine="1293"/>
        <w:spacing w:after="0" w:line="254" w:lineRule="auto"/>
        <w:tabs>
          <w:tab w:leader="none" w:pos="2352" w:val="left"/>
        </w:tabs>
        <w:numPr>
          <w:ilvl w:val="1"/>
          <w:numId w:val="51"/>
        </w:numPr>
        <w:rPr>
          <w:rFonts w:ascii="Arial" w:cs="Arial" w:eastAsia="Arial" w:hAnsi="Arial"/>
          <w:sz w:val="22"/>
          <w:szCs w:val="22"/>
          <w:color w:val="010000"/>
        </w:rPr>
      </w:pPr>
      <w:r>
        <w:rPr>
          <w:rFonts w:ascii="Arial" w:cs="Arial" w:eastAsia="Arial" w:hAnsi="Arial"/>
          <w:sz w:val="22"/>
          <w:szCs w:val="22"/>
          <w:u w:val="single" w:color="auto"/>
          <w:color w:val="auto"/>
        </w:rPr>
        <w:t>Settlement of Vested Units</w:t>
      </w:r>
      <w:r>
        <w:rPr>
          <w:rFonts w:ascii="Arial" w:cs="Arial" w:eastAsia="Arial" w:hAnsi="Arial"/>
          <w:sz w:val="22"/>
          <w:szCs w:val="22"/>
          <w:color w:val="auto"/>
        </w:rPr>
        <w:t xml:space="preserve">. The Vested Units shall be settled by the delivery to the Participant or a designated brokerage firm of one share of Common Stock per Vested Unit within 30 days after the vesting of such Restricted Stock Units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or upon accelerated vesting as set forth in this Section 2. No fractional shares will be issued under this Agreement.</w:t>
      </w:r>
    </w:p>
    <w:p>
      <w:pPr>
        <w:sectPr>
          <w:pgSz w:w="11900" w:h="16838" w:orient="portrait"/>
          <w:cols w:equalWidth="0" w:num="1">
            <w:col w:w="11420"/>
          </w:cols>
          <w:pgMar w:left="240" w:top="126" w:right="239" w:bottom="0" w:gutter="0" w:footer="0" w:header="0"/>
        </w:sectPr>
      </w:pPr>
    </w:p>
    <w:bookmarkStart w:id="62" w:name="page63"/>
    <w:bookmarkEnd w:id="62"/>
    <w:p>
      <w:pPr>
        <w:spacing w:after="0" w:line="107" w:lineRule="exact"/>
        <w:rPr>
          <w:sz w:val="20"/>
          <w:szCs w:val="20"/>
          <w:color w:val="auto"/>
        </w:rPr>
      </w:pPr>
    </w:p>
    <w:p>
      <w:pPr>
        <w:ind w:left="-656" w:firstLine="656"/>
        <w:spacing w:after="0" w:line="264" w:lineRule="auto"/>
        <w:tabs>
          <w:tab w:leader="none" w:pos="334" w:val="left"/>
        </w:tabs>
        <w:numPr>
          <w:ilvl w:val="0"/>
          <w:numId w:val="52"/>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left="-656" w:right="60" w:firstLine="656"/>
        <w:spacing w:after="0" w:line="260" w:lineRule="auto"/>
        <w:tabs>
          <w:tab w:leader="none" w:pos="334" w:val="left"/>
        </w:tabs>
        <w:numPr>
          <w:ilvl w:val="0"/>
          <w:numId w:val="52"/>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 ‘s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left="-656" w:right="40" w:firstLine="656"/>
        <w:spacing w:after="0" w:line="287" w:lineRule="auto"/>
        <w:tabs>
          <w:tab w:leader="none" w:pos="334" w:val="left"/>
        </w:tabs>
        <w:numPr>
          <w:ilvl w:val="0"/>
          <w:numId w:val="52"/>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30 calendar days of receipt of such notice (or such other period to which the parties may agree) will be submitted to an arbitrator selected by mutual agreement of the parties. In the event that, within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left="-656" w:right="40" w:firstLine="656"/>
        <w:spacing w:after="0" w:line="266" w:lineRule="auto"/>
        <w:tabs>
          <w:tab w:leader="none" w:pos="334" w:val="left"/>
        </w:tabs>
        <w:numPr>
          <w:ilvl w:val="0"/>
          <w:numId w:val="52"/>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174" w:lineRule="exact"/>
        <w:rPr>
          <w:rFonts w:ascii="Arial" w:cs="Arial" w:eastAsia="Arial" w:hAnsi="Arial"/>
          <w:sz w:val="21"/>
          <w:szCs w:val="21"/>
          <w:color w:val="010000"/>
        </w:rPr>
      </w:pPr>
    </w:p>
    <w:p>
      <w:pPr>
        <w:ind w:left="-656" w:right="20" w:firstLine="656"/>
        <w:spacing w:after="0" w:line="287" w:lineRule="auto"/>
        <w:tabs>
          <w:tab w:leader="none" w:pos="334" w:val="left"/>
        </w:tabs>
        <w:numPr>
          <w:ilvl w:val="0"/>
          <w:numId w:val="52"/>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ind w:left="-656" w:right="240" w:firstLine="656"/>
        <w:spacing w:after="0" w:line="301" w:lineRule="auto"/>
        <w:tabs>
          <w:tab w:leader="none" w:pos="334" w:val="left"/>
        </w:tabs>
        <w:numPr>
          <w:ilvl w:val="0"/>
          <w:numId w:val="52"/>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656" w:right="100" w:firstLine="656"/>
        <w:spacing w:after="0" w:line="300" w:lineRule="auto"/>
        <w:tabs>
          <w:tab w:leader="none" w:pos="334" w:val="left"/>
        </w:tabs>
        <w:numPr>
          <w:ilvl w:val="0"/>
          <w:numId w:val="52"/>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w:t>
      </w:r>
    </w:p>
    <w:p>
      <w:pPr>
        <w:sectPr>
          <w:pgSz w:w="11900" w:h="16945" w:orient="portrait"/>
          <w:cols w:equalWidth="0" w:num="1">
            <w:col w:w="10744"/>
          </w:cols>
          <w:pgMar w:left="896" w:top="145" w:right="259" w:bottom="0" w:gutter="0" w:footer="0" w:header="0"/>
        </w:sectPr>
      </w:pPr>
    </w:p>
    <w:bookmarkStart w:id="63" w:name="page64"/>
    <w:bookmarkEnd w:id="63"/>
    <w:p>
      <w:pPr>
        <w:spacing w:after="0" w:line="41"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pacing w:after="0" w:line="158" w:lineRule="exact"/>
        <w:rPr>
          <w:sz w:val="20"/>
          <w:szCs w:val="20"/>
          <w:color w:val="auto"/>
        </w:rPr>
      </w:pPr>
    </w:p>
    <w:p>
      <w:pPr>
        <w:ind w:right="220" w:firstLine="656"/>
        <w:spacing w:after="0" w:line="276" w:lineRule="auto"/>
        <w:tabs>
          <w:tab w:leader="none" w:pos="1098"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00" w:firstLine="656"/>
        <w:spacing w:after="0" w:line="266" w:lineRule="auto"/>
        <w:tabs>
          <w:tab w:leader="none" w:pos="1090" w:val="left"/>
        </w:tabs>
        <w:numPr>
          <w:ilvl w:val="0"/>
          <w:numId w:val="53"/>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right="180" w:firstLine="656"/>
        <w:spacing w:after="0" w:line="307" w:lineRule="auto"/>
        <w:tabs>
          <w:tab w:leader="none" w:pos="1098"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provided, however,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700" w:firstLine="656"/>
        <w:spacing w:after="0" w:line="276" w:lineRule="auto"/>
        <w:tabs>
          <w:tab w:leader="none" w:pos="1098"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ind w:firstLine="656"/>
        <w:spacing w:after="0" w:line="287" w:lineRule="auto"/>
        <w:tabs>
          <w:tab w:leader="none" w:pos="1098"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right="100" w:firstLine="656"/>
        <w:spacing w:after="0" w:line="276" w:lineRule="auto"/>
        <w:tabs>
          <w:tab w:leader="none" w:pos="1098"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0"/>
          <w:numId w:val="53"/>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53"/>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660" w:right="100" w:firstLine="1293"/>
        <w:spacing w:after="0" w:line="297" w:lineRule="auto"/>
        <w:tabs>
          <w:tab w:leader="none" w:pos="2376" w:val="left"/>
        </w:tabs>
        <w:numPr>
          <w:ilvl w:val="1"/>
          <w:numId w:val="53"/>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46" w:lineRule="exact"/>
        <w:rPr>
          <w:rFonts w:ascii="Arial" w:cs="Arial" w:eastAsia="Arial" w:hAnsi="Arial"/>
          <w:sz w:val="19"/>
          <w:szCs w:val="19"/>
          <w:color w:val="010000"/>
        </w:rPr>
      </w:pPr>
    </w:p>
    <w:p>
      <w:pPr>
        <w:ind w:left="660" w:right="20" w:firstLine="1293"/>
        <w:spacing w:after="0" w:line="358" w:lineRule="auto"/>
        <w:tabs>
          <w:tab w:leader="none" w:pos="2389" w:val="left"/>
        </w:tabs>
        <w:numPr>
          <w:ilvl w:val="1"/>
          <w:numId w:val="53"/>
        </w:numPr>
        <w:rPr>
          <w:rFonts w:ascii="Arial" w:cs="Arial" w:eastAsia="Arial" w:hAnsi="Arial"/>
          <w:sz w:val="19"/>
          <w:szCs w:val="19"/>
          <w:color w:val="010000"/>
        </w:rPr>
      </w:pPr>
      <w:r>
        <w:rPr>
          <w:rFonts w:ascii="Arial" w:cs="Arial" w:eastAsia="Arial" w:hAnsi="Arial"/>
          <w:sz w:val="19"/>
          <w:szCs w:val="19"/>
          <w:color w:val="auto"/>
        </w:rPr>
        <w:t>“Disability” shall mean that the Participant, by reason of any medically determinable physical or mental impairment that can be expected to result in death or can be expected to last for a continuous period of not less than 12</w:t>
      </w:r>
    </w:p>
    <w:p>
      <w:pPr>
        <w:sectPr>
          <w:pgSz w:w="11900" w:h="16880" w:orient="portrait"/>
          <w:cols w:equalWidth="0" w:num="1">
            <w:col w:w="11400"/>
          </w:cols>
          <w:pgMar w:left="240" w:top="132" w:right="259" w:bottom="0" w:gutter="0" w:footer="0" w:header="0"/>
        </w:sectPr>
      </w:pPr>
    </w:p>
    <w:bookmarkStart w:id="64" w:name="page65"/>
    <w:bookmarkEnd w:id="64"/>
    <w:p>
      <w:pPr>
        <w:ind w:left="660" w:right="420"/>
        <w:spacing w:after="0" w:line="263" w:lineRule="auto"/>
        <w:rPr>
          <w:sz w:val="20"/>
          <w:szCs w:val="20"/>
          <w:color w:val="auto"/>
        </w:rPr>
      </w:pPr>
      <w:r>
        <w:rPr>
          <w:rFonts w:ascii="Arial" w:cs="Arial" w:eastAsia="Arial" w:hAnsi="Arial"/>
          <w:sz w:val="22"/>
          <w:szCs w:val="22"/>
          <w:color w:val="auto"/>
        </w:rPr>
        <w:t>months, is receiving income replacement benefits for a period of not less than three months under a long-term disability plan maintained by the Company or one of its Subsidiaries.</w:t>
      </w:r>
    </w:p>
    <w:p>
      <w:pPr>
        <w:spacing w:after="0" w:line="175" w:lineRule="exact"/>
        <w:rPr>
          <w:sz w:val="20"/>
          <w:szCs w:val="20"/>
          <w:color w:val="auto"/>
        </w:rPr>
      </w:pPr>
    </w:p>
    <w:p>
      <w:pPr>
        <w:ind w:left="660" w:right="40" w:firstLine="1293"/>
        <w:spacing w:after="0" w:line="288" w:lineRule="auto"/>
        <w:tabs>
          <w:tab w:leader="none" w:pos="2376"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180 days after the initial existence of the facts or circumstances constituting Good Reason.</w:t>
      </w:r>
    </w:p>
    <w:p>
      <w:pPr>
        <w:spacing w:after="0" w:line="157"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411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VESTING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vesting of the Award shall be subject to the following performance and vesting conditions:</w:t>
      </w:r>
    </w:p>
    <w:p>
      <w:pPr>
        <w:spacing w:after="0" w:line="220" w:lineRule="exact"/>
        <w:rPr>
          <w:sz w:val="20"/>
          <w:szCs w:val="20"/>
          <w:color w:val="auto"/>
        </w:rPr>
      </w:pPr>
    </w:p>
    <w:p>
      <w:pPr>
        <w:ind w:left="660" w:right="60" w:hanging="328"/>
        <w:spacing w:after="0" w:line="263"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number of Restricted Stock Units that are earned and shall be subject to vesting shall be determined in accordance with the following performance criteria (the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227330</wp:posOffset>
            </wp:positionV>
            <wp:extent cx="4107815" cy="1166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4107815" cy="1166495"/>
                    </a:xfrm>
                    <a:prstGeom prst="rect">
                      <a:avLst/>
                    </a:prstGeom>
                    <a:noFill/>
                  </pic:spPr>
                </pic:pic>
              </a:graphicData>
            </a:graphic>
          </wp:anchor>
        </w:drawing>
      </w:r>
    </w:p>
    <w:p>
      <w:pPr>
        <w:sectPr>
          <w:pgSz w:w="11900" w:h="16838" w:orient="portrait"/>
          <w:cols w:equalWidth="0" w:num="1">
            <w:col w:w="11420"/>
          </w:cols>
          <w:pgMar w:left="240" w:top="132" w:right="239" w:bottom="703" w:gutter="0" w:footer="0" w:header="0"/>
        </w:sectPr>
      </w:pPr>
    </w:p>
    <w:p>
      <w:pPr>
        <w:spacing w:after="0" w:line="377"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Target closing price of the Company’s stock (each, a “Target Price”)</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2520"/>
        <w:spacing w:after="0"/>
        <w:rPr>
          <w:sz w:val="20"/>
          <w:szCs w:val="20"/>
          <w:color w:val="auto"/>
        </w:rPr>
      </w:pPr>
      <w:r>
        <w:rPr>
          <w:rFonts w:ascii="Arial" w:cs="Arial" w:eastAsia="Arial" w:hAnsi="Arial"/>
          <w:sz w:val="22"/>
          <w:szCs w:val="22"/>
          <w:color w:val="auto"/>
        </w:rPr>
        <w:t>Incremental Percentage of Restricted Stock Units subject to vesting if Target Price achieved</w:t>
      </w:r>
    </w:p>
    <w:p>
      <w:pPr>
        <w:sectPr>
          <w:pgSz w:w="11900" w:h="16838" w:orient="portrait"/>
          <w:cols w:equalWidth="0" w:num="2">
            <w:col w:w="5440" w:space="260"/>
            <w:col w:w="5720"/>
          </w:cols>
          <w:pgMar w:left="240" w:top="132" w:right="239" w:bottom="703" w:gutter="0" w:footer="0" w:header="0"/>
          <w:type w:val="continuous"/>
        </w:sectPr>
      </w:pPr>
    </w:p>
    <w:bookmarkStart w:id="65" w:name="page66"/>
    <w:bookmarkEnd w:id="65"/>
    <w:p>
      <w:pPr>
        <w:jc w:val="both"/>
        <w:ind w:left="660" w:right="200"/>
        <w:spacing w:after="0" w:line="312" w:lineRule="auto"/>
        <w:rPr>
          <w:sz w:val="20"/>
          <w:szCs w:val="20"/>
          <w:color w:val="auto"/>
        </w:rPr>
      </w:pPr>
      <w:r>
        <w:rPr>
          <w:rFonts w:ascii="Arial" w:cs="Arial" w:eastAsia="Arial" w:hAnsi="Arial"/>
          <w:sz w:val="19"/>
          <w:szCs w:val="19"/>
          <w:color w:val="auto"/>
        </w:rPr>
        <w:t>In order for each and any of the Performance Criteria to be considered satisfied, the closing stock price of the Company’s common stock must be at or above the applicable Target Price for a period of ___ consecutive New York Stock Exchange trading days beginning on the Date of Grant and ending on the three-year anniversary of the Date of Grant.</w:t>
      </w:r>
    </w:p>
    <w:p>
      <w:pPr>
        <w:spacing w:after="0" w:line="134" w:lineRule="exact"/>
        <w:rPr>
          <w:sz w:val="20"/>
          <w:szCs w:val="20"/>
          <w:color w:val="auto"/>
        </w:rPr>
      </w:pPr>
    </w:p>
    <w:p>
      <w:pPr>
        <w:ind w:left="660" w:right="240" w:hanging="328"/>
        <w:spacing w:after="0" w:line="288" w:lineRule="auto"/>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Except as otherwise provided in the Agreement, the number of Restricted Stock Units that are earned, as determined in accordance with the above Performance Criteria, shall become vested at the end of the Term if and only if the Participant remains continuously employed by the Company for the entirety of the Term (“Time-Based Criteria”).</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Except as otherwise provided under the terms of the Agreement, the Participant shall forfeit all of the Restricted Stock Units under the Award if none of the Performance Criteria set forth above are satisfied prior to the end of the Term or if the Participant does not satisfy the Time-Based Criteria. Once a Performance Criterion has been achieved, the portion of the Award for which the Performance Criterion has been achieved shall be subject only to the Time-Based Criteria.</w:t>
      </w:r>
    </w:p>
    <w:p>
      <w:pPr>
        <w:sectPr>
          <w:pgSz w:w="11900" w:h="16838" w:orient="portrait"/>
          <w:cols w:equalWidth="0" w:num="1">
            <w:col w:w="11360"/>
          </w:cols>
          <w:pgMar w:left="240" w:top="388" w:right="29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color w:val="auto"/>
        </w:rPr>
        <w:t>Exhibit 10.6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Stock-Settled RSU Agreement 50/50% Annual Vesting – International Employees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DINE BRANDS GLOBAL,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STOCK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RESTRICTED STOCK UNIT AWARD AGREEMENT (“Agreement”) is entered into as of ___________ by and between DINE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BRANDS GLOBAL, INC. (formerly, DineEquity, Inc.), a Delaware corporation (the “Company”), and ___________, an employee of the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Company (the “Participant”).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This Award is subject to all of the terms and conditions set forth herein, the special provisions for Participant’s country of residence, if any,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the Plan, all of which are incorporated herein by reference. Any capitalized terms not defined herein shall have their respective meanings set forth in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foregoing and of the mutual covenants set forth herein and other good and valuable consideration, the parties hereto agree as follows:</w:t>
      </w:r>
    </w:p>
    <w:p>
      <w:pPr>
        <w:spacing w:after="0" w:line="190" w:lineRule="exact"/>
        <w:rPr>
          <w:sz w:val="20"/>
          <w:szCs w:val="20"/>
          <w:color w:val="auto"/>
        </w:rPr>
      </w:pPr>
    </w:p>
    <w:p>
      <w:pPr>
        <w:jc w:val="both"/>
        <w:ind w:firstLine="656"/>
        <w:spacing w:after="0" w:line="278" w:lineRule="auto"/>
        <w:tabs>
          <w:tab w:leader="none" w:pos="1445" w:val="left"/>
        </w:tabs>
        <w:numPr>
          <w:ilvl w:val="0"/>
          <w:numId w:val="57"/>
        </w:numPr>
        <w:rPr>
          <w:rFonts w:ascii="Arial" w:cs="Arial" w:eastAsia="Arial" w:hAnsi="Arial"/>
          <w:sz w:val="20"/>
          <w:szCs w:val="20"/>
          <w:color w:val="010000"/>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to the Participant an award of restricted stock units (the “Restricted Stock Units”). Each Restricted Stock Unit represents the right to receive one share of common stock, $.01 par value, of the Company (the “Common Stock”), subject to the terms and conditions set forth herein.</w:t>
      </w:r>
    </w:p>
    <w:p>
      <w:pPr>
        <w:spacing w:after="0" w:line="197" w:lineRule="exact"/>
        <w:rPr>
          <w:rFonts w:ascii="Arial" w:cs="Arial" w:eastAsia="Arial" w:hAnsi="Arial"/>
          <w:sz w:val="20"/>
          <w:szCs w:val="20"/>
          <w:color w:val="010000"/>
        </w:rPr>
      </w:pPr>
    </w:p>
    <w:p>
      <w:pPr>
        <w:ind w:left="1000" w:hanging="344"/>
        <w:spacing w:after="0"/>
        <w:tabs>
          <w:tab w:leader="none" w:pos="1000" w:val="left"/>
        </w:tabs>
        <w:numPr>
          <w:ilvl w:val="0"/>
          <w:numId w:val="57"/>
        </w:numPr>
        <w:rPr>
          <w:rFonts w:ascii="Arial" w:cs="Arial" w:eastAsia="Arial" w:hAnsi="Arial"/>
          <w:sz w:val="22"/>
          <w:szCs w:val="22"/>
          <w:color w:val="010000"/>
        </w:rPr>
      </w:pPr>
      <w:r>
        <w:rPr>
          <w:rFonts w:ascii="Arial" w:cs="Arial" w:eastAsia="Arial" w:hAnsi="Arial"/>
          <w:sz w:val="20"/>
          <w:szCs w:val="20"/>
          <w:u w:val="single" w:color="auto"/>
          <w:color w:val="auto"/>
        </w:rPr>
        <w:t>VESTING AND SETTLEMENT</w:t>
      </w:r>
      <w:r>
        <w:rPr>
          <w:rFonts w:ascii="Arial" w:cs="Arial" w:eastAsia="Arial" w:hAnsi="Arial"/>
          <w:sz w:val="20"/>
          <w:szCs w:val="20"/>
          <w:color w:val="auto"/>
        </w:rPr>
        <w:t>.</w:t>
      </w:r>
    </w:p>
    <w:p>
      <w:pPr>
        <w:spacing w:after="0" w:line="235"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57"/>
        </w:numPr>
        <w:rPr>
          <w:rFonts w:ascii="Arial" w:cs="Arial" w:eastAsia="Arial" w:hAnsi="Arial"/>
          <w:sz w:val="22"/>
          <w:szCs w:val="22"/>
          <w:color w:val="010000"/>
        </w:rPr>
      </w:pPr>
      <w:r>
        <w:rPr>
          <w:rFonts w:ascii="Arial" w:cs="Arial" w:eastAsia="Arial" w:hAnsi="Arial"/>
          <w:sz w:val="20"/>
          <w:szCs w:val="20"/>
          <w:u w:val="single" w:color="auto"/>
          <w:color w:val="auto"/>
        </w:rPr>
        <w:t>Service Vesting</w:t>
      </w:r>
      <w:r>
        <w:rPr>
          <w:rFonts w:ascii="Arial" w:cs="Arial" w:eastAsia="Arial" w:hAnsi="Arial"/>
          <w:sz w:val="20"/>
          <w:szCs w:val="20"/>
          <w:color w:val="auto"/>
        </w:rPr>
        <w:t>. Subject to the Participant's continuous employment with the Company, the Restricted Stock Units shall vest in accordance with the specific vesting schedule set forth on Exhibit A hereto. Restricted Stock Units that have vested in accordance with the vesting schedule set forth on Exhibit A are referred to herein as “Vested Units.” Restricted Stock Units that are not vested are referred to herein as “Unvested Units.”</w:t>
      </w:r>
    </w:p>
    <w:p>
      <w:pPr>
        <w:spacing w:after="0" w:line="210" w:lineRule="exact"/>
        <w:rPr>
          <w:rFonts w:ascii="Arial" w:cs="Arial" w:eastAsia="Arial" w:hAnsi="Arial"/>
          <w:sz w:val="22"/>
          <w:szCs w:val="22"/>
          <w:color w:val="010000"/>
        </w:rPr>
      </w:pPr>
    </w:p>
    <w:p>
      <w:pPr>
        <w:ind w:firstLine="1305"/>
        <w:spacing w:after="0" w:line="265" w:lineRule="auto"/>
        <w:tabs>
          <w:tab w:leader="none" w:pos="1877" w:val="left"/>
        </w:tabs>
        <w:numPr>
          <w:ilvl w:val="1"/>
          <w:numId w:val="57"/>
        </w:numPr>
        <w:rPr>
          <w:rFonts w:ascii="Arial" w:cs="Arial" w:eastAsia="Arial" w:hAnsi="Arial"/>
          <w:sz w:val="22"/>
          <w:szCs w:val="22"/>
          <w:color w:val="010000"/>
        </w:rPr>
      </w:pPr>
      <w:r>
        <w:rPr>
          <w:rFonts w:ascii="Arial" w:cs="Arial" w:eastAsia="Arial" w:hAnsi="Arial"/>
          <w:sz w:val="20"/>
          <w:szCs w:val="20"/>
          <w:u w:val="single" w:color="auto"/>
          <w:color w:val="auto"/>
        </w:rPr>
        <w:t>Disability or Death</w:t>
      </w:r>
      <w:r>
        <w:rPr>
          <w:rFonts w:ascii="Arial" w:cs="Arial" w:eastAsia="Arial" w:hAnsi="Arial"/>
          <w:sz w:val="20"/>
          <w:szCs w:val="20"/>
          <w:color w:val="auto"/>
        </w:rPr>
        <w:t>. If the Participant's employment with the Company terminates due to Disability or death, the Restricted Stock Units shall become immediately and fully vested and thereafter be considered Vested Units.</w:t>
      </w:r>
    </w:p>
    <w:p>
      <w:pPr>
        <w:spacing w:after="0" w:line="209"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57"/>
        </w:numPr>
        <w:rPr>
          <w:rFonts w:ascii="Arial" w:cs="Arial" w:eastAsia="Arial" w:hAnsi="Arial"/>
          <w:sz w:val="22"/>
          <w:szCs w:val="22"/>
          <w:color w:val="010000"/>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pacing w:after="0" w:line="210" w:lineRule="exact"/>
        <w:rPr>
          <w:rFonts w:ascii="Arial" w:cs="Arial" w:eastAsia="Arial" w:hAnsi="Arial"/>
          <w:sz w:val="22"/>
          <w:szCs w:val="22"/>
          <w:color w:val="010000"/>
        </w:rPr>
      </w:pPr>
    </w:p>
    <w:p>
      <w:pPr>
        <w:jc w:val="both"/>
        <w:ind w:firstLine="1305"/>
        <w:spacing w:after="0" w:line="266" w:lineRule="auto"/>
        <w:tabs>
          <w:tab w:leader="none" w:pos="1796" w:val="left"/>
        </w:tabs>
        <w:numPr>
          <w:ilvl w:val="1"/>
          <w:numId w:val="57"/>
        </w:numPr>
        <w:rPr>
          <w:rFonts w:ascii="Arial" w:cs="Arial" w:eastAsia="Arial" w:hAnsi="Arial"/>
          <w:sz w:val="22"/>
          <w:szCs w:val="22"/>
          <w:color w:val="010000"/>
        </w:rPr>
      </w:pPr>
      <w:r>
        <w:rPr>
          <w:rFonts w:ascii="Arial" w:cs="Arial" w:eastAsia="Arial" w:hAnsi="Arial"/>
          <w:sz w:val="20"/>
          <w:szCs w:val="20"/>
          <w:u w:val="single" w:color="auto"/>
          <w:color w:val="auto"/>
        </w:rPr>
        <w:t>Termination of Unvested Units</w:t>
      </w:r>
      <w:r>
        <w:rPr>
          <w:rFonts w:ascii="Arial" w:cs="Arial" w:eastAsia="Arial" w:hAnsi="Arial"/>
          <w:sz w:val="20"/>
          <w:szCs w:val="20"/>
          <w:color w:val="auto"/>
        </w:rPr>
        <w:t>. Except as set forth in Sections 2(b) and 2(c), upon the termination of the Participant's employment, any then Unvested Units held by the Participant shall be forfeited and canceled as of the date of such termination. As noted in Section 12(k) below, for the avoidance of doubt and for purposes of the Restricted Stock Units only, termination shall be deemed to occur as of the date Participant is no longer actively providing services to the Company, a Subsidiary, or other affiliated entity and will not be extended by any notice period or “garden leave” that may be required contractually or under applicable laws, unless otherwise determined by the Company in its sole discretion.</w:t>
      </w:r>
    </w:p>
    <w:p>
      <w:pPr>
        <w:spacing w:after="0" w:line="214" w:lineRule="exact"/>
        <w:rPr>
          <w:rFonts w:ascii="Arial" w:cs="Arial" w:eastAsia="Arial" w:hAnsi="Arial"/>
          <w:sz w:val="22"/>
          <w:szCs w:val="22"/>
          <w:color w:val="010000"/>
        </w:rPr>
      </w:pPr>
    </w:p>
    <w:p>
      <w:pPr>
        <w:jc w:val="both"/>
        <w:ind w:firstLine="1305"/>
        <w:spacing w:after="0" w:line="313" w:lineRule="auto"/>
        <w:tabs>
          <w:tab w:leader="none" w:pos="1743" w:val="left"/>
        </w:tabs>
        <w:numPr>
          <w:ilvl w:val="1"/>
          <w:numId w:val="57"/>
        </w:numPr>
        <w:rPr>
          <w:rFonts w:ascii="Arial" w:cs="Arial" w:eastAsia="Arial" w:hAnsi="Arial"/>
          <w:sz w:val="19"/>
          <w:szCs w:val="19"/>
          <w:color w:val="010000"/>
        </w:rPr>
      </w:pPr>
      <w:r>
        <w:rPr>
          <w:rFonts w:ascii="Arial" w:cs="Arial" w:eastAsia="Arial" w:hAnsi="Arial"/>
          <w:sz w:val="18"/>
          <w:szCs w:val="18"/>
          <w:u w:val="single" w:color="auto"/>
          <w:color w:val="auto"/>
        </w:rPr>
        <w:t>Settlement of Vested Units</w:t>
      </w:r>
      <w:r>
        <w:rPr>
          <w:rFonts w:ascii="Arial" w:cs="Arial" w:eastAsia="Arial" w:hAnsi="Arial"/>
          <w:sz w:val="18"/>
          <w:szCs w:val="18"/>
          <w:color w:val="auto"/>
        </w:rPr>
        <w:t>. The Vested Units shall be settled by the delivery to the Participant or a designated brokerage firm of one share of Common Stock per Vested Unit within thirty (30) days after the vesting of such Restricted Stock Units as set forth on Exhibit A, or upon accelerated vesting as set forth in this Section 2. No fractional shares will be issued under this Agreement.</w:t>
      </w:r>
    </w:p>
    <w:p>
      <w:pPr>
        <w:spacing w:after="0" w:line="174" w:lineRule="exact"/>
        <w:rPr>
          <w:rFonts w:ascii="Arial" w:cs="Arial" w:eastAsia="Arial" w:hAnsi="Arial"/>
          <w:sz w:val="19"/>
          <w:szCs w:val="19"/>
          <w:color w:val="010000"/>
        </w:rPr>
      </w:pPr>
    </w:p>
    <w:p>
      <w:pPr>
        <w:jc w:val="both"/>
        <w:ind w:firstLine="656"/>
        <w:spacing w:after="0" w:line="266" w:lineRule="auto"/>
        <w:tabs>
          <w:tab w:leader="none" w:pos="1017" w:val="left"/>
        </w:tabs>
        <w:numPr>
          <w:ilvl w:val="0"/>
          <w:numId w:val="57"/>
        </w:numPr>
        <w:rPr>
          <w:rFonts w:ascii="Arial" w:cs="Arial" w:eastAsia="Arial" w:hAnsi="Arial"/>
          <w:sz w:val="22"/>
          <w:szCs w:val="22"/>
          <w:color w:val="010000"/>
        </w:rPr>
      </w:pPr>
      <w:r>
        <w:rPr>
          <w:rFonts w:ascii="Arial" w:cs="Arial" w:eastAsia="Arial" w:hAnsi="Arial"/>
          <w:sz w:val="20"/>
          <w:szCs w:val="20"/>
          <w:u w:val="single" w:color="auto"/>
          <w:color w:val="auto"/>
        </w:rPr>
        <w:t>ADJUSTMENT IN COMMON STOCK</w:t>
      </w:r>
      <w:r>
        <w:rPr>
          <w:rFonts w:ascii="Arial" w:cs="Arial" w:eastAsia="Arial" w:hAnsi="Arial"/>
          <w:sz w:val="20"/>
          <w:szCs w:val="20"/>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214" w:lineRule="exact"/>
        <w:rPr>
          <w:rFonts w:ascii="Arial" w:cs="Arial" w:eastAsia="Arial" w:hAnsi="Arial"/>
          <w:sz w:val="22"/>
          <w:szCs w:val="22"/>
          <w:color w:val="010000"/>
        </w:rPr>
      </w:pPr>
    </w:p>
    <w:p>
      <w:pPr>
        <w:jc w:val="both"/>
        <w:ind w:firstLine="656"/>
        <w:spacing w:after="0" w:line="334" w:lineRule="auto"/>
        <w:tabs>
          <w:tab w:leader="none" w:pos="1004" w:val="left"/>
        </w:tabs>
        <w:numPr>
          <w:ilvl w:val="0"/>
          <w:numId w:val="57"/>
        </w:numPr>
        <w:rPr>
          <w:rFonts w:ascii="Arial" w:cs="Arial" w:eastAsia="Arial" w:hAnsi="Arial"/>
          <w:sz w:val="19"/>
          <w:szCs w:val="19"/>
          <w:color w:val="010000"/>
        </w:rPr>
      </w:pPr>
      <w:r>
        <w:rPr>
          <w:rFonts w:ascii="Arial" w:cs="Arial" w:eastAsia="Arial" w:hAnsi="Arial"/>
          <w:sz w:val="18"/>
          <w:szCs w:val="18"/>
          <w:u w:val="single" w:color="auto"/>
          <w:color w:val="auto"/>
        </w:rPr>
        <w:t>NON-TRANSFERABILITY OF AWARD</w:t>
      </w:r>
      <w:r>
        <w:rPr>
          <w:rFonts w:ascii="Arial" w:cs="Arial" w:eastAsia="Arial" w:hAnsi="Arial"/>
          <w:sz w:val="18"/>
          <w:szCs w:val="18"/>
          <w:color w:val="auto"/>
        </w:rPr>
        <w:t>. The Award and this Agreement shall not be transferable other than by will, the laws of descent and distribution, or pursuant to beneficiary designation procedures approved by the Company. Notwithstanding the foregoing, the</w:t>
      </w:r>
    </w:p>
    <w:p>
      <w:pPr>
        <w:sectPr>
          <w:pgSz w:w="11900" w:h="16838" w:orient="portrait"/>
          <w:cols w:equalWidth="0" w:num="1">
            <w:col w:w="11420"/>
          </w:cols>
          <w:pgMar w:left="240" w:top="132" w:right="239" w:bottom="0" w:gutter="0" w:footer="0" w:header="0"/>
        </w:sectPr>
      </w:pPr>
    </w:p>
    <w:bookmarkStart w:id="67" w:name="page68"/>
    <w:bookmarkEnd w:id="67"/>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97" w:lineRule="exact"/>
        <w:rPr>
          <w:sz w:val="20"/>
          <w:szCs w:val="20"/>
          <w:color w:val="auto"/>
        </w:rPr>
      </w:pPr>
    </w:p>
    <w:p>
      <w:pPr>
        <w:jc w:val="both"/>
        <w:ind w:firstLine="656"/>
        <w:spacing w:after="0" w:line="300" w:lineRule="auto"/>
        <w:tabs>
          <w:tab w:leader="none" w:pos="1017" w:val="left"/>
        </w:tabs>
        <w:numPr>
          <w:ilvl w:val="0"/>
          <w:numId w:val="58"/>
        </w:numPr>
        <w:rPr>
          <w:rFonts w:ascii="Arial" w:cs="Arial" w:eastAsia="Arial" w:hAnsi="Arial"/>
          <w:sz w:val="19"/>
          <w:szCs w:val="19"/>
          <w:color w:val="010000"/>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5" w:lineRule="exact"/>
        <w:rPr>
          <w:rFonts w:ascii="Arial" w:cs="Arial" w:eastAsia="Arial" w:hAnsi="Arial"/>
          <w:sz w:val="19"/>
          <w:szCs w:val="19"/>
          <w:color w:val="010000"/>
        </w:rPr>
      </w:pPr>
    </w:p>
    <w:p>
      <w:pPr>
        <w:jc w:val="both"/>
        <w:ind w:firstLine="656"/>
        <w:spacing w:after="0" w:line="266" w:lineRule="auto"/>
        <w:tabs>
          <w:tab w:leader="none" w:pos="1058" w:val="left"/>
        </w:tabs>
        <w:numPr>
          <w:ilvl w:val="0"/>
          <w:numId w:val="58"/>
        </w:numPr>
        <w:rPr>
          <w:rFonts w:ascii="Arial" w:cs="Arial" w:eastAsia="Arial" w:hAnsi="Arial"/>
          <w:sz w:val="22"/>
          <w:szCs w:val="22"/>
          <w:color w:val="010000"/>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212" w:lineRule="exact"/>
        <w:rPr>
          <w:rFonts w:ascii="Arial" w:cs="Arial" w:eastAsia="Arial" w:hAnsi="Arial"/>
          <w:sz w:val="22"/>
          <w:szCs w:val="22"/>
          <w:color w:val="010000"/>
        </w:rPr>
      </w:pPr>
    </w:p>
    <w:p>
      <w:pPr>
        <w:jc w:val="both"/>
        <w:ind w:firstLine="656"/>
        <w:spacing w:after="0" w:line="282" w:lineRule="auto"/>
        <w:tabs>
          <w:tab w:leader="none" w:pos="1071" w:val="left"/>
        </w:tabs>
        <w:numPr>
          <w:ilvl w:val="0"/>
          <w:numId w:val="58"/>
        </w:numPr>
        <w:rPr>
          <w:rFonts w:ascii="Arial" w:cs="Arial" w:eastAsia="Arial" w:hAnsi="Arial"/>
          <w:sz w:val="21"/>
          <w:szCs w:val="21"/>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21"/>
          <w:szCs w:val="21"/>
          <w:color w:val="010000"/>
        </w:rPr>
      </w:pPr>
    </w:p>
    <w:p>
      <w:pPr>
        <w:ind w:right="20" w:firstLine="656"/>
        <w:spacing w:after="0" w:line="265" w:lineRule="auto"/>
        <w:tabs>
          <w:tab w:leader="none" w:pos="1017" w:val="left"/>
        </w:tabs>
        <w:numPr>
          <w:ilvl w:val="0"/>
          <w:numId w:val="58"/>
        </w:numPr>
        <w:rPr>
          <w:rFonts w:ascii="Arial" w:cs="Arial" w:eastAsia="Arial" w:hAnsi="Arial"/>
          <w:sz w:val="22"/>
          <w:szCs w:val="22"/>
          <w:color w:val="010000"/>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the Company to enforce at any time any provision of this Agreement shall in no way be construed to be a waiver of such provision or of any other provision hereof.</w:t>
      </w:r>
    </w:p>
    <w:p>
      <w:pPr>
        <w:spacing w:after="0" w:line="209" w:lineRule="exact"/>
        <w:rPr>
          <w:rFonts w:ascii="Arial" w:cs="Arial" w:eastAsia="Arial" w:hAnsi="Arial"/>
          <w:sz w:val="22"/>
          <w:szCs w:val="22"/>
          <w:color w:val="010000"/>
        </w:rPr>
      </w:pPr>
    </w:p>
    <w:p>
      <w:pPr>
        <w:jc w:val="both"/>
        <w:ind w:firstLine="656"/>
        <w:spacing w:after="0" w:line="299" w:lineRule="auto"/>
        <w:tabs>
          <w:tab w:leader="none" w:pos="1017" w:val="left"/>
        </w:tabs>
        <w:numPr>
          <w:ilvl w:val="0"/>
          <w:numId w:val="58"/>
        </w:numPr>
        <w:rPr>
          <w:rFonts w:ascii="Arial" w:cs="Arial" w:eastAsia="Arial" w:hAnsi="Arial"/>
          <w:sz w:val="19"/>
          <w:szCs w:val="19"/>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require, prior to the issuance or delivery of any shares of Common Stock pursuant to the Award, payment by the Participant of any taxes, social contributions, required deductions, or other payments (“Tax-Related Items”) which may be required to be withheld or paid in connection with the Award or the Common Stock, and the Participant agrees to indemnify the Company, Subsidiary, or affiliate for any such Tax-Related Items.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subject to the Committee’s discretion: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 Regardless of any action the Company or any Subsidiary or affiliate takes with respect to any or all applicable Tax-Related Items, the Participant acknowledges and agrees that the ultimate liability for all Tax-Related Items is and remains the Participant’s responsibility and</w:t>
      </w:r>
    </w:p>
    <w:p>
      <w:pPr>
        <w:sectPr>
          <w:pgSz w:w="11900" w:h="16918" w:orient="portrait"/>
          <w:cols w:equalWidth="0" w:num="1">
            <w:col w:w="11420"/>
          </w:cols>
          <w:pgMar w:left="240" w:top="136" w:right="239" w:bottom="0" w:gutter="0" w:footer="0" w:header="0"/>
        </w:sectPr>
      </w:pPr>
    </w:p>
    <w:bookmarkStart w:id="68" w:name="page69"/>
    <w:bookmarkEnd w:id="68"/>
    <w:p>
      <w:pPr>
        <w:jc w:val="both"/>
        <w:spacing w:after="0" w:line="303" w:lineRule="auto"/>
        <w:rPr>
          <w:sz w:val="20"/>
          <w:szCs w:val="20"/>
          <w:color w:val="auto"/>
        </w:rPr>
      </w:pPr>
      <w:r>
        <w:rPr>
          <w:rFonts w:ascii="Arial" w:cs="Arial" w:eastAsia="Arial" w:hAnsi="Arial"/>
          <w:sz w:val="18"/>
          <w:szCs w:val="18"/>
          <w:color w:val="auto"/>
        </w:rPr>
        <w:t>may exceed any amount actually withheld by the Company or any Subsidiary or affiliate. The Participant further acknowledges and agrees that the Participant is solely responsible for filing all relevant documentation that may be required of Participant in relation to this Award or any Tax-Related Items other than filings or documentation, such as but not limited to personal income tax returns or reporting statements in relation to the grant or vesting of the Award, the issuance or ownership of Common Stock or any bank or brokerage account, the subsequent sale of Common Stock, and the receipt of any dividends. The Participant further acknowledges that the Company makes no representations or undertakings regarding the treatment of any Tax-Related Items and does not commit to and is under no obligation to structure the terms or any aspect of the Award to reduce or eliminate the Participant’s liability for Tax-Related Items or achieve any particular tax result. Further, if the Participant has become subject to tax in more than one jurisdiction, the Participant acknowledges that the Company or any Subsidiary or affiliate may be required to withhold or account for Tax-Related Items in more than one jurisdiction.</w:t>
      </w:r>
    </w:p>
    <w:p>
      <w:pPr>
        <w:spacing w:after="0" w:line="187" w:lineRule="exact"/>
        <w:rPr>
          <w:sz w:val="20"/>
          <w:szCs w:val="20"/>
          <w:color w:val="auto"/>
        </w:rPr>
      </w:pPr>
    </w:p>
    <w:p>
      <w:pPr>
        <w:ind w:firstLine="656"/>
        <w:spacing w:after="0" w:line="265" w:lineRule="auto"/>
        <w:tabs>
          <w:tab w:leader="none" w:pos="1166" w:val="left"/>
        </w:tabs>
        <w:numPr>
          <w:ilvl w:val="0"/>
          <w:numId w:val="59"/>
        </w:numPr>
        <w:rPr>
          <w:rFonts w:ascii="Arial" w:cs="Arial" w:eastAsia="Arial" w:hAnsi="Arial"/>
          <w:sz w:val="22"/>
          <w:szCs w:val="22"/>
          <w:color w:val="010000"/>
        </w:rPr>
      </w:pPr>
      <w:r>
        <w:rPr>
          <w:rFonts w:ascii="Arial" w:cs="Arial" w:eastAsia="Arial" w:hAnsi="Arial"/>
          <w:sz w:val="20"/>
          <w:szCs w:val="20"/>
          <w:u w:val="single" w:color="auto"/>
          <w:color w:val="auto"/>
        </w:rPr>
        <w:t>INCORPORATION OF PLAN</w:t>
      </w:r>
      <w:r>
        <w:rPr>
          <w:rFonts w:ascii="Arial" w:cs="Arial" w:eastAsia="Arial" w:hAnsi="Arial"/>
          <w:sz w:val="20"/>
          <w:szCs w:val="20"/>
          <w:color w:val="auto"/>
        </w:rPr>
        <w:t>. The Plan is hereby incorporated by reference and made a part hereof, and the Award and this Agreement are subject to all terms and conditions of the Plan.</w:t>
      </w:r>
    </w:p>
    <w:p>
      <w:pPr>
        <w:spacing w:after="0" w:line="209" w:lineRule="exact"/>
        <w:rPr>
          <w:rFonts w:ascii="Arial" w:cs="Arial" w:eastAsia="Arial" w:hAnsi="Arial"/>
          <w:sz w:val="22"/>
          <w:szCs w:val="22"/>
          <w:color w:val="010000"/>
        </w:rPr>
      </w:pPr>
    </w:p>
    <w:p>
      <w:pPr>
        <w:ind w:firstLine="656"/>
        <w:spacing w:after="0" w:line="265" w:lineRule="auto"/>
        <w:tabs>
          <w:tab w:leader="none" w:pos="1198" w:val="left"/>
        </w:tabs>
        <w:numPr>
          <w:ilvl w:val="0"/>
          <w:numId w:val="59"/>
        </w:numPr>
        <w:rPr>
          <w:rFonts w:ascii="Arial" w:cs="Arial" w:eastAsia="Arial" w:hAnsi="Arial"/>
          <w:sz w:val="22"/>
          <w:szCs w:val="22"/>
          <w:color w:val="010000"/>
        </w:rPr>
      </w:pPr>
      <w:r>
        <w:rPr>
          <w:rFonts w:ascii="Arial" w:cs="Arial" w:eastAsia="Arial" w:hAnsi="Arial"/>
          <w:sz w:val="20"/>
          <w:szCs w:val="20"/>
          <w:u w:val="single" w:color="auto"/>
          <w:color w:val="auto"/>
        </w:rPr>
        <w:t>EMPLOYMENT</w:t>
      </w:r>
      <w:r>
        <w:rPr>
          <w:rFonts w:ascii="Arial" w:cs="Arial" w:eastAsia="Arial" w:hAnsi="Arial"/>
          <w:sz w:val="20"/>
          <w:szCs w:val="20"/>
          <w:color w:val="auto"/>
        </w:rPr>
        <w:t>. For purposes of this Agreement, references to employment shall include employment or service with any Subsidiary of the Company.</w:t>
      </w:r>
    </w:p>
    <w:p>
      <w:pPr>
        <w:spacing w:after="0" w:line="206" w:lineRule="exact"/>
        <w:rPr>
          <w:rFonts w:ascii="Arial" w:cs="Arial" w:eastAsia="Arial" w:hAnsi="Arial"/>
          <w:sz w:val="22"/>
          <w:szCs w:val="22"/>
          <w:color w:val="010000"/>
        </w:rPr>
      </w:pPr>
    </w:p>
    <w:p>
      <w:pPr>
        <w:ind w:left="1100" w:hanging="444"/>
        <w:spacing w:after="0"/>
        <w:tabs>
          <w:tab w:leader="none" w:pos="1100" w:val="left"/>
        </w:tabs>
        <w:numPr>
          <w:ilvl w:val="0"/>
          <w:numId w:val="59"/>
        </w:numPr>
        <w:rPr>
          <w:rFonts w:ascii="Arial" w:cs="Arial" w:eastAsia="Arial" w:hAnsi="Arial"/>
          <w:sz w:val="22"/>
          <w:szCs w:val="22"/>
          <w:color w:val="010000"/>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Award, the Participant acknowledges, understands and agrees that:</w:t>
      </w:r>
    </w:p>
    <w:p>
      <w:pPr>
        <w:spacing w:after="0" w:line="200" w:lineRule="exact"/>
        <w:rPr>
          <w:sz w:val="20"/>
          <w:szCs w:val="20"/>
          <w:color w:val="auto"/>
        </w:rPr>
      </w:pPr>
    </w:p>
    <w:p>
      <w:pPr>
        <w:spacing w:after="0" w:line="238" w:lineRule="exact"/>
        <w:rPr>
          <w:sz w:val="20"/>
          <w:szCs w:val="20"/>
          <w:color w:val="auto"/>
        </w:rPr>
      </w:pPr>
    </w:p>
    <w:p>
      <w:pPr>
        <w:ind w:right="20" w:firstLine="1297"/>
        <w:spacing w:after="0" w:line="289" w:lineRule="auto"/>
        <w:rPr>
          <w:sz w:val="20"/>
          <w:szCs w:val="20"/>
          <w:color w:val="auto"/>
        </w:rPr>
      </w:pPr>
      <w:r>
        <w:rPr>
          <w:rFonts w:ascii="Arial" w:cs="Arial" w:eastAsia="Arial" w:hAnsi="Arial"/>
          <w:sz w:val="20"/>
          <w:szCs w:val="20"/>
          <w:color w:val="auto"/>
        </w:rPr>
        <w:t>(a) the Plan is established voluntarily by the Company, it is discretionary in nature, and it may be modified, amended or terminated by the Company at any time, to the extent permitted by the Plan;</w:t>
      </w:r>
    </w:p>
    <w:p>
      <w:pPr>
        <w:spacing w:after="0" w:line="175"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grant of the Restricted Stock Units is voluntary and occasional and does not create any contractual or</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other right to receive future grants of Restricted Stock Units, or benefits in lieu of Restricted Stock Units, even if Restricted Stock Units have been granted in the past;</w:t>
      </w:r>
    </w:p>
    <w:p>
      <w:pPr>
        <w:sectPr>
          <w:pgSz w:w="11900" w:h="16838" w:orient="portrait"/>
          <w:cols w:equalWidth="0" w:num="1">
            <w:col w:w="11420"/>
          </w:cols>
          <w:pgMar w:left="240" w:top="136" w:right="239" w:bottom="0" w:gutter="0" w:footer="0" w:header="0"/>
        </w:sectPr>
      </w:pPr>
    </w:p>
    <w:p>
      <w:pPr>
        <w:spacing w:after="0" w:line="17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decisions with respect to future grants of Restricted Stock Units, if any, will be at the sole discretion of</w:t>
      </w:r>
    </w:p>
    <w:p>
      <w:pPr>
        <w:spacing w:after="0" w:line="50" w:lineRule="exact"/>
        <w:rPr>
          <w:sz w:val="20"/>
          <w:szCs w:val="20"/>
          <w:color w:val="auto"/>
        </w:rPr>
      </w:pPr>
    </w:p>
    <w:p>
      <w:pPr>
        <w:sectPr>
          <w:pgSz w:w="11900" w:h="16838" w:orient="portrait"/>
          <w:cols w:equalWidth="0" w:num="2">
            <w:col w:w="2100" w:space="720"/>
            <w:col w:w="8600"/>
          </w:cols>
          <w:pgMar w:left="240" w:top="136" w:right="239" w:bottom="0" w:gutter="0" w:footer="0" w:header="0"/>
          <w:type w:val="continuous"/>
        </w:sectPr>
      </w:pPr>
    </w:p>
    <w:p>
      <w:pPr>
        <w:spacing w:after="0"/>
        <w:rPr>
          <w:sz w:val="20"/>
          <w:szCs w:val="20"/>
          <w:color w:val="auto"/>
        </w:rPr>
      </w:pPr>
      <w:r>
        <w:rPr>
          <w:rFonts w:ascii="Arial" w:cs="Arial" w:eastAsia="Arial" w:hAnsi="Arial"/>
          <w:sz w:val="16"/>
          <w:szCs w:val="16"/>
          <w:color w:val="auto"/>
        </w:rPr>
        <w:t>the Company;</w:t>
      </w:r>
    </w:p>
    <w:p>
      <w:pPr>
        <w:sectPr>
          <w:pgSz w:w="11900" w:h="16838" w:orient="portrait"/>
          <w:cols w:equalWidth="0" w:num="1">
            <w:col w:w="11420"/>
          </w:cols>
          <w:pgMar w:left="240" w:top="136" w:right="239" w:bottom="0" w:gutter="0" w:footer="0" w:header="0"/>
          <w:type w:val="continuous"/>
        </w:sectPr>
      </w:pPr>
    </w:p>
    <w:p>
      <w:pPr>
        <w:spacing w:after="0" w:line="289"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is voluntarily participating in the Plan;</w:t>
      </w:r>
    </w:p>
    <w:p>
      <w:pPr>
        <w:spacing w:after="0" w:line="211" w:lineRule="exact"/>
        <w:rPr>
          <w:sz w:val="20"/>
          <w:szCs w:val="20"/>
          <w:color w:val="auto"/>
        </w:rPr>
      </w:pPr>
    </w:p>
    <w:p>
      <w:pPr>
        <w:sectPr>
          <w:pgSz w:w="11900" w:h="16838" w:orient="portrait"/>
          <w:cols w:equalWidth="0" w:num="2">
            <w:col w:w="2120" w:space="720"/>
            <w:col w:w="8580"/>
          </w:cols>
          <w:pgMar w:left="240" w:top="136" w:right="239" w:bottom="0" w:gutter="0" w:footer="0" w:header="0"/>
          <w:type w:val="continuous"/>
        </w:sectPr>
      </w:pPr>
    </w:p>
    <w:p>
      <w:pPr>
        <w:spacing w:after="0" w:line="54"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Participant’s participation in the Plan shall not create a right to further employment or to otherwise</w:t>
      </w:r>
    </w:p>
    <w:p>
      <w:pPr>
        <w:sectPr>
          <w:pgSz w:w="11900" w:h="16838" w:orient="portrait"/>
          <w:cols w:equalWidth="0" w:num="1">
            <w:col w:w="11420"/>
          </w:cols>
          <w:pgMar w:left="240" w:top="136" w:right="239" w:bottom="0" w:gutter="0" w:footer="0" w:header="0"/>
          <w:type w:val="continuous"/>
        </w:sectPr>
      </w:pPr>
    </w:p>
    <w:p>
      <w:pPr>
        <w:spacing w:after="0" w:line="38"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remain associated with the Company or any of its affiliates and shall not interfere with the ability of the Company or any of its affiliates to terminate the Participant’s employment or service relationship (if any) at any time, subject to applicable law;</w:t>
      </w:r>
    </w:p>
    <w:p>
      <w:pPr>
        <w:sectPr>
          <w:pgSz w:w="11900" w:h="16838" w:orient="portrait"/>
          <w:cols w:equalWidth="0" w:num="1">
            <w:col w:w="11420"/>
          </w:cols>
          <w:pgMar w:left="240" w:top="136" w:right="239" w:bottom="0" w:gutter="0" w:footer="0" w:header="0"/>
          <w:type w:val="continuous"/>
        </w:sectPr>
      </w:pPr>
    </w:p>
    <w:p>
      <w:pPr>
        <w:spacing w:after="0" w:line="175" w:lineRule="exact"/>
        <w:rPr>
          <w:sz w:val="20"/>
          <w:szCs w:val="20"/>
          <w:color w:val="auto"/>
        </w:rPr>
      </w:pPr>
    </w:p>
    <w:p>
      <w:pPr>
        <w:jc w:val="center"/>
        <w:ind w:left="72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Award and any shares of Common Stock subject to the Award are not intended to replace any pension</w:t>
      </w:r>
    </w:p>
    <w:p>
      <w:pPr>
        <w:spacing w:after="0" w:line="49" w:lineRule="exact"/>
        <w:rPr>
          <w:sz w:val="20"/>
          <w:szCs w:val="20"/>
          <w:color w:val="auto"/>
        </w:rPr>
      </w:pPr>
    </w:p>
    <w:p>
      <w:pPr>
        <w:sectPr>
          <w:pgSz w:w="11900" w:h="16838" w:orient="portrait"/>
          <w:cols w:equalWidth="0" w:num="2">
            <w:col w:w="2080" w:space="720"/>
            <w:col w:w="8620"/>
          </w:cols>
          <w:pgMar w:left="240" w:top="136" w:right="239" w:bottom="0" w:gutter="0" w:footer="0" w:header="0"/>
          <w:type w:val="continuous"/>
        </w:sectPr>
      </w:pPr>
    </w:p>
    <w:p>
      <w:pPr>
        <w:spacing w:after="0"/>
        <w:rPr>
          <w:sz w:val="20"/>
          <w:szCs w:val="20"/>
          <w:color w:val="auto"/>
        </w:rPr>
      </w:pPr>
      <w:r>
        <w:rPr>
          <w:rFonts w:ascii="Arial" w:cs="Arial" w:eastAsia="Arial" w:hAnsi="Arial"/>
          <w:sz w:val="20"/>
          <w:szCs w:val="20"/>
          <w:color w:val="auto"/>
        </w:rPr>
        <w:t>rights;</w:t>
      </w:r>
    </w:p>
    <w:p>
      <w:pPr>
        <w:spacing w:after="0" w:line="243"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in the event that the Participant is not an employee of the Company or any Subsidiary or affiliate, the Award</w:t>
      </w:r>
    </w:p>
    <w:p>
      <w:pPr>
        <w:sectPr>
          <w:pgSz w:w="11900" w:h="16838" w:orient="portrait"/>
          <w:cols w:equalWidth="0" w:num="1">
            <w:col w:w="11420"/>
          </w:cols>
          <w:pgMar w:left="240" w:top="136" w:right="239" w:bottom="0" w:gutter="0" w:footer="0" w:header="0"/>
          <w:type w:val="continuous"/>
        </w:sectPr>
      </w:pP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and the Participant’s participation in the Plan will not be interpreted to form an employment or service contract or relationship with the Company or any Subsidiary or affiliate;</w:t>
      </w:r>
    </w:p>
    <w:p>
      <w:pPr>
        <w:spacing w:after="0" w:line="175"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19"/>
          <w:szCs w:val="19"/>
          <w:color w:val="auto"/>
        </w:rPr>
        <w:t>(h) the Award and any shares of Common Stock subject to the Award are not part of normal or expected compensation or salary for any purpose, including but not limited to calculating any severance, resignation, termination, redundancy, dismissal, end of service payments, bonuses, long-service awards, pension or retirement or welfare benefits or similar payments (if any);</w:t>
      </w:r>
    </w:p>
    <w:p>
      <w:pPr>
        <w:sectPr>
          <w:pgSz w:w="11900" w:h="16838" w:orient="portrait"/>
          <w:cols w:equalWidth="0" w:num="1">
            <w:col w:w="11420"/>
          </w:cols>
          <w:pgMar w:left="240" w:top="136" w:right="239" w:bottom="0" w:gutter="0" w:footer="0" w:header="0"/>
          <w:type w:val="continuous"/>
        </w:sectPr>
      </w:pPr>
    </w:p>
    <w:p>
      <w:pPr>
        <w:spacing w:after="0" w:line="169"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cannot be predicted with certainty;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the future value of the shares of Common Stock subject to the Award is unknown, indeterminable and</w:t>
      </w:r>
    </w:p>
    <w:p>
      <w:pPr>
        <w:spacing w:after="0" w:line="445" w:lineRule="exact"/>
        <w:rPr>
          <w:sz w:val="20"/>
          <w:szCs w:val="20"/>
          <w:color w:val="auto"/>
        </w:rPr>
      </w:pPr>
    </w:p>
    <w:p>
      <w:pPr>
        <w:sectPr>
          <w:pgSz w:w="11900" w:h="16838" w:orient="portrait"/>
          <w:cols w:equalWidth="0" w:num="2">
            <w:col w:w="2760" w:space="20"/>
            <w:col w:w="8640"/>
          </w:cols>
          <w:pgMar w:left="240" w:top="136" w:right="239" w:bottom="0" w:gutter="0" w:footer="0" w:header="0"/>
          <w:type w:val="continuous"/>
        </w:sectPr>
      </w:pPr>
    </w:p>
    <w:p>
      <w:pPr>
        <w:spacing w:after="0" w:line="79" w:lineRule="exact"/>
        <w:rPr>
          <w:sz w:val="20"/>
          <w:szCs w:val="20"/>
          <w:color w:val="auto"/>
        </w:rPr>
      </w:pPr>
    </w:p>
    <w:p>
      <w:pPr>
        <w:jc w:val="both"/>
        <w:ind w:firstLine="1305"/>
        <w:spacing w:after="0" w:line="302" w:lineRule="auto"/>
        <w:tabs>
          <w:tab w:leader="none" w:pos="1604" w:val="left"/>
        </w:tabs>
        <w:numPr>
          <w:ilvl w:val="0"/>
          <w:numId w:val="60"/>
        </w:numPr>
        <w:rPr>
          <w:rFonts w:ascii="Arial" w:cs="Arial" w:eastAsia="Arial" w:hAnsi="Arial"/>
          <w:sz w:val="19"/>
          <w:szCs w:val="19"/>
          <w:color w:val="auto"/>
        </w:rPr>
      </w:pPr>
      <w:r>
        <w:rPr>
          <w:rFonts w:ascii="Arial" w:cs="Arial" w:eastAsia="Arial" w:hAnsi="Arial"/>
          <w:sz w:val="18"/>
          <w:szCs w:val="18"/>
          <w:color w:val="auto"/>
        </w:rPr>
        <w:t>no claim or entitlement to compensation or damages shall arise from forfeiture of the Restricted Stock Units resulting from the Participant ceasing to provide services to the Company or any of its affiliates (for any reason whatsoever and whether or not later found to be invalid or in breach of employment laws in the jurisdiction where the Participant is employed or the terms of the Participant’s employment agreement, if any) and in consideration of the grant of the Award to which the Participant is otherwise not entitled, the Participant irrevocably agrees never to institute any claim against the Company or any of its affiliates, waives his or her ability, if any, to bring any such claim, and releases the Company and each of its affiliates from any such claim;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claims;</w:t>
      </w:r>
    </w:p>
    <w:p>
      <w:pPr>
        <w:spacing w:after="0" w:line="17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(j) in the event of a termination of employment (whether or not later found to be invalid or in breach of employment laws in the jurisdiction where the Participant is employed or the terms of the Participant’s employment agreement, if any), unless otherwise provided by this Agreement or determined by the Company, the Participant’s right to receive and vest in Restricted Stock Units under the Plan, if any, will terminate effective as of the date that the Participant is no longer actively providing services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Award;</w:t>
      </w:r>
    </w:p>
    <w:p>
      <w:pPr>
        <w:sectPr>
          <w:pgSz w:w="11900" w:h="16838" w:orient="portrait"/>
          <w:cols w:equalWidth="0" w:num="1">
            <w:col w:w="11420"/>
          </w:cols>
          <w:pgMar w:left="240" w:top="136" w:right="239" w:bottom="0" w:gutter="0" w:footer="0" w:header="0"/>
          <w:type w:val="continuous"/>
        </w:sectPr>
      </w:pPr>
    </w:p>
    <w:bookmarkStart w:id="69" w:name="page70"/>
    <w:bookmarkEnd w:id="69"/>
    <w:p>
      <w:pPr>
        <w:spacing w:after="0" w:line="2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0"/>
          <w:szCs w:val="20"/>
          <w:color w:val="auto"/>
        </w:rPr>
        <w:t>(k) unless otherwise provided in the Plan or by the Company in its discretion, the Award and the benefits evidenced by this Agreement do not create any entitlement to have the Plan or any such benefits granted thereunder, transferred to, or assumed by, another company nor to be exchanged, cashed out or substituted for, in connection with any corporate transaction affecting the shares of Common Stock; and</w:t>
      </w:r>
    </w:p>
    <w:p>
      <w:pPr>
        <w:spacing w:after="0" w:line="19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0"/>
          <w:szCs w:val="20"/>
          <w:color w:val="auto"/>
        </w:rPr>
        <w:t>(l) neither the Company nor any of its affiliates will be liable for any foreign exchange rate fluctuation between the Participant’s local currency and the United States dollar that may affect the value of the Restricted Stock Units, the Common Stock, or any amounts due to the Participant pursuant to the vesting of the Restricted Stock Units or the subsequent sale of any shares of Common Stock acquired under the Plan, or the calculation of income or Tax-Related Items under the Award; and</w:t>
      </w:r>
    </w:p>
    <w:p>
      <w:pPr>
        <w:spacing w:after="0" w:line="192"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0"/>
          <w:szCs w:val="20"/>
          <w:color w:val="auto"/>
        </w:rPr>
        <w:t>(m) any cross-border cash remittance made to transfer proceeds received upon the sale of Common Stock or otherwise in relation to the Award must be made through a locally authorized financial institution or registered foreign exchange agency and may require the Participant to provide to such entity certain information regarding the transaction.</w:t>
      </w:r>
    </w:p>
    <w:p>
      <w:pPr>
        <w:spacing w:after="0" w:line="214" w:lineRule="exact"/>
        <w:rPr>
          <w:sz w:val="20"/>
          <w:szCs w:val="20"/>
          <w:color w:val="auto"/>
        </w:rPr>
      </w:pPr>
    </w:p>
    <w:p>
      <w:pPr>
        <w:jc w:val="both"/>
        <w:ind w:firstLine="656"/>
        <w:spacing w:after="0" w:line="266" w:lineRule="auto"/>
        <w:tabs>
          <w:tab w:leader="none" w:pos="1233" w:val="left"/>
        </w:tabs>
        <w:numPr>
          <w:ilvl w:val="0"/>
          <w:numId w:val="61"/>
        </w:numPr>
        <w:rPr>
          <w:rFonts w:ascii="Arial" w:cs="Arial" w:eastAsia="Arial" w:hAnsi="Arial"/>
          <w:sz w:val="22"/>
          <w:szCs w:val="22"/>
          <w:color w:val="010000"/>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The Participant hereby explicitly and unambiguously consents to the collection, use and transfer, in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electronic or other form, of the Participant’s personal data as described in this Agreement and any other grant materials by and among, as applicable, the Company and any affiliate for the exclusive purpose of implementing, administering and managing the Participant’s participation in the Plan. The Participant understands that refusal or withdrawal of consent may affect the Participant’s ability to participate in the Plan.</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its affiliates may hold certain personal information about the Participant, including, but not limited to, the Participant’s name, home address and telephone number, date of birth, social insurance number or other identification number, salary, nationality, job title, any shares of Common Stock or directorships held in the Company, details of all awards or any other entitlement to shares of Common Stock awarded, canceled, exercised, vested, unvested or outstanding in the Participant’s favor, for the exclusive purpose of implementing, administering and managing the Plan (“Personal Data”).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The Participant understands that Personal Data may be transferred to any Subsidiary or affiliate or third parties as may be selected by the Company to assist the Company with the implementation, administration and management of the Plan. The Participant understands that the recipients of Personal Data may be located in the United States or elsewhere, and that the recipient’s country may have different data privacy laws and protections than the Participant’s country.</w:t>
      </w:r>
    </w:p>
    <w:p>
      <w:pPr>
        <w:spacing w:after="0" w:line="204" w:lineRule="exact"/>
        <w:rPr>
          <w:sz w:val="20"/>
          <w:szCs w:val="20"/>
          <w:color w:val="auto"/>
        </w:rPr>
      </w:pPr>
    </w:p>
    <w:p>
      <w:pPr>
        <w:jc w:val="both"/>
        <w:ind w:firstLine="656"/>
        <w:spacing w:after="0" w:line="266" w:lineRule="auto"/>
        <w:tabs>
          <w:tab w:leader="none" w:pos="1125" w:val="left"/>
        </w:tabs>
        <w:numPr>
          <w:ilvl w:val="0"/>
          <w:numId w:val="62"/>
        </w:numPr>
        <w:rPr>
          <w:rFonts w:ascii="Arial" w:cs="Arial" w:eastAsia="Arial" w:hAnsi="Arial"/>
          <w:sz w:val="22"/>
          <w:szCs w:val="22"/>
          <w:color w:val="010000"/>
        </w:rPr>
      </w:pPr>
      <w:r>
        <w:rPr>
          <w:rFonts w:ascii="Arial" w:cs="Arial" w:eastAsia="Arial" w:hAnsi="Arial"/>
          <w:sz w:val="20"/>
          <w:szCs w:val="20"/>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the Award or future awards granted under the Plan by electronic means or request the Participant’s consent to participate in the Plan by electronic means. By accepting this Award, whether electronically or otherwise, the Participant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14" w:lineRule="exact"/>
        <w:rPr>
          <w:rFonts w:ascii="Arial" w:cs="Arial" w:eastAsia="Arial" w:hAnsi="Arial"/>
          <w:sz w:val="22"/>
          <w:szCs w:val="22"/>
          <w:color w:val="010000"/>
        </w:rPr>
      </w:pPr>
    </w:p>
    <w:p>
      <w:pPr>
        <w:ind w:firstLine="656"/>
        <w:spacing w:after="0" w:line="334" w:lineRule="auto"/>
        <w:tabs>
          <w:tab w:leader="none" w:pos="1112" w:val="left"/>
        </w:tabs>
        <w:numPr>
          <w:ilvl w:val="0"/>
          <w:numId w:val="62"/>
        </w:numPr>
        <w:rPr>
          <w:rFonts w:ascii="Arial" w:cs="Arial" w:eastAsia="Arial" w:hAnsi="Arial"/>
          <w:sz w:val="19"/>
          <w:szCs w:val="19"/>
          <w:color w:val="010000"/>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50" w:lineRule="exact"/>
        <w:rPr>
          <w:rFonts w:ascii="Arial" w:cs="Arial" w:eastAsia="Arial" w:hAnsi="Arial"/>
          <w:sz w:val="19"/>
          <w:szCs w:val="19"/>
          <w:color w:val="010000"/>
        </w:rPr>
      </w:pPr>
    </w:p>
    <w:p>
      <w:pPr>
        <w:jc w:val="both"/>
        <w:ind w:firstLine="656"/>
        <w:spacing w:after="0" w:line="283" w:lineRule="auto"/>
        <w:tabs>
          <w:tab w:leader="none" w:pos="1098" w:val="left"/>
        </w:tabs>
        <w:numPr>
          <w:ilvl w:val="0"/>
          <w:numId w:val="62"/>
        </w:numPr>
        <w:rPr>
          <w:rFonts w:ascii="Arial" w:cs="Arial" w:eastAsia="Arial" w:hAnsi="Arial"/>
          <w:sz w:val="21"/>
          <w:szCs w:val="21"/>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provided, however, that no amendment may impair the rights of the Participant without the consent of the Participant, subject to Section 19 below.</w:t>
      </w:r>
    </w:p>
    <w:p>
      <w:pPr>
        <w:spacing w:after="0" w:line="198" w:lineRule="exact"/>
        <w:rPr>
          <w:rFonts w:ascii="Arial" w:cs="Arial" w:eastAsia="Arial" w:hAnsi="Arial"/>
          <w:sz w:val="21"/>
          <w:szCs w:val="21"/>
          <w:color w:val="010000"/>
        </w:rPr>
      </w:pPr>
    </w:p>
    <w:p>
      <w:pPr>
        <w:jc w:val="both"/>
        <w:ind w:firstLine="656"/>
        <w:spacing w:after="0" w:line="308" w:lineRule="auto"/>
        <w:tabs>
          <w:tab w:leader="none" w:pos="1139" w:val="left"/>
        </w:tabs>
        <w:numPr>
          <w:ilvl w:val="0"/>
          <w:numId w:val="62"/>
        </w:numPr>
        <w:rPr>
          <w:rFonts w:ascii="Arial" w:cs="Arial" w:eastAsia="Arial" w:hAnsi="Arial"/>
          <w:sz w:val="19"/>
          <w:szCs w:val="19"/>
          <w:color w:val="010000"/>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This Agreement shall be governed by and construed according to the laws of the State of Delaware without regard to its principles of conflict of laws. For purposes of litigating any dispute that cannot be resolved pursuant to Section 5 above,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204" w:lineRule="exact"/>
        <w:rPr>
          <w:sz w:val="20"/>
          <w:szCs w:val="20"/>
          <w:color w:val="auto"/>
        </w:rPr>
      </w:pPr>
    </w:p>
    <w:p>
      <w:pPr>
        <w:jc w:val="both"/>
        <w:ind w:firstLine="656"/>
        <w:spacing w:after="0" w:line="292" w:lineRule="auto"/>
        <w:tabs>
          <w:tab w:leader="none" w:pos="1220" w:val="left"/>
        </w:tabs>
        <w:numPr>
          <w:ilvl w:val="0"/>
          <w:numId w:val="63"/>
        </w:numPr>
        <w:rPr>
          <w:rFonts w:ascii="Arial" w:cs="Arial" w:eastAsia="Arial" w:hAnsi="Arial"/>
          <w:sz w:val="19"/>
          <w:szCs w:val="19"/>
          <w:color w:val="010000"/>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w:t>
      </w:r>
    </w:p>
    <w:p>
      <w:pPr>
        <w:jc w:val="both"/>
        <w:spacing w:after="0" w:line="349" w:lineRule="auto"/>
        <w:rPr>
          <w:rFonts w:ascii="Arial" w:cs="Arial" w:eastAsia="Arial" w:hAnsi="Arial"/>
          <w:sz w:val="19"/>
          <w:szCs w:val="19"/>
          <w:color w:val="010000"/>
        </w:rPr>
      </w:pPr>
      <w:r>
        <w:rPr>
          <w:rFonts w:ascii="Arial" w:cs="Arial" w:eastAsia="Arial" w:hAnsi="Arial"/>
          <w:sz w:val="16"/>
          <w:szCs w:val="16"/>
          <w:color w:val="auto"/>
        </w:rPr>
        <w:t>(4).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w:t>
      </w:r>
    </w:p>
    <w:p>
      <w:pPr>
        <w:sectPr>
          <w:pgSz w:w="11900" w:h="16863" w:orient="portrait"/>
          <w:cols w:equalWidth="0" w:num="1">
            <w:col w:w="11420"/>
          </w:cols>
          <w:pgMar w:left="240" w:top="352" w:right="239" w:bottom="0" w:gutter="0" w:footer="0" w:header="0"/>
        </w:sectPr>
      </w:pPr>
    </w:p>
    <w:bookmarkStart w:id="70" w:name="page71"/>
    <w:bookmarkEnd w:id="70"/>
    <w:p>
      <w:pPr>
        <w:jc w:val="both"/>
        <w:spacing w:after="0" w:line="274" w:lineRule="auto"/>
        <w:rPr>
          <w:sz w:val="20"/>
          <w:szCs w:val="20"/>
          <w:color w:val="auto"/>
        </w:rPr>
      </w:pPr>
      <w:r>
        <w:rPr>
          <w:rFonts w:ascii="Arial" w:cs="Arial" w:eastAsia="Arial" w:hAnsi="Arial"/>
          <w:sz w:val="20"/>
          <w:szCs w:val="20"/>
          <w:color w:val="auto"/>
        </w:rPr>
        <w:t>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206" w:lineRule="exact"/>
        <w:rPr>
          <w:sz w:val="20"/>
          <w:szCs w:val="20"/>
          <w:color w:val="auto"/>
        </w:rPr>
      </w:pPr>
    </w:p>
    <w:p>
      <w:pPr>
        <w:jc w:val="both"/>
        <w:ind w:firstLine="656"/>
        <w:spacing w:after="0" w:line="299" w:lineRule="auto"/>
        <w:tabs>
          <w:tab w:leader="none" w:pos="1152" w:val="left"/>
        </w:tabs>
        <w:numPr>
          <w:ilvl w:val="1"/>
          <w:numId w:val="64"/>
        </w:numPr>
        <w:rPr>
          <w:rFonts w:ascii="Arial" w:cs="Arial" w:eastAsia="Arial" w:hAnsi="Arial"/>
          <w:sz w:val="19"/>
          <w:szCs w:val="19"/>
          <w:color w:val="010000"/>
        </w:rPr>
      </w:pPr>
      <w:r>
        <w:rPr>
          <w:rFonts w:ascii="Arial" w:cs="Arial" w:eastAsia="Arial" w:hAnsi="Arial"/>
          <w:sz w:val="18"/>
          <w:szCs w:val="18"/>
          <w:u w:val="single" w:color="auto"/>
          <w:color w:val="auto"/>
        </w:rPr>
        <w:t>OTHER REQUIREMENTS AND EXHIBIT B.</w:t>
      </w:r>
      <w:r>
        <w:rPr>
          <w:rFonts w:ascii="Arial" w:cs="Arial" w:eastAsia="Arial" w:hAnsi="Arial"/>
          <w:sz w:val="18"/>
          <w:szCs w:val="18"/>
          <w:color w:val="auto"/>
        </w:rPr>
        <w:t xml:space="preserve"> The Company is not obligated and will have no liability for failure to issue or deliver any Common Stock upon vesting of this Award if such issuance or delivery would violate any applicable laws, with compliance with applicable laws determined by the Company in consultation with its legal counsel. The Participant understands that the applicable laws of the country in which Participant is residing or working at the time of grant or vesting of this Award (including any rules or regulations governing securities, foreign exchange, tax, labor or other matters) may restrict or prevent the issuance of shares thereunder. Furthermore, the Company reserves the right to impose other requirements on the Participant’s participation in the Plan, on this Award, and the Common Stock subject to this Award, to the extent the Company determines it is necessary or advisable in order to comply with applicable laws or facilitate the administration of the Plan. The Participant agrees to sign any additional agreements or undertakings that may be necessary to accomplish the foregoing. Furthermore, the Participant acknowledges that the applicable laws of the country in which the Participant is residing or working at the time of grant or vesting of the Award or the issuance, holding, or sale of Common Stock received pursuant to the Award (including any rules or regulations governing securities, foreign exchange, tax, labor, or other matters) may subject the Participant to additional procedural or regulatory requirements that the Participant is and will be solely responsible for and must fulfill. Such requirements may be outlined in but are not limited to any special provisions set forth in Exhibit B for the Participant’s country, if any. Notwithstanding any provision herein, the Participant’s participation in the Plan shall be subject to any applicable special terms and conditions or disclosures as set forth in Exhibit B. If the Participant relocates to one of the countries included in Exhibit B during the vesting period or while holding shares of Common Stock issued upon vesting of the Award, the special provisions for such country shall apply to the Participant, to the extent the Company determines that the application of such provisions is advisable or necessary in order to comply with local law or facilitate the administration of the Plan. Exhibit B constitutes part of this Agreement.</w:t>
      </w:r>
    </w:p>
    <w:p>
      <w:pPr>
        <w:spacing w:after="0" w:line="192" w:lineRule="exact"/>
        <w:rPr>
          <w:rFonts w:ascii="Arial" w:cs="Arial" w:eastAsia="Arial" w:hAnsi="Arial"/>
          <w:sz w:val="19"/>
          <w:szCs w:val="19"/>
          <w:color w:val="010000"/>
        </w:rPr>
      </w:pPr>
    </w:p>
    <w:p>
      <w:pPr>
        <w:ind w:right="20" w:firstLine="656"/>
        <w:spacing w:after="0" w:line="265" w:lineRule="auto"/>
        <w:tabs>
          <w:tab w:leader="none" w:pos="1139" w:val="left"/>
        </w:tabs>
        <w:numPr>
          <w:ilvl w:val="1"/>
          <w:numId w:val="64"/>
        </w:numPr>
        <w:rPr>
          <w:rFonts w:ascii="Arial" w:cs="Arial" w:eastAsia="Arial" w:hAnsi="Arial"/>
          <w:sz w:val="22"/>
          <w:szCs w:val="22"/>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shall constitute one and the same instrument.</w:t>
      </w:r>
    </w:p>
    <w:p>
      <w:pPr>
        <w:spacing w:after="0" w:line="209" w:lineRule="exact"/>
        <w:rPr>
          <w:rFonts w:ascii="Arial" w:cs="Arial" w:eastAsia="Arial" w:hAnsi="Arial"/>
          <w:sz w:val="22"/>
          <w:szCs w:val="22"/>
          <w:color w:val="010000"/>
        </w:rPr>
      </w:pPr>
    </w:p>
    <w:p>
      <w:pPr>
        <w:jc w:val="both"/>
        <w:ind w:firstLine="656"/>
        <w:spacing w:after="0" w:line="266" w:lineRule="auto"/>
        <w:tabs>
          <w:tab w:leader="none" w:pos="1112" w:val="left"/>
        </w:tabs>
        <w:numPr>
          <w:ilvl w:val="1"/>
          <w:numId w:val="64"/>
        </w:numPr>
        <w:rPr>
          <w:rFonts w:ascii="Arial" w:cs="Arial" w:eastAsia="Arial" w:hAnsi="Arial"/>
          <w:sz w:val="22"/>
          <w:szCs w:val="22"/>
          <w:color w:val="010000"/>
        </w:rPr>
      </w:pPr>
      <w:r>
        <w:rPr>
          <w:rFonts w:ascii="Arial" w:cs="Arial" w:eastAsia="Arial" w:hAnsi="Arial"/>
          <w:sz w:val="20"/>
          <w:szCs w:val="20"/>
          <w:u w:val="single" w:color="auto"/>
          <w:color w:val="auto"/>
        </w:rPr>
        <w:t>AWARDS SUBJECT TO CLAWBACK</w:t>
      </w:r>
      <w:r>
        <w:rPr>
          <w:rFonts w:ascii="Arial" w:cs="Arial" w:eastAsia="Arial" w:hAnsi="Arial"/>
          <w:sz w:val="20"/>
          <w:szCs w:val="20"/>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10" w:lineRule="exact"/>
        <w:rPr>
          <w:rFonts w:ascii="Arial" w:cs="Arial" w:eastAsia="Arial" w:hAnsi="Arial"/>
          <w:sz w:val="22"/>
          <w:szCs w:val="22"/>
          <w:color w:val="010000"/>
        </w:rPr>
      </w:pPr>
    </w:p>
    <w:p>
      <w:pPr>
        <w:ind w:left="1100" w:hanging="444"/>
        <w:spacing w:after="0"/>
        <w:tabs>
          <w:tab w:leader="none" w:pos="1100" w:val="left"/>
        </w:tabs>
        <w:numPr>
          <w:ilvl w:val="1"/>
          <w:numId w:val="64"/>
        </w:numPr>
        <w:rPr>
          <w:rFonts w:ascii="Arial" w:cs="Arial" w:eastAsia="Arial" w:hAnsi="Arial"/>
          <w:sz w:val="22"/>
          <w:szCs w:val="22"/>
          <w:color w:val="010000"/>
        </w:rPr>
      </w:pP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shall have the meanings set forth below:</w:t>
      </w:r>
    </w:p>
    <w:p>
      <w:pPr>
        <w:spacing w:after="0" w:line="235" w:lineRule="exact"/>
        <w:rPr>
          <w:rFonts w:ascii="Arial" w:cs="Arial" w:eastAsia="Arial" w:hAnsi="Arial"/>
          <w:sz w:val="22"/>
          <w:szCs w:val="22"/>
          <w:color w:val="010000"/>
        </w:rPr>
      </w:pPr>
    </w:p>
    <w:p>
      <w:pPr>
        <w:jc w:val="both"/>
        <w:ind w:firstLine="1305"/>
        <w:spacing w:after="0" w:line="305" w:lineRule="auto"/>
        <w:tabs>
          <w:tab w:leader="none" w:pos="1716" w:val="left"/>
        </w:tabs>
        <w:numPr>
          <w:ilvl w:val="2"/>
          <w:numId w:val="64"/>
        </w:numPr>
        <w:rPr>
          <w:rFonts w:ascii="Arial" w:cs="Arial" w:eastAsia="Arial" w:hAnsi="Arial"/>
          <w:sz w:val="19"/>
          <w:szCs w:val="19"/>
          <w:color w:val="010000"/>
        </w:rPr>
      </w:pPr>
      <w:r>
        <w:rPr>
          <w:rFonts w:ascii="Arial" w:cs="Arial" w:eastAsia="Arial" w:hAnsi="Arial"/>
          <w:sz w:val="18"/>
          <w:szCs w:val="18"/>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2" w:lineRule="exact"/>
        <w:rPr>
          <w:rFonts w:ascii="Arial" w:cs="Arial" w:eastAsia="Arial" w:hAnsi="Arial"/>
          <w:sz w:val="19"/>
          <w:szCs w:val="19"/>
          <w:color w:val="010000"/>
        </w:rPr>
      </w:pPr>
    </w:p>
    <w:p>
      <w:pPr>
        <w:jc w:val="both"/>
        <w:ind w:firstLine="1305"/>
        <w:spacing w:after="0" w:line="338" w:lineRule="auto"/>
        <w:tabs>
          <w:tab w:leader="none" w:pos="1756" w:val="left"/>
        </w:tabs>
        <w:numPr>
          <w:ilvl w:val="2"/>
          <w:numId w:val="64"/>
        </w:numPr>
        <w:rPr>
          <w:rFonts w:ascii="Arial" w:cs="Arial" w:eastAsia="Arial" w:hAnsi="Arial"/>
          <w:sz w:val="18"/>
          <w:szCs w:val="18"/>
          <w:color w:val="010000"/>
        </w:rPr>
      </w:pPr>
      <w:r>
        <w:rPr>
          <w:rFonts w:ascii="Arial" w:cs="Arial" w:eastAsia="Arial" w:hAnsi="Arial"/>
          <w:sz w:val="17"/>
          <w:szCs w:val="17"/>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57" w:lineRule="exact"/>
        <w:rPr>
          <w:rFonts w:ascii="Arial" w:cs="Arial" w:eastAsia="Arial" w:hAnsi="Arial"/>
          <w:sz w:val="18"/>
          <w:szCs w:val="18"/>
          <w:color w:val="010000"/>
        </w:rPr>
      </w:pPr>
    </w:p>
    <w:p>
      <w:pPr>
        <w:jc w:val="both"/>
        <w:ind w:firstLine="1305"/>
        <w:spacing w:after="0" w:line="295" w:lineRule="auto"/>
        <w:tabs>
          <w:tab w:leader="none" w:pos="1716" w:val="left"/>
        </w:tabs>
        <w:numPr>
          <w:ilvl w:val="2"/>
          <w:numId w:val="64"/>
        </w:numPr>
        <w:rPr>
          <w:rFonts w:ascii="Arial" w:cs="Arial" w:eastAsia="Arial" w:hAnsi="Arial"/>
          <w:sz w:val="19"/>
          <w:szCs w:val="19"/>
          <w:color w:val="010000"/>
        </w:rPr>
      </w:pPr>
      <w:r>
        <w:rPr>
          <w:rFonts w:ascii="Arial" w:cs="Arial" w:eastAsia="Arial" w:hAnsi="Arial"/>
          <w:sz w:val="18"/>
          <w:szCs w:val="18"/>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w:t>
      </w:r>
    </w:p>
    <w:p>
      <w:pPr>
        <w:spacing w:after="0" w:line="3" w:lineRule="exact"/>
        <w:rPr>
          <w:rFonts w:ascii="Arial" w:cs="Arial" w:eastAsia="Arial" w:hAnsi="Arial"/>
          <w:sz w:val="19"/>
          <w:szCs w:val="19"/>
          <w:color w:val="010000"/>
        </w:rPr>
      </w:pPr>
    </w:p>
    <w:p>
      <w:pPr>
        <w:jc w:val="both"/>
        <w:ind w:firstLine="8"/>
        <w:spacing w:after="0" w:line="299" w:lineRule="auto"/>
        <w:tabs>
          <w:tab w:leader="none" w:pos="392" w:val="left"/>
        </w:tabs>
        <w:numPr>
          <w:ilvl w:val="0"/>
          <w:numId w:val="65"/>
        </w:numPr>
        <w:rPr>
          <w:rFonts w:ascii="Arial" w:cs="Arial" w:eastAsia="Arial" w:hAnsi="Arial"/>
          <w:sz w:val="19"/>
          <w:szCs w:val="19"/>
          <w:color w:val="auto"/>
        </w:rPr>
      </w:pPr>
      <w:r>
        <w:rPr>
          <w:rFonts w:ascii="Arial" w:cs="Arial" w:eastAsia="Arial" w:hAnsi="Arial"/>
          <w:sz w:val="19"/>
          <w:szCs w:val="19"/>
          <w:color w:val="auto"/>
        </w:rPr>
        <w:t>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ectPr>
          <w:pgSz w:w="11900" w:h="16838" w:orient="portrait"/>
          <w:cols w:equalWidth="0" w:num="1">
            <w:col w:w="11420"/>
          </w:cols>
          <w:pgMar w:left="240" w:top="136"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IN WITNESS WHEREOF, the parties have executed this Restricted Stock Unit Award Agreement on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DINE BRANDS GLOBAL,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__________________________________________</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Stephen P. Joyce</w:t>
      </w:r>
    </w:p>
    <w:p>
      <w:pPr>
        <w:ind w:left="43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-14605</wp:posOffset>
            </wp:positionV>
            <wp:extent cx="125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-14605</wp:posOffset>
            </wp:positionV>
            <wp:extent cx="125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-14605</wp:posOffset>
            </wp:positionV>
            <wp:extent cx="125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VESTING SCHEDULE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Stock Units (RSUs) shall vest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237730" cy="943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3773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480" w:type="dxa"/>
        <w:tblCellMar>
          <w:top w:w="0" w:type="dxa"/>
          <w:left w:w="0" w:type="dxa"/>
          <w:bottom w:w="0" w:type="dxa"/>
          <w:right w:w="0" w:type="dxa"/>
        </w:tblCellMar>
      </w:tblPr>
      <w:tr>
        <w:trPr>
          <w:trHeight w:val="250"/>
        </w:trPr>
        <w:tc>
          <w:tcPr>
            <w:tcW w:w="2260" w:type="dxa"/>
            <w:vAlign w:val="bottom"/>
          </w:tcPr>
          <w:p>
            <w:pPr>
              <w:spacing w:after="0"/>
              <w:rPr>
                <w:sz w:val="20"/>
                <w:szCs w:val="20"/>
                <w:color w:val="auto"/>
              </w:rPr>
            </w:pPr>
            <w:r>
              <w:rPr>
                <w:rFonts w:ascii="Arial" w:cs="Arial" w:eastAsia="Arial" w:hAnsi="Arial"/>
                <w:sz w:val="20"/>
                <w:szCs w:val="20"/>
                <w:color w:val="auto"/>
              </w:rPr>
              <w:t>Grant Date</w:t>
            </w:r>
          </w:p>
        </w:tc>
        <w:tc>
          <w:tcPr>
            <w:tcW w:w="3860" w:type="dxa"/>
            <w:vAlign w:val="bottom"/>
          </w:tcPr>
          <w:p>
            <w:pPr>
              <w:ind w:left="1380"/>
              <w:spacing w:after="0"/>
              <w:rPr>
                <w:sz w:val="20"/>
                <w:szCs w:val="20"/>
                <w:color w:val="auto"/>
              </w:rPr>
            </w:pPr>
            <w:r>
              <w:rPr>
                <w:rFonts w:ascii="Arial" w:cs="Arial" w:eastAsia="Arial" w:hAnsi="Arial"/>
                <w:sz w:val="20"/>
                <w:szCs w:val="20"/>
                <w:color w:val="auto"/>
              </w:rPr>
              <w:t>Shares Grated</w:t>
            </w:r>
          </w:p>
        </w:tc>
        <w:tc>
          <w:tcPr>
            <w:tcW w:w="2400" w:type="dxa"/>
            <w:vAlign w:val="bottom"/>
          </w:tcPr>
          <w:p>
            <w:pPr>
              <w:ind w:left="1380"/>
              <w:spacing w:after="0"/>
              <w:rPr>
                <w:sz w:val="20"/>
                <w:szCs w:val="20"/>
                <w:color w:val="auto"/>
              </w:rPr>
            </w:pPr>
            <w:r>
              <w:rPr>
                <w:rFonts w:ascii="Arial" w:cs="Arial" w:eastAsia="Arial" w:hAnsi="Arial"/>
                <w:sz w:val="20"/>
                <w:szCs w:val="20"/>
                <w:color w:val="auto"/>
                <w:w w:val="87"/>
              </w:rPr>
              <w:t>Vesting Date</w:t>
            </w:r>
          </w:p>
        </w:tc>
      </w:tr>
    </w:tbl>
    <w:p>
      <w:pPr>
        <w:spacing w:after="0" w:line="200" w:lineRule="exact"/>
        <w:rPr>
          <w:sz w:val="20"/>
          <w:szCs w:val="20"/>
          <w:color w:val="auto"/>
        </w:rPr>
      </w:pPr>
    </w:p>
    <w:p>
      <w:pPr>
        <w:spacing w:after="0" w:line="247" w:lineRule="exact"/>
        <w:rPr>
          <w:sz w:val="20"/>
          <w:szCs w:val="20"/>
          <w:color w:val="auto"/>
        </w:rPr>
      </w:pPr>
    </w:p>
    <w:p>
      <w:pPr>
        <w:jc w:val="center"/>
        <w:ind w:left="7580"/>
        <w:spacing w:after="0"/>
        <w:rPr>
          <w:sz w:val="20"/>
          <w:szCs w:val="20"/>
          <w:color w:val="auto"/>
        </w:rPr>
      </w:pPr>
      <w:r>
        <w:rPr>
          <w:rFonts w:ascii="Arial" w:cs="Arial" w:eastAsia="Arial" w:hAnsi="Arial"/>
          <w:sz w:val="20"/>
          <w:szCs w:val="20"/>
          <w:color w:val="auto"/>
        </w:rPr>
        <w:t xml:space="preserve">On the </w:t>
      </w:r>
      <w:r>
        <w:rPr>
          <w:rFonts w:ascii="Arial" w:cs="Arial" w:eastAsia="Arial" w:hAnsi="Arial"/>
          <w:sz w:val="21"/>
          <w:szCs w:val="21"/>
          <w:color w:val="auto"/>
        </w:rPr>
        <w:t>first and second anniversaries of</w:t>
      </w:r>
    </w:p>
    <w:p>
      <w:pPr>
        <w:spacing w:after="0" w:line="20" w:lineRule="exact"/>
        <w:rPr>
          <w:sz w:val="20"/>
          <w:szCs w:val="20"/>
          <w:color w:val="auto"/>
        </w:rPr>
      </w:pPr>
    </w:p>
    <w:p>
      <w:pPr>
        <w:jc w:val="center"/>
        <w:ind w:left="7580"/>
        <w:spacing w:after="0"/>
        <w:rPr>
          <w:sz w:val="20"/>
          <w:szCs w:val="20"/>
          <w:color w:val="auto"/>
        </w:rPr>
      </w:pPr>
      <w:r>
        <w:rPr>
          <w:rFonts w:ascii="Arial" w:cs="Arial" w:eastAsia="Arial" w:hAnsi="Arial"/>
          <w:sz w:val="22"/>
          <w:szCs w:val="22"/>
          <w:color w:val="auto"/>
        </w:rPr>
        <w:t>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400"/>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DINE BRANDS GLOBAL, INC.</w:t>
      </w:r>
    </w:p>
    <w:p>
      <w:pPr>
        <w:spacing w:after="0" w:line="22"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2016 STOCK INCENTIVE PLAN</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SPECIAL PROVISIONS FOR RESTRICTED STOCK UNIT AWARDS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PARTICIPANTS OUTSIDE THE U.S.</w:t>
      </w:r>
    </w:p>
    <w:p>
      <w:pPr>
        <w:spacing w:after="0" w:line="200"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 xml:space="preserve">This Exhibit B includes special terms and conditions applicable to Participants in the countries below. These terms and conditions are in addition to those set forth in the Restricted Stock Unit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Any capitalized term used in this Exhibit B without definition shall have the meaning ascribed to such term in the Dine Brands Global, Inc. 2016 Stock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Agreement, as applicable.</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Exhibit B also includes information relating to exchange control and other issues of which the Participant should be aware with respect to his or her participation in the Plan. However, because such laws are often complex and change frequently, the Company strongly recommends that the Participant not rely on the information herein as the only source of information relating to the consequences of participation in the Plan because the information may be out of date at the time the Restricted Stock Units (the “RSUs”) vest or shares of Common Stock acquired under the Plan are sold.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is general in nature and may not apply to the particular situation of the Participant, and the Company is not in a position to assure the Participant of any particular result. Accordingly, the Participant is advised to seek appropriate professional advice as to how the relevant laws in his or her country may apply to his or her situation. The Company is not providing any tax, legal or financial advice, nor is the Company making any recommendations regarding Participant’s acceptance of the Award or participation in the Plan</w:t>
      </w:r>
      <w:r>
        <w:rPr>
          <w:rFonts w:ascii="Arial" w:cs="Arial" w:eastAsia="Arial" w:hAnsi="Arial"/>
          <w:sz w:val="20"/>
          <w:szCs w:val="20"/>
          <w:color w:val="4F81BD"/>
        </w:rPr>
        <w:t>.</w:t>
      </w:r>
      <w:r>
        <w:rPr>
          <w:rFonts w:ascii="Arial" w:cs="Arial" w:eastAsia="Arial" w:hAnsi="Arial"/>
          <w:sz w:val="20"/>
          <w:szCs w:val="20"/>
          <w:color w:val="auto"/>
        </w:rPr>
        <w:t xml:space="preserve"> Finally, if the Participant is a citizen or resident of a country other than the one in which he or she is currently working, the information contained herein may not be applicable to the Participant.</w:t>
      </w:r>
    </w:p>
    <w:p>
      <w:pPr>
        <w:sectPr>
          <w:pgSz w:w="11900" w:h="16838" w:orient="portrait"/>
          <w:cols w:equalWidth="0" w:num="1">
            <w:col w:w="11420"/>
          </w:cols>
          <w:pgMar w:left="240" w:top="312" w:right="239" w:bottom="0" w:gutter="0" w:footer="0" w:header="0"/>
        </w:sectPr>
      </w:pPr>
    </w:p>
    <w:bookmarkStart w:id="72" w:name="page73"/>
    <w:bookmarkEnd w:id="72"/>
    <w:p>
      <w:pPr>
        <w:jc w:val="both"/>
        <w:spacing w:after="0" w:line="245" w:lineRule="auto"/>
        <w:rPr>
          <w:sz w:val="20"/>
          <w:szCs w:val="20"/>
          <w:color w:val="auto"/>
        </w:rPr>
      </w:pPr>
      <w:r>
        <w:rPr>
          <w:rFonts w:ascii="Arial" w:cs="Arial" w:eastAsia="Arial" w:hAnsi="Arial"/>
          <w:sz w:val="20"/>
          <w:szCs w:val="20"/>
          <w:color w:val="auto"/>
        </w:rPr>
        <w:t>Securities Law Notice: Unless otherwise noted, neither the Company nor the Common Stock are registered with any local stock exchange or under the control of any local securities regulator outside the United States. The Agreement (of which this Exhibit B is a part),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w:t>
      </w:r>
    </w:p>
    <w:p>
      <w:pPr>
        <w:spacing w:after="0" w:line="216"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following supplements the Section 13 of the Agreement: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Participant understands that Personal Data will be held only as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long as is necessary to implement, administer and manage Participant’s participation in the Plan. Participant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Participant’s local human resources representative.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Participant is resident or domiciled in Brazil, the Participant will be required to submit an annual declaration of assets and rights held outside of Brazil to the Central Bank of Brazil (“BACEN”) if the aggregate value of such assets and rights equals or exceeds US $100,000. Assets and rights that must be reported include shares of Common Stock of the Company. The reporting should be completed at the beginning of the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b w:val="1"/>
          <w:bCs w:val="1"/>
          <w:color w:val="auto"/>
        </w:rPr>
        <w:t xml:space="preserve">Foreign Share Ownership Reporting. </w:t>
      </w:r>
      <w:r>
        <w:rPr>
          <w:rFonts w:ascii="Arial" w:cs="Arial" w:eastAsia="Arial" w:hAnsi="Arial"/>
          <w:sz w:val="20"/>
          <w:szCs w:val="20"/>
          <w:color w:val="auto"/>
        </w:rPr>
        <w:t>If the Participant is a Canadian resident, the Participant’s ownership of certain foreign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shares of foreign corporations) in excess of $100,000 may be subject to ongoing annual reporting obligations. Please refer to </w:t>
      </w:r>
      <w:r>
        <w:rPr>
          <w:rFonts w:ascii="Arial" w:cs="Arial" w:eastAsia="Arial" w:hAnsi="Arial"/>
          <w:sz w:val="21"/>
          <w:szCs w:val="21"/>
          <w:u w:val="single" w:color="auto"/>
          <w:color w:val="0000FF"/>
        </w:rPr>
        <w:t>CRA</w:t>
      </w:r>
      <w:r>
        <w:rPr>
          <w:rFonts w:ascii="Arial" w:cs="Arial" w:eastAsia="Arial" w:hAnsi="Arial"/>
          <w:sz w:val="20"/>
          <w:szCs w:val="20"/>
          <w:color w:val="auto"/>
        </w:rPr>
        <w:t xml:space="preserve"> </w:t>
      </w:r>
      <w:r>
        <w:rPr>
          <w:rFonts w:ascii="Arial" w:cs="Arial" w:eastAsia="Arial" w:hAnsi="Arial"/>
          <w:sz w:val="21"/>
          <w:szCs w:val="21"/>
          <w:u w:val="single" w:color="auto"/>
          <w:color w:val="0000FF"/>
        </w:rPr>
        <w:t>Form T1135</w:t>
      </w:r>
      <w:r>
        <w:rPr>
          <w:rFonts w:ascii="Arial" w:cs="Arial" w:eastAsia="Arial" w:hAnsi="Arial"/>
          <w:sz w:val="21"/>
          <w:szCs w:val="21"/>
          <w:color w:val="0000FF"/>
        </w:rPr>
        <w:t xml:space="preserve"> </w:t>
      </w:r>
      <w:r>
        <w:rPr>
          <w:rFonts w:ascii="Arial" w:cs="Arial" w:eastAsia="Arial" w:hAnsi="Arial"/>
          <w:sz w:val="19"/>
          <w:szCs w:val="19"/>
          <w:color w:val="000000"/>
        </w:rPr>
        <w:t>(Foreign Income Verification Statement) and consult your tax advisor for further details. It is your responsibility to comply with</w:t>
      </w:r>
      <w:r>
        <w:rPr>
          <w:rFonts w:ascii="Arial" w:cs="Arial" w:eastAsia="Arial" w:hAnsi="Arial"/>
          <w:sz w:val="21"/>
          <w:szCs w:val="21"/>
          <w:color w:val="0000FF"/>
        </w:rPr>
        <w:t xml:space="preserve"> </w:t>
      </w:r>
      <w:r>
        <w:rPr>
          <w:rFonts w:ascii="Arial" w:cs="Arial" w:eastAsia="Arial" w:hAnsi="Arial"/>
          <w:sz w:val="19"/>
          <w:szCs w:val="19"/>
          <w:color w:val="000000"/>
        </w:rPr>
        <w:t>all applicable tax reporting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216"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b w:val="1"/>
          <w:bCs w:val="1"/>
          <w:color w:val="auto"/>
        </w:rPr>
        <w:t xml:space="preserve">Labor Law Statement. </w:t>
      </w:r>
      <w:r>
        <w:rPr>
          <w:rFonts w:ascii="Arial" w:cs="Arial" w:eastAsia="Arial" w:hAnsi="Arial"/>
          <w:sz w:val="20"/>
          <w:szCs w:val="20"/>
          <w:color w:val="auto"/>
        </w:rPr>
        <w:t>The invitation Dine Brands Global, Inc. is making under the Plan is unilateral and discretionary and is not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salary and other contractual benefits granted to Participant by Participant’s employer. Dine Brands Global reserves the absolute right to amend the Plan and discontinue it at any time without any liability to Participant. This invitation and, in Participant’s case, the acquisition of shares does not, in any way, establish a labor relationship between Participant and Dine Brands Global, Inc. nor does it establish any rights between Participant and Participant’s employer.</w:t>
      </w:r>
    </w:p>
    <w:p>
      <w:pPr>
        <w:spacing w:after="0" w:line="191"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La invitación que Dine Brands Global, Inc. hace en relación con el Plan es unilateral y discrecional, por lo tanto, Dine Brands Global, Inc. se reserva el derecho absoluto para modificar o terminar el mismo, sin ninguna responsabilidad para usted. Esta invitación y, en su caso, la adquisición de acciones, de ninguna manera establecen relación laboral alguna entre usted y Dine Brands Global, Inc. y tampoco establece derecho alguno entre usted y su empleador.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1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This offering is subject to exemption from the requirements of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Commission under Section 10.1 (k) of the Philippines Securities Regulation Code. </w:t>
      </w:r>
      <w:r>
        <w:rPr>
          <w:rFonts w:ascii="Arial" w:cs="Arial" w:eastAsia="Arial" w:hAnsi="Arial"/>
          <w:sz w:val="18"/>
          <w:szCs w:val="18"/>
          <w:b w:val="1"/>
          <w:bCs w:val="1"/>
          <w:color w:val="auto"/>
        </w:rPr>
        <w:t>THE SECURITIES BEING OFFERED OR</w:t>
      </w:r>
    </w:p>
    <w:p>
      <w:pPr>
        <w:spacing w:after="0" w:line="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SOLD HAVE NOT BEEN REGISTERED WITH THE PHILIPPINES SECURITIES AND EXCHANGE COMMISSION UNDER THE SECURITIES REGULATION CODE. ANY FUTURE OFFER OR SALE THEREOF IS SUBJECT TO REGISTRATION REQUIREMENTS UNDER THE CODE UNLESS SUCH OFFER OR SALE QUALIFIES AS AN EXEMPT TRANSACTION.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KMEIL/ACTIVE 213569300v.1 51134/10050 04/05/2018 12:51 PM</w:t>
      </w:r>
    </w:p>
    <w:p>
      <w:pPr>
        <w:sectPr>
          <w:pgSz w:w="11900" w:h="16838" w:orient="portrait"/>
          <w:cols w:equalWidth="0" w:num="1">
            <w:col w:w="11420"/>
          </w:cols>
          <w:pgMar w:left="240" w:top="12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Stock-Settled RSU Agreement – International Employees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DINE BRANDS GLOBAL,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STOCK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RESTRICTED STOCK UNIT AWARD AGREEMENT (“Agreement”) is entered into as of ___________ by and between DINE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BRANDS GLOBAL, INC. (formerly, DineEquity, Inc.), a Delaware corporation (the “Company”), and ___________, an employee of the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Company (the “Participant”).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This Award is subject to all of the terms and conditions set forth herein, the special provisions for Participant’s country of residence, if any,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the Plan, all of which are incorporated herein by reference. Any capitalized terms not defined herein shall have their respective meanings set forth in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foregoing and of the mutual covenants set forth herein and other good and valuable consideration, the parties hereto agree as follows:</w:t>
      </w:r>
    </w:p>
    <w:p>
      <w:pPr>
        <w:spacing w:after="0" w:line="190" w:lineRule="exact"/>
        <w:rPr>
          <w:sz w:val="20"/>
          <w:szCs w:val="20"/>
          <w:color w:val="auto"/>
        </w:rPr>
      </w:pPr>
    </w:p>
    <w:p>
      <w:pPr>
        <w:jc w:val="both"/>
        <w:ind w:firstLine="656"/>
        <w:spacing w:after="0" w:line="278" w:lineRule="auto"/>
        <w:tabs>
          <w:tab w:leader="none" w:pos="1445" w:val="left"/>
        </w:tabs>
        <w:numPr>
          <w:ilvl w:val="0"/>
          <w:numId w:val="66"/>
        </w:numPr>
        <w:rPr>
          <w:rFonts w:ascii="Arial" w:cs="Arial" w:eastAsia="Arial" w:hAnsi="Arial"/>
          <w:sz w:val="20"/>
          <w:szCs w:val="20"/>
          <w:color w:val="010000"/>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to the Participant an award of restricted stock units (the “Restricted Stock Units”). Each Restricted Stock Unit represents the right to receive one share of common stock, $.01 par value, of the Company (the “Common Stock”), subject to the terms and conditions set forth herein.</w:t>
      </w:r>
    </w:p>
    <w:p>
      <w:pPr>
        <w:spacing w:after="0" w:line="197" w:lineRule="exact"/>
        <w:rPr>
          <w:rFonts w:ascii="Arial" w:cs="Arial" w:eastAsia="Arial" w:hAnsi="Arial"/>
          <w:sz w:val="20"/>
          <w:szCs w:val="20"/>
          <w:color w:val="010000"/>
        </w:rPr>
      </w:pPr>
    </w:p>
    <w:p>
      <w:pPr>
        <w:ind w:left="1000" w:hanging="344"/>
        <w:spacing w:after="0"/>
        <w:tabs>
          <w:tab w:leader="none" w:pos="1000" w:val="left"/>
        </w:tabs>
        <w:numPr>
          <w:ilvl w:val="0"/>
          <w:numId w:val="66"/>
        </w:numPr>
        <w:rPr>
          <w:rFonts w:ascii="Arial" w:cs="Arial" w:eastAsia="Arial" w:hAnsi="Arial"/>
          <w:sz w:val="22"/>
          <w:szCs w:val="22"/>
          <w:color w:val="010000"/>
        </w:rPr>
      </w:pPr>
      <w:r>
        <w:rPr>
          <w:rFonts w:ascii="Arial" w:cs="Arial" w:eastAsia="Arial" w:hAnsi="Arial"/>
          <w:sz w:val="20"/>
          <w:szCs w:val="20"/>
          <w:u w:val="single" w:color="auto"/>
          <w:color w:val="auto"/>
        </w:rPr>
        <w:t>VESTING AND SETTLEMENT</w:t>
      </w:r>
      <w:r>
        <w:rPr>
          <w:rFonts w:ascii="Arial" w:cs="Arial" w:eastAsia="Arial" w:hAnsi="Arial"/>
          <w:sz w:val="20"/>
          <w:szCs w:val="20"/>
          <w:color w:val="auto"/>
        </w:rPr>
        <w:t>.</w:t>
      </w:r>
    </w:p>
    <w:p>
      <w:pPr>
        <w:spacing w:after="0" w:line="235"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66"/>
        </w:numPr>
        <w:rPr>
          <w:rFonts w:ascii="Arial" w:cs="Arial" w:eastAsia="Arial" w:hAnsi="Arial"/>
          <w:sz w:val="22"/>
          <w:szCs w:val="22"/>
          <w:color w:val="010000"/>
        </w:rPr>
      </w:pPr>
      <w:r>
        <w:rPr>
          <w:rFonts w:ascii="Arial" w:cs="Arial" w:eastAsia="Arial" w:hAnsi="Arial"/>
          <w:sz w:val="20"/>
          <w:szCs w:val="20"/>
          <w:u w:val="single" w:color="auto"/>
          <w:color w:val="auto"/>
        </w:rPr>
        <w:t>Service Vesting</w:t>
      </w:r>
      <w:r>
        <w:rPr>
          <w:rFonts w:ascii="Arial" w:cs="Arial" w:eastAsia="Arial" w:hAnsi="Arial"/>
          <w:sz w:val="20"/>
          <w:szCs w:val="20"/>
          <w:color w:val="auto"/>
        </w:rPr>
        <w:t>. Subject to the Participant's continuous employment with the Company, the Restricted Stock Units shall vest in accordance with the specific vesting schedule set forth on Exhibit A hereto. Restricted Stock Units that have vested in accordance with the vesting schedule set forth on Exhibit A are referred to herein as “Vested Units.” Restricted Stock Units that are not vested are referred to herein as “Unvested Units.”</w:t>
      </w:r>
    </w:p>
    <w:p>
      <w:pPr>
        <w:spacing w:after="0" w:line="210" w:lineRule="exact"/>
        <w:rPr>
          <w:rFonts w:ascii="Arial" w:cs="Arial" w:eastAsia="Arial" w:hAnsi="Arial"/>
          <w:sz w:val="22"/>
          <w:szCs w:val="22"/>
          <w:color w:val="010000"/>
        </w:rPr>
      </w:pPr>
    </w:p>
    <w:p>
      <w:pPr>
        <w:ind w:firstLine="1305"/>
        <w:spacing w:after="0" w:line="265" w:lineRule="auto"/>
        <w:tabs>
          <w:tab w:leader="none" w:pos="1877" w:val="left"/>
        </w:tabs>
        <w:numPr>
          <w:ilvl w:val="1"/>
          <w:numId w:val="66"/>
        </w:numPr>
        <w:rPr>
          <w:rFonts w:ascii="Arial" w:cs="Arial" w:eastAsia="Arial" w:hAnsi="Arial"/>
          <w:sz w:val="22"/>
          <w:szCs w:val="22"/>
          <w:color w:val="010000"/>
        </w:rPr>
      </w:pPr>
      <w:r>
        <w:rPr>
          <w:rFonts w:ascii="Arial" w:cs="Arial" w:eastAsia="Arial" w:hAnsi="Arial"/>
          <w:sz w:val="20"/>
          <w:szCs w:val="20"/>
          <w:u w:val="single" w:color="auto"/>
          <w:color w:val="auto"/>
        </w:rPr>
        <w:t>Disability or Death</w:t>
      </w:r>
      <w:r>
        <w:rPr>
          <w:rFonts w:ascii="Arial" w:cs="Arial" w:eastAsia="Arial" w:hAnsi="Arial"/>
          <w:sz w:val="20"/>
          <w:szCs w:val="20"/>
          <w:color w:val="auto"/>
        </w:rPr>
        <w:t>. If the Participant's employment with the Company terminates due to Disability or death, the Restricted Stock Units shall become immediately and fully vested and thereafter be considered Vested Units.</w:t>
      </w:r>
    </w:p>
    <w:p>
      <w:pPr>
        <w:spacing w:after="0" w:line="209"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66"/>
        </w:numPr>
        <w:rPr>
          <w:rFonts w:ascii="Arial" w:cs="Arial" w:eastAsia="Arial" w:hAnsi="Arial"/>
          <w:sz w:val="22"/>
          <w:szCs w:val="22"/>
          <w:color w:val="010000"/>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pacing w:after="0" w:line="210" w:lineRule="exact"/>
        <w:rPr>
          <w:rFonts w:ascii="Arial" w:cs="Arial" w:eastAsia="Arial" w:hAnsi="Arial"/>
          <w:sz w:val="22"/>
          <w:szCs w:val="22"/>
          <w:color w:val="010000"/>
        </w:rPr>
      </w:pPr>
    </w:p>
    <w:p>
      <w:pPr>
        <w:jc w:val="both"/>
        <w:ind w:firstLine="1305"/>
        <w:spacing w:after="0" w:line="266" w:lineRule="auto"/>
        <w:tabs>
          <w:tab w:leader="none" w:pos="1796" w:val="left"/>
        </w:tabs>
        <w:numPr>
          <w:ilvl w:val="1"/>
          <w:numId w:val="66"/>
        </w:numPr>
        <w:rPr>
          <w:rFonts w:ascii="Arial" w:cs="Arial" w:eastAsia="Arial" w:hAnsi="Arial"/>
          <w:sz w:val="22"/>
          <w:szCs w:val="22"/>
          <w:color w:val="010000"/>
        </w:rPr>
      </w:pPr>
      <w:r>
        <w:rPr>
          <w:rFonts w:ascii="Arial" w:cs="Arial" w:eastAsia="Arial" w:hAnsi="Arial"/>
          <w:sz w:val="20"/>
          <w:szCs w:val="20"/>
          <w:u w:val="single" w:color="auto"/>
          <w:color w:val="auto"/>
        </w:rPr>
        <w:t>Termination of Unvested Units</w:t>
      </w:r>
      <w:r>
        <w:rPr>
          <w:rFonts w:ascii="Arial" w:cs="Arial" w:eastAsia="Arial" w:hAnsi="Arial"/>
          <w:sz w:val="20"/>
          <w:szCs w:val="20"/>
          <w:color w:val="auto"/>
        </w:rPr>
        <w:t>. Except as set forth in Sections 2(b) and 2(c), upon the termination of the Participant's employment, any then Unvested Units held by the Participant shall be forfeited and canceled as of the date of such termination. As noted in Section 12(k) below, for the avoidance of doubt and for purposes of the Restricted Stock Units only, termination shall be deemed to occur as of the date Participant is no longer actively providing services to the Company, a Subsidiary, or other affiliated entity and will not be extended by any notice period or “garden leave” that may be required contractually or under applicable laws, unless otherwise determined by the Company in its sole discretion.</w:t>
      </w:r>
    </w:p>
    <w:p>
      <w:pPr>
        <w:spacing w:after="0" w:line="214" w:lineRule="exact"/>
        <w:rPr>
          <w:rFonts w:ascii="Arial" w:cs="Arial" w:eastAsia="Arial" w:hAnsi="Arial"/>
          <w:sz w:val="22"/>
          <w:szCs w:val="22"/>
          <w:color w:val="010000"/>
        </w:rPr>
      </w:pPr>
    </w:p>
    <w:p>
      <w:pPr>
        <w:jc w:val="both"/>
        <w:ind w:firstLine="1305"/>
        <w:spacing w:after="0" w:line="313" w:lineRule="auto"/>
        <w:tabs>
          <w:tab w:leader="none" w:pos="1743" w:val="left"/>
        </w:tabs>
        <w:numPr>
          <w:ilvl w:val="1"/>
          <w:numId w:val="66"/>
        </w:numPr>
        <w:rPr>
          <w:rFonts w:ascii="Arial" w:cs="Arial" w:eastAsia="Arial" w:hAnsi="Arial"/>
          <w:sz w:val="19"/>
          <w:szCs w:val="19"/>
          <w:color w:val="010000"/>
        </w:rPr>
      </w:pPr>
      <w:r>
        <w:rPr>
          <w:rFonts w:ascii="Arial" w:cs="Arial" w:eastAsia="Arial" w:hAnsi="Arial"/>
          <w:sz w:val="18"/>
          <w:szCs w:val="18"/>
          <w:u w:val="single" w:color="auto"/>
          <w:color w:val="auto"/>
        </w:rPr>
        <w:t>Settlement of Vested Units</w:t>
      </w:r>
      <w:r>
        <w:rPr>
          <w:rFonts w:ascii="Arial" w:cs="Arial" w:eastAsia="Arial" w:hAnsi="Arial"/>
          <w:sz w:val="18"/>
          <w:szCs w:val="18"/>
          <w:color w:val="auto"/>
        </w:rPr>
        <w:t>. The Vested Units shall be settled by the delivery to the Participant or a designated brokerage firm of one share of Common Stock per Vested Unit within thirty (30) days after the vesting of such Restricted Stock Units as set forth on Exhibit A, or upon accelerated vesting as set forth in this Section 2. No fractional shares will be issued under this Agreement.</w:t>
      </w:r>
    </w:p>
    <w:p>
      <w:pPr>
        <w:spacing w:after="0" w:line="174" w:lineRule="exact"/>
        <w:rPr>
          <w:rFonts w:ascii="Arial" w:cs="Arial" w:eastAsia="Arial" w:hAnsi="Arial"/>
          <w:sz w:val="19"/>
          <w:szCs w:val="19"/>
          <w:color w:val="010000"/>
        </w:rPr>
      </w:pPr>
    </w:p>
    <w:p>
      <w:pPr>
        <w:jc w:val="both"/>
        <w:ind w:firstLine="656"/>
        <w:spacing w:after="0" w:line="266" w:lineRule="auto"/>
        <w:tabs>
          <w:tab w:leader="none" w:pos="1017" w:val="left"/>
        </w:tabs>
        <w:numPr>
          <w:ilvl w:val="0"/>
          <w:numId w:val="66"/>
        </w:numPr>
        <w:rPr>
          <w:rFonts w:ascii="Arial" w:cs="Arial" w:eastAsia="Arial" w:hAnsi="Arial"/>
          <w:sz w:val="22"/>
          <w:szCs w:val="22"/>
          <w:color w:val="010000"/>
        </w:rPr>
      </w:pPr>
      <w:r>
        <w:rPr>
          <w:rFonts w:ascii="Arial" w:cs="Arial" w:eastAsia="Arial" w:hAnsi="Arial"/>
          <w:sz w:val="20"/>
          <w:szCs w:val="20"/>
          <w:u w:val="single" w:color="auto"/>
          <w:color w:val="auto"/>
        </w:rPr>
        <w:t>ADJUSTMENT IN COMMON STOCK</w:t>
      </w:r>
      <w:r>
        <w:rPr>
          <w:rFonts w:ascii="Arial" w:cs="Arial" w:eastAsia="Arial" w:hAnsi="Arial"/>
          <w:sz w:val="20"/>
          <w:szCs w:val="20"/>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214" w:lineRule="exact"/>
        <w:rPr>
          <w:rFonts w:ascii="Arial" w:cs="Arial" w:eastAsia="Arial" w:hAnsi="Arial"/>
          <w:sz w:val="22"/>
          <w:szCs w:val="22"/>
          <w:color w:val="010000"/>
        </w:rPr>
      </w:pPr>
    </w:p>
    <w:p>
      <w:pPr>
        <w:jc w:val="both"/>
        <w:ind w:firstLine="656"/>
        <w:spacing w:after="0" w:line="334" w:lineRule="auto"/>
        <w:tabs>
          <w:tab w:leader="none" w:pos="1004" w:val="left"/>
        </w:tabs>
        <w:numPr>
          <w:ilvl w:val="0"/>
          <w:numId w:val="66"/>
        </w:numPr>
        <w:rPr>
          <w:rFonts w:ascii="Arial" w:cs="Arial" w:eastAsia="Arial" w:hAnsi="Arial"/>
          <w:sz w:val="19"/>
          <w:szCs w:val="19"/>
          <w:color w:val="010000"/>
        </w:rPr>
      </w:pPr>
      <w:r>
        <w:rPr>
          <w:rFonts w:ascii="Arial" w:cs="Arial" w:eastAsia="Arial" w:hAnsi="Arial"/>
          <w:sz w:val="18"/>
          <w:szCs w:val="18"/>
          <w:u w:val="single" w:color="auto"/>
          <w:color w:val="auto"/>
        </w:rPr>
        <w:t>NON-TRANSFERABILITY OF AWARD</w:t>
      </w:r>
      <w:r>
        <w:rPr>
          <w:rFonts w:ascii="Arial" w:cs="Arial" w:eastAsia="Arial" w:hAnsi="Arial"/>
          <w:sz w:val="18"/>
          <w:szCs w:val="18"/>
          <w:color w:val="auto"/>
        </w:rPr>
        <w:t>. The Award and this Agreement shall not be transferable other than by will, the laws of descent and distribution, or pursuant to beneficiary designation procedures approved by the Company. Notwithstanding the foregoing, the</w:t>
      </w:r>
    </w:p>
    <w:p>
      <w:pPr>
        <w:sectPr>
          <w:pgSz w:w="11900" w:h="16838" w:orient="portrait"/>
          <w:cols w:equalWidth="0" w:num="1">
            <w:col w:w="11420"/>
          </w:cols>
          <w:pgMar w:left="240" w:top="126" w:right="239" w:bottom="0" w:gutter="0" w:footer="0" w:header="0"/>
        </w:sectPr>
      </w:pPr>
    </w:p>
    <w:bookmarkStart w:id="74" w:name="page75"/>
    <w:bookmarkEnd w:id="74"/>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97" w:lineRule="exact"/>
        <w:rPr>
          <w:sz w:val="20"/>
          <w:szCs w:val="20"/>
          <w:color w:val="auto"/>
        </w:rPr>
      </w:pPr>
    </w:p>
    <w:p>
      <w:pPr>
        <w:jc w:val="both"/>
        <w:ind w:firstLine="656"/>
        <w:spacing w:after="0" w:line="300" w:lineRule="auto"/>
        <w:tabs>
          <w:tab w:leader="none" w:pos="1017" w:val="left"/>
        </w:tabs>
        <w:numPr>
          <w:ilvl w:val="0"/>
          <w:numId w:val="67"/>
        </w:numPr>
        <w:rPr>
          <w:rFonts w:ascii="Arial" w:cs="Arial" w:eastAsia="Arial" w:hAnsi="Arial"/>
          <w:sz w:val="19"/>
          <w:szCs w:val="19"/>
          <w:color w:val="010000"/>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5" w:lineRule="exact"/>
        <w:rPr>
          <w:rFonts w:ascii="Arial" w:cs="Arial" w:eastAsia="Arial" w:hAnsi="Arial"/>
          <w:sz w:val="19"/>
          <w:szCs w:val="19"/>
          <w:color w:val="010000"/>
        </w:rPr>
      </w:pPr>
    </w:p>
    <w:p>
      <w:pPr>
        <w:jc w:val="both"/>
        <w:ind w:firstLine="656"/>
        <w:spacing w:after="0" w:line="266" w:lineRule="auto"/>
        <w:tabs>
          <w:tab w:leader="none" w:pos="1058" w:val="left"/>
        </w:tabs>
        <w:numPr>
          <w:ilvl w:val="0"/>
          <w:numId w:val="67"/>
        </w:numPr>
        <w:rPr>
          <w:rFonts w:ascii="Arial" w:cs="Arial" w:eastAsia="Arial" w:hAnsi="Arial"/>
          <w:sz w:val="22"/>
          <w:szCs w:val="22"/>
          <w:color w:val="010000"/>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212" w:lineRule="exact"/>
        <w:rPr>
          <w:rFonts w:ascii="Arial" w:cs="Arial" w:eastAsia="Arial" w:hAnsi="Arial"/>
          <w:sz w:val="22"/>
          <w:szCs w:val="22"/>
          <w:color w:val="010000"/>
        </w:rPr>
      </w:pPr>
    </w:p>
    <w:p>
      <w:pPr>
        <w:jc w:val="both"/>
        <w:ind w:firstLine="656"/>
        <w:spacing w:after="0" w:line="282" w:lineRule="auto"/>
        <w:tabs>
          <w:tab w:leader="none" w:pos="1071" w:val="left"/>
        </w:tabs>
        <w:numPr>
          <w:ilvl w:val="0"/>
          <w:numId w:val="67"/>
        </w:numPr>
        <w:rPr>
          <w:rFonts w:ascii="Arial" w:cs="Arial" w:eastAsia="Arial" w:hAnsi="Arial"/>
          <w:sz w:val="21"/>
          <w:szCs w:val="21"/>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21"/>
          <w:szCs w:val="21"/>
          <w:color w:val="010000"/>
        </w:rPr>
      </w:pPr>
    </w:p>
    <w:p>
      <w:pPr>
        <w:ind w:right="20" w:firstLine="656"/>
        <w:spacing w:after="0" w:line="265" w:lineRule="auto"/>
        <w:tabs>
          <w:tab w:leader="none" w:pos="1017" w:val="left"/>
        </w:tabs>
        <w:numPr>
          <w:ilvl w:val="0"/>
          <w:numId w:val="67"/>
        </w:numPr>
        <w:rPr>
          <w:rFonts w:ascii="Arial" w:cs="Arial" w:eastAsia="Arial" w:hAnsi="Arial"/>
          <w:sz w:val="22"/>
          <w:szCs w:val="22"/>
          <w:color w:val="010000"/>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the Company to enforce at any time any provision of this Agreement shall in no way be construed to be a waiver of such provision or of any other provision hereof.</w:t>
      </w:r>
    </w:p>
    <w:p>
      <w:pPr>
        <w:spacing w:after="0" w:line="209" w:lineRule="exact"/>
        <w:rPr>
          <w:rFonts w:ascii="Arial" w:cs="Arial" w:eastAsia="Arial" w:hAnsi="Arial"/>
          <w:sz w:val="22"/>
          <w:szCs w:val="22"/>
          <w:color w:val="010000"/>
        </w:rPr>
      </w:pPr>
    </w:p>
    <w:p>
      <w:pPr>
        <w:jc w:val="both"/>
        <w:ind w:firstLine="656"/>
        <w:spacing w:after="0" w:line="299" w:lineRule="auto"/>
        <w:tabs>
          <w:tab w:leader="none" w:pos="1017" w:val="left"/>
        </w:tabs>
        <w:numPr>
          <w:ilvl w:val="0"/>
          <w:numId w:val="67"/>
        </w:numPr>
        <w:rPr>
          <w:rFonts w:ascii="Arial" w:cs="Arial" w:eastAsia="Arial" w:hAnsi="Arial"/>
          <w:sz w:val="19"/>
          <w:szCs w:val="19"/>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require, prior to the issuance or delivery of any shares of Common Stock pursuant to the Award, payment by the Participant of any taxes, social contributions, required deductions, or other payments (“Tax-Related Items”) which may be required to be withheld or paid in connection with the Award or the Common Stock, and the Participant agrees to indemnify the Company, Subsidiary, or affiliate for any such Tax-Related Items.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subject to the Committee’s discretion: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 Regardless of any action the Company or any Subsidiary or affiliate takes with respect to any or all applicable Tax-Related Items, the Participant acknowledges and agrees that the ultimate liability for all Tax-Related Items is and remains the Participant’s responsibility and</w:t>
      </w:r>
    </w:p>
    <w:p>
      <w:pPr>
        <w:sectPr>
          <w:pgSz w:w="11900" w:h="16918" w:orient="portrait"/>
          <w:cols w:equalWidth="0" w:num="1">
            <w:col w:w="11420"/>
          </w:cols>
          <w:pgMar w:left="240" w:top="136" w:right="239" w:bottom="0" w:gutter="0" w:footer="0" w:header="0"/>
        </w:sectPr>
      </w:pPr>
    </w:p>
    <w:bookmarkStart w:id="75" w:name="page76"/>
    <w:bookmarkEnd w:id="75"/>
    <w:p>
      <w:pPr>
        <w:jc w:val="both"/>
        <w:spacing w:after="0" w:line="303" w:lineRule="auto"/>
        <w:rPr>
          <w:sz w:val="20"/>
          <w:szCs w:val="20"/>
          <w:color w:val="auto"/>
        </w:rPr>
      </w:pPr>
      <w:r>
        <w:rPr>
          <w:rFonts w:ascii="Arial" w:cs="Arial" w:eastAsia="Arial" w:hAnsi="Arial"/>
          <w:sz w:val="18"/>
          <w:szCs w:val="18"/>
          <w:color w:val="auto"/>
        </w:rPr>
        <w:t>may exceed any amount actually withheld by the Company or any Subsidiary or affiliate. The Participant further acknowledges and agrees that the Participant is solely responsible for filing all relevant documentation that may be required of Participant in relation to this Award or any Tax-Related Items other than filings or documentation, such as but not limited to personal income tax returns or reporting statements in relation to the grant or vesting of the Award, the issuance or ownership of Common Stock or any bank or brokerage account, the subsequent sale of Common Stock, and the receipt of any dividends. The Participant further acknowledges that the Company makes no representations or undertakings regarding the treatment of any Tax-Related Items and does not commit to and is under no obligation to structure the terms or any aspect of the Award to reduce or eliminate the Participant’s liability for Tax-Related Items or achieve any particular tax result. Further, if the Participant has become subject to tax in more than one jurisdiction, the Participant acknowledges that the Company or any Subsidiary or affiliate may be required to withhold or account for Tax-Related Items in more than one jurisdiction.</w:t>
      </w:r>
    </w:p>
    <w:p>
      <w:pPr>
        <w:spacing w:after="0" w:line="187" w:lineRule="exact"/>
        <w:rPr>
          <w:sz w:val="20"/>
          <w:szCs w:val="20"/>
          <w:color w:val="auto"/>
        </w:rPr>
      </w:pPr>
    </w:p>
    <w:p>
      <w:pPr>
        <w:ind w:firstLine="656"/>
        <w:spacing w:after="0" w:line="265" w:lineRule="auto"/>
        <w:tabs>
          <w:tab w:leader="none" w:pos="1166" w:val="left"/>
        </w:tabs>
        <w:numPr>
          <w:ilvl w:val="0"/>
          <w:numId w:val="68"/>
        </w:numPr>
        <w:rPr>
          <w:rFonts w:ascii="Arial" w:cs="Arial" w:eastAsia="Arial" w:hAnsi="Arial"/>
          <w:sz w:val="22"/>
          <w:szCs w:val="22"/>
          <w:color w:val="010000"/>
        </w:rPr>
      </w:pPr>
      <w:r>
        <w:rPr>
          <w:rFonts w:ascii="Arial" w:cs="Arial" w:eastAsia="Arial" w:hAnsi="Arial"/>
          <w:sz w:val="20"/>
          <w:szCs w:val="20"/>
          <w:u w:val="single" w:color="auto"/>
          <w:color w:val="auto"/>
        </w:rPr>
        <w:t>INCORPORATION OF PLAN</w:t>
      </w:r>
      <w:r>
        <w:rPr>
          <w:rFonts w:ascii="Arial" w:cs="Arial" w:eastAsia="Arial" w:hAnsi="Arial"/>
          <w:sz w:val="20"/>
          <w:szCs w:val="20"/>
          <w:color w:val="auto"/>
        </w:rPr>
        <w:t>. The Plan is hereby incorporated by reference and made a part hereof, and the Award and this Agreement are subject to all terms and conditions of the Plan.</w:t>
      </w:r>
    </w:p>
    <w:p>
      <w:pPr>
        <w:spacing w:after="0" w:line="209" w:lineRule="exact"/>
        <w:rPr>
          <w:rFonts w:ascii="Arial" w:cs="Arial" w:eastAsia="Arial" w:hAnsi="Arial"/>
          <w:sz w:val="22"/>
          <w:szCs w:val="22"/>
          <w:color w:val="010000"/>
        </w:rPr>
      </w:pPr>
    </w:p>
    <w:p>
      <w:pPr>
        <w:ind w:firstLine="656"/>
        <w:spacing w:after="0" w:line="265" w:lineRule="auto"/>
        <w:tabs>
          <w:tab w:leader="none" w:pos="1198" w:val="left"/>
        </w:tabs>
        <w:numPr>
          <w:ilvl w:val="0"/>
          <w:numId w:val="68"/>
        </w:numPr>
        <w:rPr>
          <w:rFonts w:ascii="Arial" w:cs="Arial" w:eastAsia="Arial" w:hAnsi="Arial"/>
          <w:sz w:val="22"/>
          <w:szCs w:val="22"/>
          <w:color w:val="010000"/>
        </w:rPr>
      </w:pPr>
      <w:r>
        <w:rPr>
          <w:rFonts w:ascii="Arial" w:cs="Arial" w:eastAsia="Arial" w:hAnsi="Arial"/>
          <w:sz w:val="20"/>
          <w:szCs w:val="20"/>
          <w:u w:val="single" w:color="auto"/>
          <w:color w:val="auto"/>
        </w:rPr>
        <w:t>EMPLOYMENT</w:t>
      </w:r>
      <w:r>
        <w:rPr>
          <w:rFonts w:ascii="Arial" w:cs="Arial" w:eastAsia="Arial" w:hAnsi="Arial"/>
          <w:sz w:val="20"/>
          <w:szCs w:val="20"/>
          <w:color w:val="auto"/>
        </w:rPr>
        <w:t>. For purposes of this Agreement, references to employment shall include employment or service with any Subsidiary of the Company.</w:t>
      </w:r>
    </w:p>
    <w:p>
      <w:pPr>
        <w:spacing w:after="0" w:line="206" w:lineRule="exact"/>
        <w:rPr>
          <w:rFonts w:ascii="Arial" w:cs="Arial" w:eastAsia="Arial" w:hAnsi="Arial"/>
          <w:sz w:val="22"/>
          <w:szCs w:val="22"/>
          <w:color w:val="010000"/>
        </w:rPr>
      </w:pPr>
    </w:p>
    <w:p>
      <w:pPr>
        <w:ind w:left="1100" w:hanging="444"/>
        <w:spacing w:after="0"/>
        <w:tabs>
          <w:tab w:leader="none" w:pos="1100" w:val="left"/>
        </w:tabs>
        <w:numPr>
          <w:ilvl w:val="0"/>
          <w:numId w:val="68"/>
        </w:numPr>
        <w:rPr>
          <w:rFonts w:ascii="Arial" w:cs="Arial" w:eastAsia="Arial" w:hAnsi="Arial"/>
          <w:sz w:val="22"/>
          <w:szCs w:val="22"/>
          <w:color w:val="010000"/>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Award, the Participant acknowledges, understands and agrees that:</w:t>
      </w:r>
    </w:p>
    <w:p>
      <w:pPr>
        <w:spacing w:after="0" w:line="200" w:lineRule="exact"/>
        <w:rPr>
          <w:sz w:val="20"/>
          <w:szCs w:val="20"/>
          <w:color w:val="auto"/>
        </w:rPr>
      </w:pPr>
    </w:p>
    <w:p>
      <w:pPr>
        <w:spacing w:after="0" w:line="238" w:lineRule="exact"/>
        <w:rPr>
          <w:sz w:val="20"/>
          <w:szCs w:val="20"/>
          <w:color w:val="auto"/>
        </w:rPr>
      </w:pPr>
    </w:p>
    <w:p>
      <w:pPr>
        <w:ind w:right="20" w:firstLine="1297"/>
        <w:spacing w:after="0" w:line="289" w:lineRule="auto"/>
        <w:rPr>
          <w:sz w:val="20"/>
          <w:szCs w:val="20"/>
          <w:color w:val="auto"/>
        </w:rPr>
      </w:pPr>
      <w:r>
        <w:rPr>
          <w:rFonts w:ascii="Arial" w:cs="Arial" w:eastAsia="Arial" w:hAnsi="Arial"/>
          <w:sz w:val="20"/>
          <w:szCs w:val="20"/>
          <w:color w:val="auto"/>
        </w:rPr>
        <w:t>(a) the Plan is established voluntarily by the Company, it is discretionary in nature, and it may be modified, amended or terminated by the Company at any time, to the extent permitted by the Plan;</w:t>
      </w:r>
    </w:p>
    <w:p>
      <w:pPr>
        <w:spacing w:after="0" w:line="175"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grant of the Restricted Stock Units is voluntary and occasional and does not create any contractual or</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other right to receive future grants of Restricted Stock Units, or benefits in lieu of Restricted Stock Units, even if Restricted Stock Units have been granted in the past;</w:t>
      </w:r>
    </w:p>
    <w:p>
      <w:pPr>
        <w:sectPr>
          <w:pgSz w:w="11900" w:h="16838" w:orient="portrait"/>
          <w:cols w:equalWidth="0" w:num="1">
            <w:col w:w="11420"/>
          </w:cols>
          <w:pgMar w:left="240" w:top="136" w:right="239" w:bottom="0" w:gutter="0" w:footer="0" w:header="0"/>
        </w:sectPr>
      </w:pPr>
    </w:p>
    <w:p>
      <w:pPr>
        <w:spacing w:after="0" w:line="17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decisions with respect to future grants of Restricted Stock Units, if any, will be at the sole discretion of</w:t>
      </w:r>
    </w:p>
    <w:p>
      <w:pPr>
        <w:spacing w:after="0" w:line="50" w:lineRule="exact"/>
        <w:rPr>
          <w:sz w:val="20"/>
          <w:szCs w:val="20"/>
          <w:color w:val="auto"/>
        </w:rPr>
      </w:pPr>
    </w:p>
    <w:p>
      <w:pPr>
        <w:sectPr>
          <w:pgSz w:w="11900" w:h="16838" w:orient="portrait"/>
          <w:cols w:equalWidth="0" w:num="2">
            <w:col w:w="2100" w:space="720"/>
            <w:col w:w="8600"/>
          </w:cols>
          <w:pgMar w:left="240" w:top="136" w:right="239" w:bottom="0" w:gutter="0" w:footer="0" w:header="0"/>
          <w:type w:val="continuous"/>
        </w:sectPr>
      </w:pPr>
    </w:p>
    <w:p>
      <w:pPr>
        <w:spacing w:after="0"/>
        <w:rPr>
          <w:sz w:val="20"/>
          <w:szCs w:val="20"/>
          <w:color w:val="auto"/>
        </w:rPr>
      </w:pPr>
      <w:r>
        <w:rPr>
          <w:rFonts w:ascii="Arial" w:cs="Arial" w:eastAsia="Arial" w:hAnsi="Arial"/>
          <w:sz w:val="16"/>
          <w:szCs w:val="16"/>
          <w:color w:val="auto"/>
        </w:rPr>
        <w:t>the Company;</w:t>
      </w:r>
    </w:p>
    <w:p>
      <w:pPr>
        <w:sectPr>
          <w:pgSz w:w="11900" w:h="16838" w:orient="portrait"/>
          <w:cols w:equalWidth="0" w:num="1">
            <w:col w:w="11420"/>
          </w:cols>
          <w:pgMar w:left="240" w:top="136" w:right="239" w:bottom="0" w:gutter="0" w:footer="0" w:header="0"/>
          <w:type w:val="continuous"/>
        </w:sectPr>
      </w:pPr>
    </w:p>
    <w:p>
      <w:pPr>
        <w:spacing w:after="0" w:line="289"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is voluntarily participating in the Plan;</w:t>
      </w:r>
    </w:p>
    <w:p>
      <w:pPr>
        <w:spacing w:after="0" w:line="211" w:lineRule="exact"/>
        <w:rPr>
          <w:sz w:val="20"/>
          <w:szCs w:val="20"/>
          <w:color w:val="auto"/>
        </w:rPr>
      </w:pPr>
    </w:p>
    <w:p>
      <w:pPr>
        <w:sectPr>
          <w:pgSz w:w="11900" w:h="16838" w:orient="portrait"/>
          <w:cols w:equalWidth="0" w:num="2">
            <w:col w:w="2120" w:space="720"/>
            <w:col w:w="8580"/>
          </w:cols>
          <w:pgMar w:left="240" w:top="136" w:right="239" w:bottom="0" w:gutter="0" w:footer="0" w:header="0"/>
          <w:type w:val="continuous"/>
        </w:sectPr>
      </w:pPr>
    </w:p>
    <w:p>
      <w:pPr>
        <w:spacing w:after="0" w:line="54"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Participant’s participation in the Plan shall not create a right to further employment or to otherwise</w:t>
      </w:r>
    </w:p>
    <w:p>
      <w:pPr>
        <w:sectPr>
          <w:pgSz w:w="11900" w:h="16838" w:orient="portrait"/>
          <w:cols w:equalWidth="0" w:num="1">
            <w:col w:w="11420"/>
          </w:cols>
          <w:pgMar w:left="240" w:top="136" w:right="239" w:bottom="0" w:gutter="0" w:footer="0" w:header="0"/>
          <w:type w:val="continuous"/>
        </w:sectPr>
      </w:pPr>
    </w:p>
    <w:p>
      <w:pPr>
        <w:spacing w:after="0" w:line="38"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remain associated with the Company or any of its affiliates and shall not interfere with the ability of the Company or any of its affiliates to terminate the Participant’s employment or service relationship (if any) at any time, subject to applicable law;</w:t>
      </w:r>
    </w:p>
    <w:p>
      <w:pPr>
        <w:sectPr>
          <w:pgSz w:w="11900" w:h="16838" w:orient="portrait"/>
          <w:cols w:equalWidth="0" w:num="1">
            <w:col w:w="11420"/>
          </w:cols>
          <w:pgMar w:left="240" w:top="136" w:right="239" w:bottom="0" w:gutter="0" w:footer="0" w:header="0"/>
          <w:type w:val="continuous"/>
        </w:sectPr>
      </w:pPr>
    </w:p>
    <w:p>
      <w:pPr>
        <w:spacing w:after="0" w:line="175" w:lineRule="exact"/>
        <w:rPr>
          <w:sz w:val="20"/>
          <w:szCs w:val="20"/>
          <w:color w:val="auto"/>
        </w:rPr>
      </w:pPr>
    </w:p>
    <w:p>
      <w:pPr>
        <w:jc w:val="center"/>
        <w:ind w:left="72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Award and any shares of Common Stock subject to the Award are not intended to replace any pension</w:t>
      </w:r>
    </w:p>
    <w:p>
      <w:pPr>
        <w:spacing w:after="0" w:line="49" w:lineRule="exact"/>
        <w:rPr>
          <w:sz w:val="20"/>
          <w:szCs w:val="20"/>
          <w:color w:val="auto"/>
        </w:rPr>
      </w:pPr>
    </w:p>
    <w:p>
      <w:pPr>
        <w:sectPr>
          <w:pgSz w:w="11900" w:h="16838" w:orient="portrait"/>
          <w:cols w:equalWidth="0" w:num="2">
            <w:col w:w="2080" w:space="720"/>
            <w:col w:w="8620"/>
          </w:cols>
          <w:pgMar w:left="240" w:top="136" w:right="239" w:bottom="0" w:gutter="0" w:footer="0" w:header="0"/>
          <w:type w:val="continuous"/>
        </w:sectPr>
      </w:pPr>
    </w:p>
    <w:p>
      <w:pPr>
        <w:spacing w:after="0"/>
        <w:rPr>
          <w:sz w:val="20"/>
          <w:szCs w:val="20"/>
          <w:color w:val="auto"/>
        </w:rPr>
      </w:pPr>
      <w:r>
        <w:rPr>
          <w:rFonts w:ascii="Arial" w:cs="Arial" w:eastAsia="Arial" w:hAnsi="Arial"/>
          <w:sz w:val="20"/>
          <w:szCs w:val="20"/>
          <w:color w:val="auto"/>
        </w:rPr>
        <w:t>rights;</w:t>
      </w:r>
    </w:p>
    <w:p>
      <w:pPr>
        <w:spacing w:after="0" w:line="243"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in the event that the Participant is not an employee of the Company or any Subsidiary or affiliate, the Award</w:t>
      </w:r>
    </w:p>
    <w:p>
      <w:pPr>
        <w:sectPr>
          <w:pgSz w:w="11900" w:h="16838" w:orient="portrait"/>
          <w:cols w:equalWidth="0" w:num="1">
            <w:col w:w="11420"/>
          </w:cols>
          <w:pgMar w:left="240" w:top="136" w:right="239" w:bottom="0" w:gutter="0" w:footer="0" w:header="0"/>
          <w:type w:val="continuous"/>
        </w:sectPr>
      </w:pP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and the Participant’s participation in the Plan will not be interpreted to form an employment or service contract or relationship with the Company or any Subsidiary or affiliate;</w:t>
      </w:r>
    </w:p>
    <w:p>
      <w:pPr>
        <w:spacing w:after="0" w:line="175"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19"/>
          <w:szCs w:val="19"/>
          <w:color w:val="auto"/>
        </w:rPr>
        <w:t>(h) the Award and any shares of Common Stock subject to the Award are not part of normal or expected compensation or salary for any purpose, including but not limited to calculating any severance, resignation, termination, redundancy, dismissal, end of service payments, bonuses, long-service awards, pension or retirement or welfare benefits or similar payments (if any);</w:t>
      </w:r>
    </w:p>
    <w:p>
      <w:pPr>
        <w:sectPr>
          <w:pgSz w:w="11900" w:h="16838" w:orient="portrait"/>
          <w:cols w:equalWidth="0" w:num="1">
            <w:col w:w="11420"/>
          </w:cols>
          <w:pgMar w:left="240" w:top="136" w:right="239" w:bottom="0" w:gutter="0" w:footer="0" w:header="0"/>
          <w:type w:val="continuous"/>
        </w:sectPr>
      </w:pPr>
    </w:p>
    <w:p>
      <w:pPr>
        <w:spacing w:after="0" w:line="169" w:lineRule="exact"/>
        <w:rPr>
          <w:sz w:val="20"/>
          <w:szCs w:val="20"/>
          <w:color w:val="auto"/>
        </w:rPr>
      </w:pPr>
    </w:p>
    <w:p>
      <w:pPr>
        <w:jc w:val="center"/>
        <w:ind w:left="40"/>
        <w:spacing w:after="0"/>
        <w:rPr>
          <w:sz w:val="20"/>
          <w:szCs w:val="20"/>
          <w:color w:val="auto"/>
        </w:rPr>
      </w:pPr>
      <w:r>
        <w:rPr>
          <w:rFonts w:ascii="Arial" w:cs="Arial" w:eastAsia="Arial" w:hAnsi="Arial"/>
          <w:sz w:val="20"/>
          <w:szCs w:val="20"/>
          <w:color w:val="auto"/>
        </w:rPr>
        <w:t>(i)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cannot be predicted with certainty;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the future value of the shares of Common Stock subject to the Award is unknown, indeterminable and</w:t>
      </w:r>
    </w:p>
    <w:p>
      <w:pPr>
        <w:spacing w:after="0" w:line="445" w:lineRule="exact"/>
        <w:rPr>
          <w:sz w:val="20"/>
          <w:szCs w:val="20"/>
          <w:color w:val="auto"/>
        </w:rPr>
      </w:pPr>
    </w:p>
    <w:p>
      <w:pPr>
        <w:sectPr>
          <w:pgSz w:w="11900" w:h="16838" w:orient="portrait"/>
          <w:cols w:equalWidth="0" w:num="2">
            <w:col w:w="2760" w:space="20"/>
            <w:col w:w="8640"/>
          </w:cols>
          <w:pgMar w:left="240" w:top="136" w:right="239" w:bottom="0" w:gutter="0" w:footer="0" w:header="0"/>
          <w:type w:val="continuous"/>
        </w:sectPr>
      </w:pPr>
    </w:p>
    <w:p>
      <w:pPr>
        <w:spacing w:after="0" w:line="79" w:lineRule="exact"/>
        <w:rPr>
          <w:sz w:val="20"/>
          <w:szCs w:val="20"/>
          <w:color w:val="auto"/>
        </w:rPr>
      </w:pPr>
    </w:p>
    <w:p>
      <w:pPr>
        <w:jc w:val="both"/>
        <w:ind w:firstLine="1305"/>
        <w:spacing w:after="0" w:line="302" w:lineRule="auto"/>
        <w:tabs>
          <w:tab w:leader="none" w:pos="1604" w:val="left"/>
        </w:tabs>
        <w:numPr>
          <w:ilvl w:val="0"/>
          <w:numId w:val="69"/>
        </w:numPr>
        <w:rPr>
          <w:rFonts w:ascii="Arial" w:cs="Arial" w:eastAsia="Arial" w:hAnsi="Arial"/>
          <w:sz w:val="19"/>
          <w:szCs w:val="19"/>
          <w:color w:val="auto"/>
        </w:rPr>
      </w:pPr>
      <w:r>
        <w:rPr>
          <w:rFonts w:ascii="Arial" w:cs="Arial" w:eastAsia="Arial" w:hAnsi="Arial"/>
          <w:sz w:val="18"/>
          <w:szCs w:val="18"/>
          <w:color w:val="auto"/>
        </w:rPr>
        <w:t>no claim or entitlement to compensation or damages shall arise from forfeiture of the Restricted Stock Units resulting from the Participant ceasing to provide services to the Company or any of its affiliates (for any reason whatsoever and whether or not later found to be invalid or in breach of employment laws in the jurisdiction where the Participant is employed or the terms of the Participant’s employment agreement, if any) and in consideration of the grant of the Award to which the Participant is otherwise not entitled, the Participant irrevocably agrees never to institute any claim against the Company or any of its affiliates, waives his or her ability, if any, to bring any such claim, and releases the Company and each of its affiliates from any such claim;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claims;</w:t>
      </w:r>
    </w:p>
    <w:p>
      <w:pPr>
        <w:spacing w:after="0" w:line="17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(j) in the event of a termination of employment (whether or not later found to be invalid or in breach of employment laws in the jurisdiction where the Participant is employed or the terms of the Participant’s employment agreement, if any), unless otherwise provided by this Agreement or determined by the Company, the Participant’s right to receive and vest in Restricted Stock Units under the Plan, if any, will terminate effective as of the date that the Participant is no longer actively providing services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Award;</w:t>
      </w:r>
    </w:p>
    <w:p>
      <w:pPr>
        <w:sectPr>
          <w:pgSz w:w="11900" w:h="16838" w:orient="portrait"/>
          <w:cols w:equalWidth="0" w:num="1">
            <w:col w:w="11420"/>
          </w:cols>
          <w:pgMar w:left="240" w:top="136" w:right="239" w:bottom="0" w:gutter="0" w:footer="0" w:header="0"/>
          <w:type w:val="continuous"/>
        </w:sectPr>
      </w:pPr>
    </w:p>
    <w:bookmarkStart w:id="76" w:name="page77"/>
    <w:bookmarkEnd w:id="76"/>
    <w:p>
      <w:pPr>
        <w:spacing w:after="0" w:line="2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0"/>
          <w:szCs w:val="20"/>
          <w:color w:val="auto"/>
        </w:rPr>
        <w:t>(k) unless otherwise provided in the Plan or by the Company in its discretion, the Award and the benefits evidenced by this Agreement do not create any entitlement to have the Plan or any such benefits granted thereunder, transferred to, or assumed by, another company nor to be exchanged, cashed out or substituted for, in connection with any corporate transaction affecting the shares of Common Stock; and</w:t>
      </w:r>
    </w:p>
    <w:p>
      <w:pPr>
        <w:spacing w:after="0" w:line="19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0"/>
          <w:szCs w:val="20"/>
          <w:color w:val="auto"/>
        </w:rPr>
        <w:t>(l) neither the Company nor any of its affiliates will be liable for any foreign exchange rate fluctuation between the Participant’s local currency and the United States dollar that may affect the value of the Restricted Stock Units, the Common Stock, or any amounts due to the Participant pursuant to the vesting of the Restricted Stock Units or the subsequent sale of any shares of Common Stock acquired under the Plan, or the calculation of income or Tax-Related Items under the Award; and</w:t>
      </w:r>
    </w:p>
    <w:p>
      <w:pPr>
        <w:spacing w:after="0" w:line="192"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0"/>
          <w:szCs w:val="20"/>
          <w:color w:val="auto"/>
        </w:rPr>
        <w:t>(m) any cross-border cash remittance made to transfer proceeds received upon the sale of Common Stock or otherwise in relation to the Award must be made through a locally authorized financial institution or registered foreign exchange agency and may require the Participant to provide to such entity certain information regarding the transaction.</w:t>
      </w:r>
    </w:p>
    <w:p>
      <w:pPr>
        <w:spacing w:after="0" w:line="214" w:lineRule="exact"/>
        <w:rPr>
          <w:sz w:val="20"/>
          <w:szCs w:val="20"/>
          <w:color w:val="auto"/>
        </w:rPr>
      </w:pPr>
    </w:p>
    <w:p>
      <w:pPr>
        <w:jc w:val="both"/>
        <w:ind w:firstLine="656"/>
        <w:spacing w:after="0" w:line="266" w:lineRule="auto"/>
        <w:tabs>
          <w:tab w:leader="none" w:pos="1233" w:val="left"/>
        </w:tabs>
        <w:numPr>
          <w:ilvl w:val="0"/>
          <w:numId w:val="70"/>
        </w:numPr>
        <w:rPr>
          <w:rFonts w:ascii="Arial" w:cs="Arial" w:eastAsia="Arial" w:hAnsi="Arial"/>
          <w:sz w:val="22"/>
          <w:szCs w:val="22"/>
          <w:color w:val="010000"/>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The Participant hereby explicitly and unambiguously consents to the collection, use and transfer, in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electronic or other form, of the Participant’s personal data as described in this Agreement and any other grant materials by and among, as applicable, the Company and any affiliate for the exclusive purpose of implementing, administering and managing the Participant’s participation in the Plan. The Participant understands that refusal or withdrawal of consent may affect the Participant’s ability to participate in the Plan.</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its affiliates may hold certain personal information about the Participant, including, but not limited to, the Participant’s name, home address and telephone number, date of birth, social insurance number or other identification number, salary, nationality, job title, any shares of Common Stock or directorships held in the Company, details of all awards or any other entitlement to shares of Common Stock awarded, canceled, exercised, vested, unvested or outstanding in the Participant’s favor, for the exclusive purpose of implementing, administering and managing the Plan (“Personal Data”).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The Participant understands that Personal Data may be transferred to any Subsidiary or affiliate or third parties as may be selected by the Company to assist the Company with the implementation, administration and management of the Plan. The Participant understands that the recipients of Personal Data may be located in the United States or elsewhere, and that the recipient’s country may have different data privacy laws and protections than the Participant’s country.</w:t>
      </w:r>
    </w:p>
    <w:p>
      <w:pPr>
        <w:spacing w:after="0" w:line="204" w:lineRule="exact"/>
        <w:rPr>
          <w:sz w:val="20"/>
          <w:szCs w:val="20"/>
          <w:color w:val="auto"/>
        </w:rPr>
      </w:pPr>
    </w:p>
    <w:p>
      <w:pPr>
        <w:jc w:val="both"/>
        <w:ind w:firstLine="656"/>
        <w:spacing w:after="0" w:line="266" w:lineRule="auto"/>
        <w:tabs>
          <w:tab w:leader="none" w:pos="1125" w:val="left"/>
        </w:tabs>
        <w:numPr>
          <w:ilvl w:val="0"/>
          <w:numId w:val="71"/>
        </w:numPr>
        <w:rPr>
          <w:rFonts w:ascii="Arial" w:cs="Arial" w:eastAsia="Arial" w:hAnsi="Arial"/>
          <w:sz w:val="22"/>
          <w:szCs w:val="22"/>
          <w:color w:val="010000"/>
        </w:rPr>
      </w:pPr>
      <w:r>
        <w:rPr>
          <w:rFonts w:ascii="Arial" w:cs="Arial" w:eastAsia="Arial" w:hAnsi="Arial"/>
          <w:sz w:val="20"/>
          <w:szCs w:val="20"/>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the Award or future awards granted under the Plan by electronic means or request the Participant’s consent to participate in the Plan by electronic means. By accepting this Award, whether electronically or otherwise, the Participant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14" w:lineRule="exact"/>
        <w:rPr>
          <w:rFonts w:ascii="Arial" w:cs="Arial" w:eastAsia="Arial" w:hAnsi="Arial"/>
          <w:sz w:val="22"/>
          <w:szCs w:val="22"/>
          <w:color w:val="010000"/>
        </w:rPr>
      </w:pPr>
    </w:p>
    <w:p>
      <w:pPr>
        <w:ind w:firstLine="656"/>
        <w:spacing w:after="0" w:line="334" w:lineRule="auto"/>
        <w:tabs>
          <w:tab w:leader="none" w:pos="1112" w:val="left"/>
        </w:tabs>
        <w:numPr>
          <w:ilvl w:val="0"/>
          <w:numId w:val="71"/>
        </w:numPr>
        <w:rPr>
          <w:rFonts w:ascii="Arial" w:cs="Arial" w:eastAsia="Arial" w:hAnsi="Arial"/>
          <w:sz w:val="19"/>
          <w:szCs w:val="19"/>
          <w:color w:val="010000"/>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50" w:lineRule="exact"/>
        <w:rPr>
          <w:rFonts w:ascii="Arial" w:cs="Arial" w:eastAsia="Arial" w:hAnsi="Arial"/>
          <w:sz w:val="19"/>
          <w:szCs w:val="19"/>
          <w:color w:val="010000"/>
        </w:rPr>
      </w:pPr>
    </w:p>
    <w:p>
      <w:pPr>
        <w:jc w:val="both"/>
        <w:ind w:firstLine="656"/>
        <w:spacing w:after="0" w:line="283" w:lineRule="auto"/>
        <w:tabs>
          <w:tab w:leader="none" w:pos="1098" w:val="left"/>
        </w:tabs>
        <w:numPr>
          <w:ilvl w:val="0"/>
          <w:numId w:val="71"/>
        </w:numPr>
        <w:rPr>
          <w:rFonts w:ascii="Arial" w:cs="Arial" w:eastAsia="Arial" w:hAnsi="Arial"/>
          <w:sz w:val="21"/>
          <w:szCs w:val="21"/>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provided, however, that no amendment may impair the rights of the Participant without the consent of the Participant, subject to Section 19 below.</w:t>
      </w:r>
    </w:p>
    <w:p>
      <w:pPr>
        <w:spacing w:after="0" w:line="198" w:lineRule="exact"/>
        <w:rPr>
          <w:rFonts w:ascii="Arial" w:cs="Arial" w:eastAsia="Arial" w:hAnsi="Arial"/>
          <w:sz w:val="21"/>
          <w:szCs w:val="21"/>
          <w:color w:val="010000"/>
        </w:rPr>
      </w:pPr>
    </w:p>
    <w:p>
      <w:pPr>
        <w:jc w:val="both"/>
        <w:ind w:firstLine="656"/>
        <w:spacing w:after="0" w:line="308" w:lineRule="auto"/>
        <w:tabs>
          <w:tab w:leader="none" w:pos="1139" w:val="left"/>
        </w:tabs>
        <w:numPr>
          <w:ilvl w:val="0"/>
          <w:numId w:val="71"/>
        </w:numPr>
        <w:rPr>
          <w:rFonts w:ascii="Arial" w:cs="Arial" w:eastAsia="Arial" w:hAnsi="Arial"/>
          <w:sz w:val="19"/>
          <w:szCs w:val="19"/>
          <w:color w:val="010000"/>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This Agreement shall be governed by and construed according to the laws of the State of Delaware without regard to its principles of conflict of laws. For purposes of litigating any dispute that cannot be resolved pursuant to Section 5 above,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204" w:lineRule="exact"/>
        <w:rPr>
          <w:sz w:val="20"/>
          <w:szCs w:val="20"/>
          <w:color w:val="auto"/>
        </w:rPr>
      </w:pPr>
    </w:p>
    <w:p>
      <w:pPr>
        <w:jc w:val="both"/>
        <w:ind w:firstLine="656"/>
        <w:spacing w:after="0" w:line="292" w:lineRule="auto"/>
        <w:tabs>
          <w:tab w:leader="none" w:pos="1220" w:val="left"/>
        </w:tabs>
        <w:numPr>
          <w:ilvl w:val="0"/>
          <w:numId w:val="72"/>
        </w:numPr>
        <w:rPr>
          <w:rFonts w:ascii="Arial" w:cs="Arial" w:eastAsia="Arial" w:hAnsi="Arial"/>
          <w:sz w:val="19"/>
          <w:szCs w:val="19"/>
          <w:color w:val="010000"/>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w:t>
      </w:r>
    </w:p>
    <w:p>
      <w:pPr>
        <w:jc w:val="both"/>
        <w:spacing w:after="0" w:line="349" w:lineRule="auto"/>
        <w:rPr>
          <w:rFonts w:ascii="Arial" w:cs="Arial" w:eastAsia="Arial" w:hAnsi="Arial"/>
          <w:sz w:val="19"/>
          <w:szCs w:val="19"/>
          <w:color w:val="010000"/>
        </w:rPr>
      </w:pPr>
      <w:r>
        <w:rPr>
          <w:rFonts w:ascii="Arial" w:cs="Arial" w:eastAsia="Arial" w:hAnsi="Arial"/>
          <w:sz w:val="16"/>
          <w:szCs w:val="16"/>
          <w:color w:val="auto"/>
        </w:rPr>
        <w:t>(4).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w:t>
      </w:r>
    </w:p>
    <w:p>
      <w:pPr>
        <w:sectPr>
          <w:pgSz w:w="11900" w:h="16862" w:orient="portrait"/>
          <w:cols w:equalWidth="0" w:num="1">
            <w:col w:w="11420"/>
          </w:cols>
          <w:pgMar w:left="240" w:top="352" w:right="239" w:bottom="0" w:gutter="0" w:footer="0" w:header="0"/>
        </w:sectPr>
      </w:pPr>
    </w:p>
    <w:bookmarkStart w:id="77" w:name="page78"/>
    <w:bookmarkEnd w:id="77"/>
    <w:p>
      <w:pPr>
        <w:jc w:val="both"/>
        <w:spacing w:after="0" w:line="274" w:lineRule="auto"/>
        <w:rPr>
          <w:sz w:val="20"/>
          <w:szCs w:val="20"/>
          <w:color w:val="auto"/>
        </w:rPr>
      </w:pPr>
      <w:r>
        <w:rPr>
          <w:rFonts w:ascii="Arial" w:cs="Arial" w:eastAsia="Arial" w:hAnsi="Arial"/>
          <w:sz w:val="20"/>
          <w:szCs w:val="20"/>
          <w:color w:val="auto"/>
        </w:rPr>
        <w:t>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206" w:lineRule="exact"/>
        <w:rPr>
          <w:sz w:val="20"/>
          <w:szCs w:val="20"/>
          <w:color w:val="auto"/>
        </w:rPr>
      </w:pPr>
    </w:p>
    <w:p>
      <w:pPr>
        <w:jc w:val="both"/>
        <w:ind w:firstLine="656"/>
        <w:spacing w:after="0" w:line="299" w:lineRule="auto"/>
        <w:tabs>
          <w:tab w:leader="none" w:pos="1152" w:val="left"/>
        </w:tabs>
        <w:numPr>
          <w:ilvl w:val="1"/>
          <w:numId w:val="73"/>
        </w:numPr>
        <w:rPr>
          <w:rFonts w:ascii="Arial" w:cs="Arial" w:eastAsia="Arial" w:hAnsi="Arial"/>
          <w:sz w:val="19"/>
          <w:szCs w:val="19"/>
          <w:color w:val="010000"/>
        </w:rPr>
      </w:pPr>
      <w:r>
        <w:rPr>
          <w:rFonts w:ascii="Arial" w:cs="Arial" w:eastAsia="Arial" w:hAnsi="Arial"/>
          <w:sz w:val="18"/>
          <w:szCs w:val="18"/>
          <w:u w:val="single" w:color="auto"/>
          <w:color w:val="auto"/>
        </w:rPr>
        <w:t>OTHER REQUIREMENTS AND EXHIBIT B.</w:t>
      </w:r>
      <w:r>
        <w:rPr>
          <w:rFonts w:ascii="Arial" w:cs="Arial" w:eastAsia="Arial" w:hAnsi="Arial"/>
          <w:sz w:val="18"/>
          <w:szCs w:val="18"/>
          <w:color w:val="auto"/>
        </w:rPr>
        <w:t xml:space="preserve"> The Company is not obligated and will have no liability for failure to issue or deliver any Common Stock upon vesting of this Award if such issuance or delivery would violate any applicable laws, with compliance with applicable laws determined by the Company in consultation with its legal counsel. The Participant understands that the applicable laws of the country in which Participant is residing or working at the time of grant or vesting of this Award (including any rules or regulations governing securities, foreign exchange, tax, labor or other matters) may restrict or prevent the issuance of shares thereunder. Furthermore, the Company reserves the right to impose other requirements on the Participant’s participation in the Plan, on this Award, and the Common Stock subject to this Award, to the extent the Company determines it is necessary or advisable in order to comply with applicable laws or facilitate the administration of the Plan. The Participant agrees to sign any additional agreements or undertakings that may be necessary to accomplish the foregoing. Furthermore, the Participant acknowledges that the applicable laws of the country in which the Participant is residing or working at the time of grant or vesting of the Award or the issuance, holding, or sale of Common Stock received pursuant to the Award (including any rules or regulations governing securities, foreign exchange, tax, labor, or other matters) may subject the Participant to additional procedural or regulatory requirements that the Participant is and will be solely responsible for and must fulfill. Such requirements may be outlined in but are not limited to any special provisions set forth in Exhibit B for the Participant’s country, if any. Notwithstanding any provision herein, the Participant’s participation in the Plan shall be subject to any applicable special terms and conditions or disclosures as set forth in Exhibit B. If the Participant relocates to one of the countries included in Exhibit B during the vesting period or while holding shares of Common Stock issued upon vesting of the Award, the special provisions for such country shall apply to the Participant, to the extent the Company determines that the application of such provisions is advisable or necessary in order to comply with local law or facilitate the administration of the Plan. Exhibit B constitutes part of this Agreement.</w:t>
      </w:r>
    </w:p>
    <w:p>
      <w:pPr>
        <w:spacing w:after="0" w:line="192" w:lineRule="exact"/>
        <w:rPr>
          <w:rFonts w:ascii="Arial" w:cs="Arial" w:eastAsia="Arial" w:hAnsi="Arial"/>
          <w:sz w:val="19"/>
          <w:szCs w:val="19"/>
          <w:color w:val="010000"/>
        </w:rPr>
      </w:pPr>
    </w:p>
    <w:p>
      <w:pPr>
        <w:ind w:right="20" w:firstLine="656"/>
        <w:spacing w:after="0" w:line="265" w:lineRule="auto"/>
        <w:tabs>
          <w:tab w:leader="none" w:pos="1139" w:val="left"/>
        </w:tabs>
        <w:numPr>
          <w:ilvl w:val="1"/>
          <w:numId w:val="73"/>
        </w:numPr>
        <w:rPr>
          <w:rFonts w:ascii="Arial" w:cs="Arial" w:eastAsia="Arial" w:hAnsi="Arial"/>
          <w:sz w:val="22"/>
          <w:szCs w:val="22"/>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shall constitute one and the same instrument.</w:t>
      </w:r>
    </w:p>
    <w:p>
      <w:pPr>
        <w:spacing w:after="0" w:line="209" w:lineRule="exact"/>
        <w:rPr>
          <w:rFonts w:ascii="Arial" w:cs="Arial" w:eastAsia="Arial" w:hAnsi="Arial"/>
          <w:sz w:val="22"/>
          <w:szCs w:val="22"/>
          <w:color w:val="010000"/>
        </w:rPr>
      </w:pPr>
    </w:p>
    <w:p>
      <w:pPr>
        <w:jc w:val="both"/>
        <w:ind w:firstLine="656"/>
        <w:spacing w:after="0" w:line="266" w:lineRule="auto"/>
        <w:tabs>
          <w:tab w:leader="none" w:pos="1112" w:val="left"/>
        </w:tabs>
        <w:numPr>
          <w:ilvl w:val="1"/>
          <w:numId w:val="73"/>
        </w:numPr>
        <w:rPr>
          <w:rFonts w:ascii="Arial" w:cs="Arial" w:eastAsia="Arial" w:hAnsi="Arial"/>
          <w:sz w:val="22"/>
          <w:szCs w:val="22"/>
          <w:color w:val="010000"/>
        </w:rPr>
      </w:pPr>
      <w:r>
        <w:rPr>
          <w:rFonts w:ascii="Arial" w:cs="Arial" w:eastAsia="Arial" w:hAnsi="Arial"/>
          <w:sz w:val="20"/>
          <w:szCs w:val="20"/>
          <w:u w:val="single" w:color="auto"/>
          <w:color w:val="auto"/>
        </w:rPr>
        <w:t>AWARDS SUBJECT TO CLAWBACK</w:t>
      </w:r>
      <w:r>
        <w:rPr>
          <w:rFonts w:ascii="Arial" w:cs="Arial" w:eastAsia="Arial" w:hAnsi="Arial"/>
          <w:sz w:val="20"/>
          <w:szCs w:val="20"/>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10" w:lineRule="exact"/>
        <w:rPr>
          <w:rFonts w:ascii="Arial" w:cs="Arial" w:eastAsia="Arial" w:hAnsi="Arial"/>
          <w:sz w:val="22"/>
          <w:szCs w:val="22"/>
          <w:color w:val="010000"/>
        </w:rPr>
      </w:pPr>
    </w:p>
    <w:p>
      <w:pPr>
        <w:ind w:left="1100" w:hanging="444"/>
        <w:spacing w:after="0"/>
        <w:tabs>
          <w:tab w:leader="none" w:pos="1100" w:val="left"/>
        </w:tabs>
        <w:numPr>
          <w:ilvl w:val="1"/>
          <w:numId w:val="73"/>
        </w:numPr>
        <w:rPr>
          <w:rFonts w:ascii="Arial" w:cs="Arial" w:eastAsia="Arial" w:hAnsi="Arial"/>
          <w:sz w:val="22"/>
          <w:szCs w:val="22"/>
          <w:color w:val="010000"/>
        </w:rPr>
      </w:pP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shall have the meanings set forth below:</w:t>
      </w:r>
    </w:p>
    <w:p>
      <w:pPr>
        <w:spacing w:after="0" w:line="235" w:lineRule="exact"/>
        <w:rPr>
          <w:rFonts w:ascii="Arial" w:cs="Arial" w:eastAsia="Arial" w:hAnsi="Arial"/>
          <w:sz w:val="22"/>
          <w:szCs w:val="22"/>
          <w:color w:val="010000"/>
        </w:rPr>
      </w:pPr>
    </w:p>
    <w:p>
      <w:pPr>
        <w:jc w:val="both"/>
        <w:ind w:firstLine="1305"/>
        <w:spacing w:after="0" w:line="305" w:lineRule="auto"/>
        <w:tabs>
          <w:tab w:leader="none" w:pos="1716" w:val="left"/>
        </w:tabs>
        <w:numPr>
          <w:ilvl w:val="2"/>
          <w:numId w:val="73"/>
        </w:numPr>
        <w:rPr>
          <w:rFonts w:ascii="Arial" w:cs="Arial" w:eastAsia="Arial" w:hAnsi="Arial"/>
          <w:sz w:val="19"/>
          <w:szCs w:val="19"/>
          <w:color w:val="010000"/>
        </w:rPr>
      </w:pPr>
      <w:r>
        <w:rPr>
          <w:rFonts w:ascii="Arial" w:cs="Arial" w:eastAsia="Arial" w:hAnsi="Arial"/>
          <w:sz w:val="18"/>
          <w:szCs w:val="18"/>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2" w:lineRule="exact"/>
        <w:rPr>
          <w:rFonts w:ascii="Arial" w:cs="Arial" w:eastAsia="Arial" w:hAnsi="Arial"/>
          <w:sz w:val="19"/>
          <w:szCs w:val="19"/>
          <w:color w:val="010000"/>
        </w:rPr>
      </w:pPr>
    </w:p>
    <w:p>
      <w:pPr>
        <w:jc w:val="both"/>
        <w:ind w:firstLine="1305"/>
        <w:spacing w:after="0" w:line="338" w:lineRule="auto"/>
        <w:tabs>
          <w:tab w:leader="none" w:pos="1756" w:val="left"/>
        </w:tabs>
        <w:numPr>
          <w:ilvl w:val="2"/>
          <w:numId w:val="73"/>
        </w:numPr>
        <w:rPr>
          <w:rFonts w:ascii="Arial" w:cs="Arial" w:eastAsia="Arial" w:hAnsi="Arial"/>
          <w:sz w:val="18"/>
          <w:szCs w:val="18"/>
          <w:color w:val="010000"/>
        </w:rPr>
      </w:pPr>
      <w:r>
        <w:rPr>
          <w:rFonts w:ascii="Arial" w:cs="Arial" w:eastAsia="Arial" w:hAnsi="Arial"/>
          <w:sz w:val="17"/>
          <w:szCs w:val="17"/>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57" w:lineRule="exact"/>
        <w:rPr>
          <w:rFonts w:ascii="Arial" w:cs="Arial" w:eastAsia="Arial" w:hAnsi="Arial"/>
          <w:sz w:val="18"/>
          <w:szCs w:val="18"/>
          <w:color w:val="010000"/>
        </w:rPr>
      </w:pPr>
    </w:p>
    <w:p>
      <w:pPr>
        <w:jc w:val="both"/>
        <w:ind w:firstLine="1305"/>
        <w:spacing w:after="0" w:line="295" w:lineRule="auto"/>
        <w:tabs>
          <w:tab w:leader="none" w:pos="1716" w:val="left"/>
        </w:tabs>
        <w:numPr>
          <w:ilvl w:val="2"/>
          <w:numId w:val="73"/>
        </w:numPr>
        <w:rPr>
          <w:rFonts w:ascii="Arial" w:cs="Arial" w:eastAsia="Arial" w:hAnsi="Arial"/>
          <w:sz w:val="19"/>
          <w:szCs w:val="19"/>
          <w:color w:val="010000"/>
        </w:rPr>
      </w:pPr>
      <w:r>
        <w:rPr>
          <w:rFonts w:ascii="Arial" w:cs="Arial" w:eastAsia="Arial" w:hAnsi="Arial"/>
          <w:sz w:val="18"/>
          <w:szCs w:val="18"/>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w:t>
      </w:r>
    </w:p>
    <w:p>
      <w:pPr>
        <w:spacing w:after="0" w:line="3" w:lineRule="exact"/>
        <w:rPr>
          <w:rFonts w:ascii="Arial" w:cs="Arial" w:eastAsia="Arial" w:hAnsi="Arial"/>
          <w:sz w:val="19"/>
          <w:szCs w:val="19"/>
          <w:color w:val="010000"/>
        </w:rPr>
      </w:pPr>
    </w:p>
    <w:p>
      <w:pPr>
        <w:jc w:val="both"/>
        <w:ind w:firstLine="8"/>
        <w:spacing w:after="0" w:line="299" w:lineRule="auto"/>
        <w:tabs>
          <w:tab w:leader="none" w:pos="392" w:val="left"/>
        </w:tabs>
        <w:numPr>
          <w:ilvl w:val="0"/>
          <w:numId w:val="74"/>
        </w:numPr>
        <w:rPr>
          <w:rFonts w:ascii="Arial" w:cs="Arial" w:eastAsia="Arial" w:hAnsi="Arial"/>
          <w:sz w:val="19"/>
          <w:szCs w:val="19"/>
          <w:color w:val="auto"/>
        </w:rPr>
      </w:pPr>
      <w:r>
        <w:rPr>
          <w:rFonts w:ascii="Arial" w:cs="Arial" w:eastAsia="Arial" w:hAnsi="Arial"/>
          <w:sz w:val="19"/>
          <w:szCs w:val="19"/>
          <w:color w:val="auto"/>
        </w:rPr>
        <w:t>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ectPr>
          <w:pgSz w:w="11900" w:h="16838" w:orient="portrait"/>
          <w:cols w:equalWidth="0" w:num="1">
            <w:col w:w="11420"/>
          </w:cols>
          <w:pgMar w:left="240" w:top="136"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IN WITNESS WHEREOF, the parties have executed this Restricted Stock Unit Award Agreement on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DINE BRANDS GLOBAL,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754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20"/>
          <w:szCs w:val="20"/>
          <w:color w:val="auto"/>
        </w:rPr>
        <w:t>Stephen P. Joyce</w:t>
      </w:r>
    </w:p>
    <w:p>
      <w:pPr>
        <w:ind w:left="42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-14605</wp:posOffset>
            </wp:positionV>
            <wp:extent cx="125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-14605</wp:posOffset>
            </wp:positionV>
            <wp:extent cx="125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-14605</wp:posOffset>
            </wp:positionV>
            <wp:extent cx="125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VESTING SCHEDULE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Stock Units (RSUs) shall vest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400"/>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DINE BRANDS GLOBAL, INC.</w:t>
      </w:r>
    </w:p>
    <w:p>
      <w:pPr>
        <w:spacing w:after="0" w:line="22"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2016 STOCK INCENTIVE PLAN</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SPECIAL PROVISIONS FOR RESTRICTED STOCK UNIT AWARDS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PARTICIPANTS OUTSIDE THE U.S.</w:t>
      </w:r>
    </w:p>
    <w:p>
      <w:pPr>
        <w:spacing w:after="0" w:line="200"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 xml:space="preserve">This Exhibit B includes special terms and conditions applicable to Participants in the countries below. These terms and conditions are in addition to those set forth in the Restricted Stock Unit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Any capitalized term used in this Exhibit B without definition shall have the meaning ascribed to such term in the Dine Brands Global, Inc. 2016 Stock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Agreement, as applicable.</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Exhibit B also includes information relating to exchange control and other issues of which the Participant should be aware with respect to his or her participation in the Plan. However, because such laws are often complex and change frequently, the Company strongly recommends that the Participant not rely on the information herein as the only source of information relating to the consequences of participation in the Plan because the information may be out of date at the time the Restricted Stock Units (the “RSUs”) vest or shares of Common Stock acquired under the Plan are sold.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is general in nature and may not apply to the particular situation of the Participant, and the Company is not in a position to assure the Participant of any particular result. Accordingly, the Participant is advised to seek appropriate professional advice as to how the relevant laws in his or her country may apply to his or her situation. The Company is not providing any tax, legal or financial advice, nor is the Company making any recommendations regarding Participant’s acceptance of the Award or participation in the Plan</w:t>
      </w:r>
      <w:r>
        <w:rPr>
          <w:rFonts w:ascii="Arial" w:cs="Arial" w:eastAsia="Arial" w:hAnsi="Arial"/>
          <w:sz w:val="20"/>
          <w:szCs w:val="20"/>
          <w:color w:val="4F81BD"/>
        </w:rPr>
        <w:t>.</w:t>
      </w:r>
      <w:r>
        <w:rPr>
          <w:rFonts w:ascii="Arial" w:cs="Arial" w:eastAsia="Arial" w:hAnsi="Arial"/>
          <w:sz w:val="20"/>
          <w:szCs w:val="20"/>
          <w:color w:val="auto"/>
        </w:rPr>
        <w:t xml:space="preserve"> Finally, if the Participant is a citizen or resident of a country other than the one in which he or she is currently working, the information contained herein may not be applicable to the Participant.</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Securities Law Notice: Unless otherwise noted, neither the Company nor the Common Stock are registered with any local stock exchange or under the control of any local securities regulator outside the United States. The Agreement (of which this Exhibit B is a part),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w:t>
      </w:r>
    </w:p>
    <w:p>
      <w:pPr>
        <w:sectPr>
          <w:pgSz w:w="11900" w:h="16838" w:orient="portrait"/>
          <w:cols w:equalWidth="0" w:num="1">
            <w:col w:w="11420"/>
          </w:cols>
          <w:pgMar w:left="240" w:top="312" w:right="239" w:bottom="220" w:gutter="0" w:footer="0" w:header="0"/>
        </w:sectPr>
      </w:pPr>
    </w:p>
    <w:bookmarkStart w:id="79" w:name="page80"/>
    <w:bookmarkEnd w:id="79"/>
    <w:p>
      <w:pPr>
        <w:ind w:right="100"/>
        <w:spacing w:after="0" w:line="262" w:lineRule="auto"/>
        <w:rPr>
          <w:sz w:val="20"/>
          <w:szCs w:val="20"/>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following supplements the Section 13 of the Agreement: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Participant understands that Personal Data will be held only as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long as is necessary to implement, administer and manage Participant’s participation in the Plan. Participant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Participant’s local human resources representative.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Participant is resident or domiciled in Brazil, the Participant will be required to submit an annual declaration of assets and rights held outside of Brazil to the Central Bank of Brazil (“BACEN”) if the aggregate value of such assets and rights equals or exceeds US $100,000. Assets and rights that must be reported include shares of Common Stock of the Company. The reporting should be completed at the beginning of the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b w:val="1"/>
          <w:bCs w:val="1"/>
          <w:color w:val="auto"/>
        </w:rPr>
        <w:t xml:space="preserve">Foreign Share Ownership Reporting. </w:t>
      </w:r>
      <w:r>
        <w:rPr>
          <w:rFonts w:ascii="Arial" w:cs="Arial" w:eastAsia="Arial" w:hAnsi="Arial"/>
          <w:sz w:val="20"/>
          <w:szCs w:val="20"/>
          <w:color w:val="auto"/>
        </w:rPr>
        <w:t>If the Participant is a Canadian resident, the Participant’s ownership of certain foreign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shares of foreign corporations) in excess of $100,000 may be subject to ongoing annual reporting obligations. Please refer to </w:t>
      </w:r>
      <w:r>
        <w:rPr>
          <w:rFonts w:ascii="Arial" w:cs="Arial" w:eastAsia="Arial" w:hAnsi="Arial"/>
          <w:sz w:val="21"/>
          <w:szCs w:val="21"/>
          <w:u w:val="single" w:color="auto"/>
          <w:color w:val="0000FF"/>
        </w:rPr>
        <w:t>CRA</w:t>
      </w:r>
      <w:r>
        <w:rPr>
          <w:rFonts w:ascii="Arial" w:cs="Arial" w:eastAsia="Arial" w:hAnsi="Arial"/>
          <w:sz w:val="20"/>
          <w:szCs w:val="20"/>
          <w:color w:val="auto"/>
        </w:rPr>
        <w:t xml:space="preserve"> </w:t>
      </w:r>
      <w:r>
        <w:rPr>
          <w:rFonts w:ascii="Arial" w:cs="Arial" w:eastAsia="Arial" w:hAnsi="Arial"/>
          <w:sz w:val="21"/>
          <w:szCs w:val="21"/>
          <w:u w:val="single" w:color="auto"/>
          <w:color w:val="0000FF"/>
        </w:rPr>
        <w:t>Form T1135</w:t>
      </w:r>
      <w:r>
        <w:rPr>
          <w:rFonts w:ascii="Arial" w:cs="Arial" w:eastAsia="Arial" w:hAnsi="Arial"/>
          <w:sz w:val="21"/>
          <w:szCs w:val="21"/>
          <w:color w:val="0000FF"/>
        </w:rPr>
        <w:t xml:space="preserve"> </w:t>
      </w:r>
      <w:r>
        <w:rPr>
          <w:rFonts w:ascii="Arial" w:cs="Arial" w:eastAsia="Arial" w:hAnsi="Arial"/>
          <w:sz w:val="19"/>
          <w:szCs w:val="19"/>
          <w:color w:val="000000"/>
        </w:rPr>
        <w:t>(Foreign Income Verification Statement) and consult your tax advisor for further details. It is your responsibility to comply with</w:t>
      </w:r>
      <w:r>
        <w:rPr>
          <w:rFonts w:ascii="Arial" w:cs="Arial" w:eastAsia="Arial" w:hAnsi="Arial"/>
          <w:sz w:val="21"/>
          <w:szCs w:val="21"/>
          <w:color w:val="0000FF"/>
        </w:rPr>
        <w:t xml:space="preserve"> </w:t>
      </w:r>
      <w:r>
        <w:rPr>
          <w:rFonts w:ascii="Arial" w:cs="Arial" w:eastAsia="Arial" w:hAnsi="Arial"/>
          <w:sz w:val="19"/>
          <w:szCs w:val="19"/>
          <w:color w:val="000000"/>
        </w:rPr>
        <w:t>all applicable tax reporting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Labor Law Statement. </w:t>
      </w:r>
      <w:r>
        <w:rPr>
          <w:rFonts w:ascii="Arial" w:cs="Arial" w:eastAsia="Arial" w:hAnsi="Arial"/>
          <w:sz w:val="20"/>
          <w:szCs w:val="20"/>
          <w:color w:val="auto"/>
        </w:rPr>
        <w:t>The invitation Dine Brands Global, Inc. is making under the Plan is unilateral and discretionary and is not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salary and other contractual benefits granted to Participant by Participant’s employer. Dine Brands Global, Inc. reserves the absolute right to amend the Plan and discontinue it at any time without any liability to Participant. This invitation and, in Participant’s case, the acquisition of shares does not, in any way, establish a labor relationship between Participant and Dine Brands Global, Inc., nor does it establish any rights between Participant and Participant’s employer.</w:t>
      </w:r>
    </w:p>
    <w:p>
      <w:pPr>
        <w:spacing w:after="0" w:line="191"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La invitación que Dine Brands Global, Inc. hace en relación con el Plan es unilateral y discrecional, por lo tanto, Dine Brands Global, Inc. se reserva el derecho absoluto para modificar o terminar el mismo, sin ninguna responsabilidad para usted. Esta invitación y, en su caso, la adquisición de acciones, de ninguna manera establecen relación laboral alguna entre usted y Dine Brands Global, Inc. y tampoco establece derecho alguno entre usted y su empleador.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1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This offering is subject to exemption from the requirements of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Commission under Section 10.1 (k) of the Philippines Securities Regulation Code. </w:t>
      </w:r>
      <w:r>
        <w:rPr>
          <w:rFonts w:ascii="Arial" w:cs="Arial" w:eastAsia="Arial" w:hAnsi="Arial"/>
          <w:sz w:val="18"/>
          <w:szCs w:val="18"/>
          <w:b w:val="1"/>
          <w:bCs w:val="1"/>
          <w:color w:val="auto"/>
        </w:rPr>
        <w:t>THE SECURITIES BEING OFFERED OR</w:t>
      </w:r>
    </w:p>
    <w:p>
      <w:pPr>
        <w:spacing w:after="0" w:line="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SOLD HAVE NOT BEEN REGISTERED WITH THE PHILIPPINES SECURITIES AND EXCHANGE COMMISSION UNDER THE SECURITIES REGULATION CODE. ANY FUTURE OFFER OR SALE THEREOF IS SUBJECT TO REGISTRATION REQUIREMENTS UNDER THE CODE UNLESS SUCH OFFER OR SALE QUALIFIES AS AN EXEMPT TRANSACTION.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UAE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Award has not been approved or licensed by the UAE Central Bank, the UAE Securities and Commodities Authority or any other relevant licensing authorities or governmental agencies in the United Arab Emirates. This offer is strictly private and confidential and the terms of such offer have not been reviewed by, deposited or registered with the UAE Central Bank, the UAE Securities and Commodities Authority or any other licensing authority or governmental agencies in the United Arab Emirates. This offer is being issued from outside the United Arab Emirates and must not be provided to any person other than the Holder and may not be reproduced or used for any other purpose. Further, the information contained in this offer is not intended to lead to the issue of any securities or the conclusion of any other contract of whatsoever nature within the territory of the United Arab Emirates.</w:t>
      </w:r>
    </w:p>
    <w:p>
      <w:pPr>
        <w:sectPr>
          <w:pgSz w:w="11900" w:h="16838" w:orient="portrait"/>
          <w:cols w:equalWidth="0" w:num="1">
            <w:col w:w="11420"/>
          </w:cols>
          <w:pgMar w:left="240" w:top="11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10.8</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Stock-Settled RSU Agreement –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(“Agreement”) is entered into as of ___________ by and</w:t>
      </w:r>
    </w:p>
    <w:p>
      <w:pPr>
        <w:spacing w:after="0" w:line="62" w:lineRule="exact"/>
        <w:rPr>
          <w:sz w:val="20"/>
          <w:szCs w:val="20"/>
          <w:color w:val="auto"/>
        </w:rPr>
      </w:pPr>
    </w:p>
    <w:p>
      <w:pPr>
        <w:ind w:right="480"/>
        <w:spacing w:after="0" w:line="246" w:lineRule="auto"/>
        <w:rPr>
          <w:sz w:val="20"/>
          <w:szCs w:val="20"/>
          <w:color w:val="auto"/>
        </w:rPr>
      </w:pPr>
      <w:r>
        <w:rPr>
          <w:rFonts w:ascii="Arial" w:cs="Arial" w:eastAsia="Arial" w:hAnsi="Arial"/>
          <w:sz w:val="22"/>
          <w:szCs w:val="22"/>
          <w:color w:val="auto"/>
        </w:rPr>
        <w:t xml:space="preserve">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a Delaware corporation (the “Company”) and , an employee of the Company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40" w:firstLine="656"/>
        <w:spacing w:after="0" w:line="312" w:lineRule="auto"/>
        <w:tabs>
          <w:tab w:leader="none" w:pos="1459"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The Company hereby grants to the Participant an award of restricted stock units (the “Restricted Stock Units”). Each Restricted Stock Unit represents the right to receive one share of common stock, $.01 par value, of the Company (the “Common Stock”), subject to the terms and conditions set forth herein.</w:t>
      </w:r>
    </w:p>
    <w:p>
      <w:pPr>
        <w:spacing w:after="0" w:line="133" w:lineRule="exact"/>
        <w:rPr>
          <w:rFonts w:ascii="Arial" w:cs="Arial" w:eastAsia="Arial" w:hAnsi="Arial"/>
          <w:sz w:val="19"/>
          <w:szCs w:val="19"/>
          <w:color w:val="010000"/>
        </w:rPr>
      </w:pPr>
    </w:p>
    <w:p>
      <w:pPr>
        <w:ind w:left="1000" w:hanging="344"/>
        <w:spacing w:after="0"/>
        <w:tabs>
          <w:tab w:leader="none" w:pos="1000" w:val="left"/>
        </w:tabs>
        <w:numPr>
          <w:ilvl w:val="0"/>
          <w:numId w:val="75"/>
        </w:numPr>
        <w:rPr>
          <w:rFonts w:ascii="Arial" w:cs="Arial" w:eastAsia="Arial" w:hAnsi="Arial"/>
          <w:sz w:val="22"/>
          <w:szCs w:val="22"/>
          <w:color w:val="010000"/>
        </w:rPr>
      </w:pPr>
      <w:r>
        <w:rPr>
          <w:rFonts w:ascii="Arial" w:cs="Arial" w:eastAsia="Arial" w:hAnsi="Arial"/>
          <w:sz w:val="22"/>
          <w:szCs w:val="22"/>
          <w:u w:val="single" w:color="auto"/>
          <w:color w:val="auto"/>
        </w:rPr>
        <w:t>VESTING AND SETTLEMENT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60" w:right="80" w:firstLine="1293"/>
        <w:spacing w:after="0" w:line="270" w:lineRule="auto"/>
        <w:tabs>
          <w:tab w:leader="none" w:pos="2376" w:val="left"/>
        </w:tabs>
        <w:numPr>
          <w:ilvl w:val="1"/>
          <w:numId w:val="75"/>
        </w:numPr>
        <w:rPr>
          <w:rFonts w:ascii="Arial" w:cs="Arial" w:eastAsia="Arial" w:hAnsi="Arial"/>
          <w:sz w:val="21"/>
          <w:szCs w:val="21"/>
          <w:color w:val="010000"/>
        </w:rPr>
      </w:pPr>
      <w:r>
        <w:rPr>
          <w:rFonts w:ascii="Arial" w:cs="Arial" w:eastAsia="Arial" w:hAnsi="Arial"/>
          <w:sz w:val="21"/>
          <w:szCs w:val="21"/>
          <w:u w:val="single" w:color="auto"/>
          <w:color w:val="auto"/>
        </w:rPr>
        <w:t>Service Vesting</w:t>
      </w:r>
      <w:r>
        <w:rPr>
          <w:rFonts w:ascii="Arial" w:cs="Arial" w:eastAsia="Arial" w:hAnsi="Arial"/>
          <w:sz w:val="21"/>
          <w:szCs w:val="21"/>
          <w:color w:val="auto"/>
        </w:rPr>
        <w:t xml:space="preserve">. Subject to the Participant’s continuous employment with the Company, the Restricted Stock Units shall vest in accordance with the specific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Restricted Stock Units that have vested in accordance with the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are referred to herein as “Vested Units.” Restricted Stock Units that are not vested are referred to herein as “Unvested Units.”</w:t>
      </w:r>
    </w:p>
    <w:p>
      <w:pPr>
        <w:spacing w:after="0" w:line="169" w:lineRule="exact"/>
        <w:rPr>
          <w:rFonts w:ascii="Arial" w:cs="Arial" w:eastAsia="Arial" w:hAnsi="Arial"/>
          <w:sz w:val="21"/>
          <w:szCs w:val="21"/>
          <w:color w:val="010000"/>
        </w:rPr>
      </w:pPr>
    </w:p>
    <w:p>
      <w:pPr>
        <w:ind w:left="660" w:right="200" w:firstLine="1293"/>
        <w:spacing w:after="0" w:line="358" w:lineRule="auto"/>
        <w:tabs>
          <w:tab w:leader="none" w:pos="2389" w:val="left"/>
        </w:tabs>
        <w:numPr>
          <w:ilvl w:val="1"/>
          <w:numId w:val="75"/>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Restricted Stock Units shall become immediately and fully vested and thereafter be considered Vested Units.</w:t>
      </w:r>
    </w:p>
    <w:p>
      <w:pPr>
        <w:spacing w:after="0" w:line="90" w:lineRule="exact"/>
        <w:rPr>
          <w:rFonts w:ascii="Arial" w:cs="Arial" w:eastAsia="Arial" w:hAnsi="Arial"/>
          <w:sz w:val="19"/>
          <w:szCs w:val="19"/>
          <w:color w:val="010000"/>
        </w:rPr>
      </w:pPr>
    </w:p>
    <w:p>
      <w:pPr>
        <w:jc w:val="both"/>
        <w:ind w:left="660" w:right="180" w:firstLine="1293"/>
        <w:spacing w:after="0" w:line="270" w:lineRule="auto"/>
        <w:tabs>
          <w:tab w:leader="none" w:pos="2376" w:val="left"/>
        </w:tabs>
        <w:numPr>
          <w:ilvl w:val="1"/>
          <w:numId w:val="75"/>
        </w:numPr>
        <w:rPr>
          <w:rFonts w:ascii="Arial" w:cs="Arial" w:eastAsia="Arial" w:hAnsi="Arial"/>
          <w:sz w:val="21"/>
          <w:szCs w:val="21"/>
          <w:color w:val="010000"/>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pacing w:after="0" w:line="169" w:lineRule="exact"/>
        <w:rPr>
          <w:rFonts w:ascii="Arial" w:cs="Arial" w:eastAsia="Arial" w:hAnsi="Arial"/>
          <w:sz w:val="21"/>
          <w:szCs w:val="21"/>
          <w:color w:val="010000"/>
        </w:rPr>
      </w:pPr>
    </w:p>
    <w:p>
      <w:pPr>
        <w:ind w:left="660" w:right="100" w:firstLine="1293"/>
        <w:spacing w:after="0" w:line="260" w:lineRule="auto"/>
        <w:tabs>
          <w:tab w:leader="none" w:pos="2389" w:val="left"/>
        </w:tabs>
        <w:numPr>
          <w:ilvl w:val="1"/>
          <w:numId w:val="75"/>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Units</w:t>
      </w:r>
      <w:r>
        <w:rPr>
          <w:rFonts w:ascii="Arial" w:cs="Arial" w:eastAsia="Arial" w:hAnsi="Arial"/>
          <w:sz w:val="22"/>
          <w:szCs w:val="22"/>
          <w:color w:val="auto"/>
        </w:rPr>
        <w:t>. Except as set forth in Sections 2(b) and 2(c), upon the termination of the Participant’s employment, any then Unvested Units held by the Participant shall be forfeited and canceled as of the date of such termination.</w:t>
      </w:r>
    </w:p>
    <w:p>
      <w:pPr>
        <w:spacing w:after="0" w:line="177" w:lineRule="exact"/>
        <w:rPr>
          <w:rFonts w:ascii="Arial" w:cs="Arial" w:eastAsia="Arial" w:hAnsi="Arial"/>
          <w:sz w:val="22"/>
          <w:szCs w:val="22"/>
          <w:color w:val="010000"/>
        </w:rPr>
      </w:pPr>
    </w:p>
    <w:p>
      <w:pPr>
        <w:ind w:left="660" w:right="220" w:firstLine="1293"/>
        <w:spacing w:after="0" w:line="254" w:lineRule="auto"/>
        <w:tabs>
          <w:tab w:leader="none" w:pos="2376" w:val="left"/>
        </w:tabs>
        <w:numPr>
          <w:ilvl w:val="1"/>
          <w:numId w:val="75"/>
        </w:numPr>
        <w:rPr>
          <w:rFonts w:ascii="Arial" w:cs="Arial" w:eastAsia="Arial" w:hAnsi="Arial"/>
          <w:sz w:val="22"/>
          <w:szCs w:val="22"/>
          <w:color w:val="010000"/>
        </w:rPr>
      </w:pPr>
      <w:r>
        <w:rPr>
          <w:rFonts w:ascii="Arial" w:cs="Arial" w:eastAsia="Arial" w:hAnsi="Arial"/>
          <w:sz w:val="22"/>
          <w:szCs w:val="22"/>
          <w:u w:val="single" w:color="auto"/>
          <w:color w:val="auto"/>
        </w:rPr>
        <w:t>Settlement of Vested Units</w:t>
      </w:r>
      <w:r>
        <w:rPr>
          <w:rFonts w:ascii="Arial" w:cs="Arial" w:eastAsia="Arial" w:hAnsi="Arial"/>
          <w:sz w:val="22"/>
          <w:szCs w:val="22"/>
          <w:color w:val="auto"/>
        </w:rPr>
        <w:t xml:space="preserve">. The Vested Units shall be settled by the delivery to the Participant or a designated brokerage firm of one share of Common Stock per Vested Unit within thirty (30) days after the vesting of such Restricted Stock Units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or upon accelerated vesting as set forth in this Section 2. No fractional shares will be issued under this Agreement.</w:t>
      </w:r>
    </w:p>
    <w:p>
      <w:pPr>
        <w:spacing w:after="0" w:line="185" w:lineRule="exact"/>
        <w:rPr>
          <w:rFonts w:ascii="Arial" w:cs="Arial" w:eastAsia="Arial" w:hAnsi="Arial"/>
          <w:sz w:val="22"/>
          <w:szCs w:val="22"/>
          <w:color w:val="010000"/>
        </w:rPr>
      </w:pPr>
    </w:p>
    <w:p>
      <w:pPr>
        <w:ind w:right="20" w:firstLine="656"/>
        <w:spacing w:after="0" w:line="264" w:lineRule="auto"/>
        <w:tabs>
          <w:tab w:leader="none" w:pos="990" w:val="left"/>
        </w:tabs>
        <w:numPr>
          <w:ilvl w:val="0"/>
          <w:numId w:val="75"/>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80" w:firstLine="656"/>
        <w:spacing w:after="0" w:line="307" w:lineRule="auto"/>
        <w:tabs>
          <w:tab w:leader="none" w:pos="990"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w:t>
      </w:r>
    </w:p>
    <w:p>
      <w:pPr>
        <w:sectPr>
          <w:pgSz w:w="11900" w:h="16838" w:orient="portrait"/>
          <w:cols w:equalWidth="0" w:num="1">
            <w:col w:w="11420"/>
          </w:cols>
          <w:pgMar w:left="240" w:top="126" w:right="239" w:bottom="0" w:gutter="0" w:footer="0" w:header="0"/>
        </w:sectPr>
      </w:pPr>
    </w:p>
    <w:bookmarkStart w:id="81" w:name="page82"/>
    <w:bookmarkEnd w:id="81"/>
    <w:p>
      <w:pPr>
        <w:spacing w:after="0" w:line="99"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a qualified domestic relations order. Except to the extent permitted by this Section 4, the Award may be exercised or settled during the Participant’s lifetime only by the Participant or the Participant ‘s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80" w:lineRule="exact"/>
        <w:rPr>
          <w:sz w:val="20"/>
          <w:szCs w:val="20"/>
          <w:color w:val="auto"/>
        </w:rPr>
      </w:pPr>
    </w:p>
    <w:p>
      <w:pPr>
        <w:ind w:firstLine="656"/>
        <w:spacing w:after="0" w:line="287" w:lineRule="auto"/>
        <w:tabs>
          <w:tab w:leader="none" w:pos="990" w:val="left"/>
        </w:tabs>
        <w:numPr>
          <w:ilvl w:val="0"/>
          <w:numId w:val="76"/>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right="40" w:firstLine="656"/>
        <w:spacing w:after="0" w:line="266" w:lineRule="auto"/>
        <w:tabs>
          <w:tab w:leader="none" w:pos="990" w:val="left"/>
        </w:tabs>
        <w:numPr>
          <w:ilvl w:val="0"/>
          <w:numId w:val="76"/>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174" w:lineRule="exact"/>
        <w:rPr>
          <w:rFonts w:ascii="Arial" w:cs="Arial" w:eastAsia="Arial" w:hAnsi="Arial"/>
          <w:sz w:val="21"/>
          <w:szCs w:val="21"/>
          <w:color w:val="010000"/>
        </w:rPr>
      </w:pPr>
    </w:p>
    <w:p>
      <w:pPr>
        <w:ind w:right="20" w:firstLine="656"/>
        <w:spacing w:after="0" w:line="287" w:lineRule="auto"/>
        <w:tabs>
          <w:tab w:leader="none" w:pos="990" w:val="left"/>
        </w:tabs>
        <w:numPr>
          <w:ilvl w:val="0"/>
          <w:numId w:val="76"/>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ind w:right="240" w:firstLine="656"/>
        <w:spacing w:after="0" w:line="301" w:lineRule="auto"/>
        <w:tabs>
          <w:tab w:leader="none" w:pos="990" w:val="left"/>
        </w:tabs>
        <w:numPr>
          <w:ilvl w:val="0"/>
          <w:numId w:val="76"/>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7" w:lineRule="auto"/>
        <w:tabs>
          <w:tab w:leader="none" w:pos="990" w:val="left"/>
        </w:tabs>
        <w:numPr>
          <w:ilvl w:val="0"/>
          <w:numId w:val="76"/>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ectPr>
          <w:pgSz w:w="11900" w:h="16937" w:orient="portrait"/>
          <w:cols w:equalWidth="0" w:num="1">
            <w:col w:w="11400"/>
          </w:cols>
          <w:pgMar w:left="240" w:top="132" w:right="259" w:bottom="0" w:gutter="0" w:footer="0" w:header="0"/>
        </w:sectPr>
      </w:pPr>
    </w:p>
    <w:bookmarkStart w:id="82" w:name="page83"/>
    <w:bookmarkEnd w:id="82"/>
    <w:p>
      <w:pPr>
        <w:ind w:left="-656" w:right="220" w:firstLine="656"/>
        <w:spacing w:after="0" w:line="276" w:lineRule="auto"/>
        <w:tabs>
          <w:tab w:leader="none" w:pos="442" w:val="left"/>
        </w:tabs>
        <w:numPr>
          <w:ilvl w:val="0"/>
          <w:numId w:val="77"/>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656" w:right="200" w:firstLine="656"/>
        <w:spacing w:after="0" w:line="266" w:lineRule="auto"/>
        <w:tabs>
          <w:tab w:leader="none" w:pos="434" w:val="left"/>
        </w:tabs>
        <w:numPr>
          <w:ilvl w:val="0"/>
          <w:numId w:val="77"/>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left="-656" w:right="180" w:firstLine="656"/>
        <w:spacing w:after="0" w:line="307" w:lineRule="auto"/>
        <w:tabs>
          <w:tab w:leader="none" w:pos="442" w:val="left"/>
        </w:tabs>
        <w:numPr>
          <w:ilvl w:val="0"/>
          <w:numId w:val="77"/>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provided, however,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left="-656" w:right="700" w:firstLine="656"/>
        <w:spacing w:after="0" w:line="276" w:lineRule="auto"/>
        <w:tabs>
          <w:tab w:leader="none" w:pos="442" w:val="left"/>
        </w:tabs>
        <w:numPr>
          <w:ilvl w:val="0"/>
          <w:numId w:val="77"/>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ind w:left="-656" w:firstLine="656"/>
        <w:spacing w:after="0" w:line="287" w:lineRule="auto"/>
        <w:tabs>
          <w:tab w:leader="none" w:pos="442" w:val="left"/>
        </w:tabs>
        <w:numPr>
          <w:ilvl w:val="0"/>
          <w:numId w:val="77"/>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left="-656" w:right="100" w:firstLine="656"/>
        <w:spacing w:after="0" w:line="276" w:lineRule="auto"/>
        <w:tabs>
          <w:tab w:leader="none" w:pos="442" w:val="left"/>
        </w:tabs>
        <w:numPr>
          <w:ilvl w:val="0"/>
          <w:numId w:val="7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left="-656" w:right="400" w:firstLine="656"/>
        <w:spacing w:after="0" w:line="266" w:lineRule="auto"/>
        <w:tabs>
          <w:tab w:leader="none" w:pos="442" w:val="left"/>
        </w:tabs>
        <w:numPr>
          <w:ilvl w:val="0"/>
          <w:numId w:val="77"/>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444" w:hanging="444"/>
        <w:spacing w:after="0"/>
        <w:tabs>
          <w:tab w:leader="none" w:pos="444" w:val="left"/>
        </w:tabs>
        <w:numPr>
          <w:ilvl w:val="0"/>
          <w:numId w:val="77"/>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4" w:right="100" w:firstLine="1293"/>
        <w:spacing w:after="0" w:line="297" w:lineRule="auto"/>
        <w:tabs>
          <w:tab w:leader="none" w:pos="1720" w:val="left"/>
        </w:tabs>
        <w:numPr>
          <w:ilvl w:val="1"/>
          <w:numId w:val="77"/>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46" w:lineRule="exact"/>
        <w:rPr>
          <w:rFonts w:ascii="Arial" w:cs="Arial" w:eastAsia="Arial" w:hAnsi="Arial"/>
          <w:sz w:val="19"/>
          <w:szCs w:val="19"/>
          <w:color w:val="010000"/>
        </w:rPr>
      </w:pPr>
    </w:p>
    <w:p>
      <w:pPr>
        <w:ind w:left="4" w:right="20" w:firstLine="1293"/>
        <w:spacing w:after="0" w:line="254" w:lineRule="auto"/>
        <w:tabs>
          <w:tab w:leader="none" w:pos="1732" w:val="left"/>
        </w:tabs>
        <w:numPr>
          <w:ilvl w:val="1"/>
          <w:numId w:val="77"/>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left="4" w:right="20" w:firstLine="1293"/>
        <w:spacing w:after="0" w:line="292" w:lineRule="auto"/>
        <w:tabs>
          <w:tab w:leader="none" w:pos="1720" w:val="left"/>
        </w:tabs>
        <w:numPr>
          <w:ilvl w:val="1"/>
          <w:numId w:val="77"/>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w:t>
      </w:r>
    </w:p>
    <w:p>
      <w:pPr>
        <w:sectPr>
          <w:pgSz w:w="11900" w:h="16838" w:orient="portrait"/>
          <w:cols w:equalWidth="0" w:num="1">
            <w:col w:w="10744"/>
          </w:cols>
          <w:pgMar w:left="896" w:top="334" w:right="259" w:bottom="0" w:gutter="0" w:footer="0" w:header="0"/>
        </w:sectPr>
      </w:pPr>
    </w:p>
    <w:bookmarkStart w:id="83" w:name="page84"/>
    <w:bookmarkEnd w:id="83"/>
    <w:p>
      <w:pPr>
        <w:ind w:left="660" w:right="60"/>
        <w:spacing w:after="0" w:line="248" w:lineRule="auto"/>
        <w:rPr>
          <w:sz w:val="20"/>
          <w:szCs w:val="20"/>
          <w:color w:val="auto"/>
        </w:rPr>
      </w:pPr>
      <w:r>
        <w:rPr>
          <w:rFonts w:ascii="Arial" w:cs="Arial" w:eastAsia="Arial" w:hAnsi="Arial"/>
          <w:sz w:val="22"/>
          <w:szCs w:val="22"/>
          <w:color w:val="auto"/>
        </w:rPr>
        <w:t>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92"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411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VESTING SCHEDULE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Restricted Stock Units (RSUs) shall vest as set forth in the table below:</w:t>
      </w:r>
    </w:p>
    <w:p>
      <w:pPr>
        <w:sectPr>
          <w:pgSz w:w="11900" w:h="16838" w:orient="portrait"/>
          <w:cols w:equalWidth="0" w:num="1">
            <w:col w:w="11420"/>
          </w:cols>
          <w:pgMar w:left="240" w:top="13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10.9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 (the</w:t>
      </w:r>
    </w:p>
    <w:p>
      <w:pPr>
        <w:spacing w:after="0" w:line="39"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 xml:space="preserve">“Date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“Optionee”).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78"/>
        </w:numPr>
        <w:rPr>
          <w:rFonts w:ascii="Arial" w:cs="Arial" w:eastAsia="Arial" w:hAnsi="Arial"/>
          <w:sz w:val="19"/>
          <w:szCs w:val="19"/>
          <w:color w:val="010000"/>
        </w:rPr>
      </w:pPr>
      <w:r>
        <w:rPr>
          <w:rFonts w:ascii="Arial" w:cs="Arial" w:eastAsia="Arial" w:hAnsi="Arial"/>
          <w:sz w:val="19"/>
          <w:szCs w:val="19"/>
          <w:u w:val="single" w:color="auto"/>
          <w:color w:val="auto"/>
        </w:rPr>
        <w:t>NUMBER OF OPTION SHARES AND OPTION PRICE</w:t>
      </w:r>
      <w:r>
        <w:rPr>
          <w:rFonts w:ascii="Arial" w:cs="Arial" w:eastAsia="Arial" w:hAnsi="Arial"/>
          <w:sz w:val="19"/>
          <w:szCs w:val="19"/>
          <w:color w:val="auto"/>
        </w:rPr>
        <w:t>. The Option entitles the Optionee to purchase ______</w:t>
      </w:r>
    </w:p>
    <w:p>
      <w:pPr>
        <w:spacing w:after="0" w:line="56" w:lineRule="exact"/>
        <w:rPr>
          <w:rFonts w:ascii="Arial" w:cs="Arial" w:eastAsia="Arial" w:hAnsi="Arial"/>
          <w:sz w:val="19"/>
          <w:szCs w:val="19"/>
          <w:color w:val="010000"/>
        </w:rPr>
      </w:pPr>
    </w:p>
    <w:p>
      <w:pPr>
        <w:ind w:right="220"/>
        <w:spacing w:after="0" w:line="246" w:lineRule="auto"/>
        <w:rPr>
          <w:rFonts w:ascii="Arial" w:cs="Arial" w:eastAsia="Arial" w:hAnsi="Arial"/>
          <w:sz w:val="19"/>
          <w:szCs w:val="19"/>
          <w:color w:val="010000"/>
        </w:rPr>
      </w:pPr>
      <w:r>
        <w:rPr>
          <w:rFonts w:ascii="Arial" w:cs="Arial" w:eastAsia="Arial" w:hAnsi="Arial"/>
          <w:sz w:val="22"/>
          <w:szCs w:val="22"/>
          <w:color w:val="auto"/>
        </w:rPr>
        <w:t>shares of the Company’s Common Stock (the “Option Shares”) at a price of $_________ per share (the “Option Exercise Price”), which is the Fair Market Value of a share of Common Stock as of the Date of Grant.</w:t>
      </w:r>
    </w:p>
    <w:p>
      <w:pPr>
        <w:spacing w:after="0" w:line="192" w:lineRule="exact"/>
        <w:rPr>
          <w:rFonts w:ascii="Arial" w:cs="Arial" w:eastAsia="Arial" w:hAnsi="Arial"/>
          <w:sz w:val="19"/>
          <w:szCs w:val="19"/>
          <w:color w:val="010000"/>
        </w:rPr>
      </w:pPr>
    </w:p>
    <w:p>
      <w:pPr>
        <w:ind w:left="1000" w:hanging="344"/>
        <w:spacing w:after="0"/>
        <w:tabs>
          <w:tab w:leader="none" w:pos="1000"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1"/>
          <w:numId w:val="78"/>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180" w:firstLine="1305"/>
        <w:spacing w:after="0" w:line="264" w:lineRule="auto"/>
        <w:tabs>
          <w:tab w:leader="none" w:pos="1728" w:val="left"/>
        </w:tabs>
        <w:numPr>
          <w:ilvl w:val="1"/>
          <w:numId w:val="78"/>
        </w:numPr>
        <w:rPr>
          <w:rFonts w:ascii="Arial" w:cs="Arial" w:eastAsia="Arial" w:hAnsi="Arial"/>
          <w:sz w:val="21"/>
          <w:szCs w:val="21"/>
          <w:color w:val="010000"/>
        </w:rPr>
      </w:pPr>
      <w:r>
        <w:rPr>
          <w:rFonts w:ascii="Arial" w:cs="Arial" w:eastAsia="Arial" w:hAnsi="Arial"/>
          <w:sz w:val="21"/>
          <w:szCs w:val="21"/>
          <w:u w:val="single" w:color="auto"/>
          <w:color w:val="auto"/>
        </w:rPr>
        <w:t>Conditions of Exercise</w:t>
      </w:r>
      <w:r>
        <w:rPr>
          <w:rFonts w:ascii="Arial" w:cs="Arial" w:eastAsia="Arial" w:hAnsi="Arial"/>
          <w:sz w:val="21"/>
          <w:szCs w:val="21"/>
          <w:color w:val="auto"/>
        </w:rPr>
        <w:t>. Subject to the Optionee’s continued employment with or service to the Company, this Option shall vest and become exercisable as to one-third (1/3) of the shares subject to the Option on each of the first, second and third anniversaries of the Date of Grant. Notwithstanding anything in this Agreement to the contrary, the Option may be exercised only to purchase whole shares of Common Stock, and in no case may a fraction of a share of Common Stock be purchased. The right of the Optionee to purchase Option Shares with respect to which this Option has become exercisable as herein provided may only be exercised prior to the termination of the Option.</w:t>
      </w:r>
    </w:p>
    <w:p>
      <w:pPr>
        <w:spacing w:after="0" w:line="175" w:lineRule="exact"/>
        <w:rPr>
          <w:rFonts w:ascii="Arial" w:cs="Arial" w:eastAsia="Arial" w:hAnsi="Arial"/>
          <w:sz w:val="21"/>
          <w:szCs w:val="21"/>
          <w:color w:val="010000"/>
        </w:rPr>
      </w:pPr>
    </w:p>
    <w:p>
      <w:pPr>
        <w:jc w:val="both"/>
        <w:ind w:right="80" w:firstLine="1305"/>
        <w:spacing w:after="0" w:line="260" w:lineRule="auto"/>
        <w:tabs>
          <w:tab w:leader="none" w:pos="1716" w:val="left"/>
        </w:tabs>
        <w:numPr>
          <w:ilvl w:val="1"/>
          <w:numId w:val="78"/>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40" w:firstLine="1305"/>
        <w:spacing w:after="0" w:line="276" w:lineRule="auto"/>
        <w:tabs>
          <w:tab w:leader="none" w:pos="1716" w:val="left"/>
        </w:tabs>
        <w:numPr>
          <w:ilvl w:val="1"/>
          <w:numId w:val="78"/>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otherwise provided in this Section 3, the Option may not be exercised after the Optionee has ceased to be employed or engaged by the Company.</w:t>
      </w:r>
    </w:p>
    <w:p>
      <w:pPr>
        <w:spacing w:after="0" w:line="160" w:lineRule="exact"/>
        <w:rPr>
          <w:rFonts w:ascii="Arial" w:cs="Arial" w:eastAsia="Arial" w:hAnsi="Arial"/>
          <w:sz w:val="22"/>
          <w:szCs w:val="22"/>
          <w:color w:val="010000"/>
        </w:rPr>
      </w:pPr>
    </w:p>
    <w:p>
      <w:pPr>
        <w:ind w:right="20" w:firstLine="1305"/>
        <w:spacing w:after="0" w:line="254" w:lineRule="auto"/>
        <w:tabs>
          <w:tab w:leader="none" w:pos="1728" w:val="left"/>
        </w:tabs>
        <w:numPr>
          <w:ilvl w:val="1"/>
          <w:numId w:val="7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If the Optionee’s employment with or service to the Company terminates by reason of his or her death, the Options shall become fully vested and exercisable and thereafter may be exercised by the legal representative of the estate or by the legatee of the Optionee under the will of the Optionee, for a period of twelve (12) months from the date of such death or until the expiration of the term of the Option, whichever period is shorter.</w:t>
      </w:r>
    </w:p>
    <w:p>
      <w:pPr>
        <w:spacing w:after="0" w:line="185" w:lineRule="exact"/>
        <w:rPr>
          <w:rFonts w:ascii="Arial" w:cs="Arial" w:eastAsia="Arial" w:hAnsi="Arial"/>
          <w:sz w:val="22"/>
          <w:szCs w:val="22"/>
          <w:color w:val="010000"/>
        </w:rPr>
      </w:pPr>
    </w:p>
    <w:p>
      <w:pPr>
        <w:ind w:right="40" w:firstLine="1305"/>
        <w:spacing w:after="0" w:line="264" w:lineRule="auto"/>
        <w:tabs>
          <w:tab w:leader="none" w:pos="1716" w:val="left"/>
        </w:tabs>
        <w:numPr>
          <w:ilvl w:val="1"/>
          <w:numId w:val="78"/>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If the Optionee’s employment with or service to the Company terminates by reason of Disability, the Option shall become fully vested and exercisable and thereafter may be exercised for a period of twelve (12)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twelve-month period and prior to the expiration of the term of the Option, the Option shall thereafter be exercisable for a period of twelve (12) months from the time of death or until the expiration of the term of the Option, whichever period is shorter.</w:t>
      </w:r>
    </w:p>
    <w:p>
      <w:pPr>
        <w:sectPr>
          <w:pgSz w:w="11900" w:h="16838" w:orient="portrait"/>
          <w:cols w:equalWidth="0" w:num="1">
            <w:col w:w="11420"/>
          </w:cols>
          <w:pgMar w:left="240" w:top="126" w:right="239" w:bottom="0" w:gutter="0" w:footer="0" w:header="0"/>
        </w:sectPr>
      </w:pPr>
    </w:p>
    <w:bookmarkStart w:id="85" w:name="page86"/>
    <w:bookmarkEnd w:id="85"/>
    <w:p>
      <w:pPr>
        <w:ind w:right="100" w:firstLine="1305"/>
        <w:spacing w:after="0" w:line="299" w:lineRule="auto"/>
        <w:tabs>
          <w:tab w:leader="none" w:pos="1728" w:val="left"/>
        </w:tabs>
        <w:numPr>
          <w:ilvl w:val="2"/>
          <w:numId w:val="79"/>
        </w:numPr>
        <w:rPr>
          <w:rFonts w:ascii="Arial" w:cs="Arial" w:eastAsia="Arial" w:hAnsi="Arial"/>
          <w:sz w:val="19"/>
          <w:szCs w:val="19"/>
          <w:color w:val="010000"/>
        </w:rPr>
      </w:pPr>
      <w:r>
        <w:rPr>
          <w:rFonts w:ascii="Arial" w:cs="Arial" w:eastAsia="Arial" w:hAnsi="Arial"/>
          <w:sz w:val="19"/>
          <w:szCs w:val="19"/>
          <w:u w:val="single" w:color="auto"/>
          <w:color w:val="auto"/>
        </w:rPr>
        <w:t>Retirement</w:t>
      </w:r>
      <w:r>
        <w:rPr>
          <w:rFonts w:ascii="Arial" w:cs="Arial" w:eastAsia="Arial" w:hAnsi="Arial"/>
          <w:sz w:val="19"/>
          <w:szCs w:val="19"/>
          <w:color w:val="auto"/>
        </w:rPr>
        <w:t>. If the Optionee’s employment with or service to the Company terminates by reason of Retirement, the Option may thereafter be exercised, to the extent it was exercisable at the time of such termination, for a period of twelve</w:t>
      </w:r>
    </w:p>
    <w:p>
      <w:pPr>
        <w:ind w:left="420" w:hanging="412"/>
        <w:spacing w:after="0"/>
        <w:tabs>
          <w:tab w:leader="none" w:pos="4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months from the date of Retirement or until the expiration of the term of the Option, whichever period is shorter.</w:t>
      </w:r>
    </w:p>
    <w:p>
      <w:pPr>
        <w:spacing w:after="0" w:line="201" w:lineRule="exact"/>
        <w:rPr>
          <w:rFonts w:ascii="Arial" w:cs="Arial" w:eastAsia="Arial" w:hAnsi="Arial"/>
          <w:sz w:val="22"/>
          <w:szCs w:val="22"/>
          <w:color w:val="auto"/>
        </w:rPr>
      </w:pPr>
    </w:p>
    <w:p>
      <w:pPr>
        <w:ind w:right="260" w:firstLine="1305"/>
        <w:spacing w:after="0" w:line="254" w:lineRule="auto"/>
        <w:tabs>
          <w:tab w:leader="none" w:pos="1716" w:val="left"/>
        </w:tabs>
        <w:numPr>
          <w:ilvl w:val="2"/>
          <w:numId w:val="80"/>
        </w:numPr>
        <w:rPr>
          <w:rFonts w:ascii="Arial" w:cs="Arial" w:eastAsia="Arial" w:hAnsi="Arial"/>
          <w:sz w:val="22"/>
          <w:szCs w:val="22"/>
          <w:color w:val="010000"/>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an Optionee’s employment with or service to the Company terminates for any reason other than death, Disability or Retirement, the Option may be exercised, to the extent it was exercisable at the time of such termination, until the earlier to occur of (i) three (3) months from the date of such termination or (ii) the expiration of the term of the Option, whichever period is shorter.</w:t>
      </w:r>
    </w:p>
    <w:p>
      <w:pPr>
        <w:spacing w:after="0" w:line="185" w:lineRule="exact"/>
        <w:rPr>
          <w:rFonts w:ascii="Arial" w:cs="Arial" w:eastAsia="Arial" w:hAnsi="Arial"/>
          <w:sz w:val="22"/>
          <w:szCs w:val="22"/>
          <w:color w:val="010000"/>
        </w:rPr>
      </w:pPr>
    </w:p>
    <w:p>
      <w:pPr>
        <w:ind w:right="100" w:firstLine="1305"/>
        <w:spacing w:after="0" w:line="294" w:lineRule="auto"/>
        <w:tabs>
          <w:tab w:leader="none" w:pos="1692" w:val="left"/>
        </w:tabs>
        <w:numPr>
          <w:ilvl w:val="2"/>
          <w:numId w:val="80"/>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termination of the Optionee’s employment with or service to the Company within a period of twenty-four (24) months following a Change in Control (i) by the Company other than for Cause, (ii) as a result of his or her Disability or (iii) by the Optionee for Good Reason (as such terms are defined herein below or in the Plan), in lieu of shares of Common Stock issuable upon exercise of an outstanding Option, whether or not then exercisable, the Company shall pay the Optionee a lump sum amount (less any applicable taxes), in cash, equal to the product of (i) the excess of the Fair Market Value of the Option Shares on such date of termination, over the Option Exercise Price, and (ii) the number of the then unexercised Option Shares. The Option shall be canceled upon the making of such payment.</w:t>
      </w:r>
    </w:p>
    <w:p>
      <w:pPr>
        <w:spacing w:after="0" w:line="152" w:lineRule="exact"/>
        <w:rPr>
          <w:rFonts w:ascii="Arial" w:cs="Arial" w:eastAsia="Arial" w:hAnsi="Arial"/>
          <w:sz w:val="19"/>
          <w:szCs w:val="19"/>
          <w:color w:val="010000"/>
        </w:rPr>
      </w:pPr>
    </w:p>
    <w:p>
      <w:pPr>
        <w:ind w:right="580" w:firstLine="1305"/>
        <w:spacing w:after="0" w:line="276" w:lineRule="auto"/>
        <w:tabs>
          <w:tab w:leader="none" w:pos="1728" w:val="left"/>
        </w:tabs>
        <w:numPr>
          <w:ilvl w:val="2"/>
          <w:numId w:val="80"/>
        </w:numPr>
        <w:rPr>
          <w:rFonts w:ascii="Arial" w:cs="Arial" w:eastAsia="Arial" w:hAnsi="Arial"/>
          <w:sz w:val="22"/>
          <w:szCs w:val="22"/>
          <w:color w:val="010000"/>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80"/>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100" w:firstLine="1305"/>
        <w:spacing w:after="0" w:line="291" w:lineRule="auto"/>
        <w:tabs>
          <w:tab w:leader="none" w:pos="1716" w:val="left"/>
        </w:tabs>
        <w:numPr>
          <w:ilvl w:val="2"/>
          <w:numId w:val="81"/>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 (ii) by executing such documents as the Company may reasonably request.</w:t>
      </w:r>
    </w:p>
    <w:p>
      <w:pPr>
        <w:spacing w:after="0" w:line="154" w:lineRule="exact"/>
        <w:rPr>
          <w:rFonts w:ascii="Arial" w:cs="Arial" w:eastAsia="Arial" w:hAnsi="Arial"/>
          <w:sz w:val="19"/>
          <w:szCs w:val="19"/>
          <w:color w:val="010000"/>
        </w:rPr>
      </w:pPr>
    </w:p>
    <w:p>
      <w:pPr>
        <w:ind w:right="320" w:firstLine="1305"/>
        <w:spacing w:after="0" w:line="270" w:lineRule="auto"/>
        <w:tabs>
          <w:tab w:leader="none" w:pos="1728" w:val="left"/>
        </w:tabs>
        <w:numPr>
          <w:ilvl w:val="2"/>
          <w:numId w:val="81"/>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69" w:lineRule="exact"/>
        <w:rPr>
          <w:rFonts w:ascii="Arial" w:cs="Arial" w:eastAsia="Arial" w:hAnsi="Arial"/>
          <w:sz w:val="21"/>
          <w:szCs w:val="21"/>
          <w:color w:val="010000"/>
        </w:rPr>
      </w:pPr>
    </w:p>
    <w:p>
      <w:pPr>
        <w:ind w:right="100" w:firstLine="656"/>
        <w:spacing w:after="0" w:line="261" w:lineRule="auto"/>
        <w:tabs>
          <w:tab w:leader="none" w:pos="990" w:val="left"/>
        </w:tabs>
        <w:numPr>
          <w:ilvl w:val="1"/>
          <w:numId w:val="82"/>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84" w:lineRule="exact"/>
        <w:rPr>
          <w:sz w:val="20"/>
          <w:szCs w:val="20"/>
          <w:color w:val="auto"/>
        </w:rPr>
      </w:pPr>
    </w:p>
    <w:p>
      <w:pPr>
        <w:ind w:firstLine="656"/>
        <w:spacing w:after="0" w:line="264" w:lineRule="auto"/>
        <w:tabs>
          <w:tab w:leader="none" w:pos="990" w:val="left"/>
        </w:tabs>
        <w:numPr>
          <w:ilvl w:val="0"/>
          <w:numId w:val="83"/>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jc w:val="both"/>
        <w:ind w:right="40" w:firstLine="656"/>
        <w:spacing w:after="0" w:line="320" w:lineRule="auto"/>
        <w:tabs>
          <w:tab w:leader="none" w:pos="990" w:val="left"/>
        </w:tabs>
        <w:numPr>
          <w:ilvl w:val="0"/>
          <w:numId w:val="83"/>
        </w:numPr>
        <w:rPr>
          <w:rFonts w:ascii="Arial" w:cs="Arial" w:eastAsia="Arial" w:hAnsi="Arial"/>
          <w:sz w:val="19"/>
          <w:szCs w:val="19"/>
          <w:color w:val="010000"/>
        </w:rPr>
      </w:pP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w:t>
      </w:r>
    </w:p>
    <w:p>
      <w:pPr>
        <w:sectPr>
          <w:pgSz w:w="11900" w:h="16838" w:orient="portrait"/>
          <w:cols w:equalWidth="0" w:num="1">
            <w:col w:w="11400"/>
          </w:cols>
          <w:pgMar w:left="240" w:top="132" w:right="259" w:bottom="0" w:gutter="0" w:footer="0" w:header="0"/>
        </w:sectPr>
      </w:pPr>
    </w:p>
    <w:bookmarkStart w:id="86" w:name="page87"/>
    <w:bookmarkEnd w:id="86"/>
    <w:p>
      <w:pPr>
        <w:ind w:right="40"/>
        <w:spacing w:after="0" w:line="246" w:lineRule="auto"/>
        <w:rPr>
          <w:sz w:val="20"/>
          <w:szCs w:val="20"/>
          <w:color w:val="auto"/>
        </w:rPr>
      </w:pPr>
      <w:r>
        <w:rPr>
          <w:rFonts w:ascii="Arial" w:cs="Arial" w:eastAsia="Arial" w:hAnsi="Arial"/>
          <w:sz w:val="22"/>
          <w:szCs w:val="22"/>
          <w:color w:val="auto"/>
        </w:rPr>
        <w:t>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97" w:lineRule="exact"/>
        <w:rPr>
          <w:sz w:val="20"/>
          <w:szCs w:val="20"/>
          <w:color w:val="auto"/>
        </w:rPr>
      </w:pPr>
    </w:p>
    <w:p>
      <w:pPr>
        <w:ind w:right="20" w:firstLine="656"/>
        <w:spacing w:after="0" w:line="290" w:lineRule="auto"/>
        <w:tabs>
          <w:tab w:leader="none" w:pos="990" w:val="left"/>
        </w:tabs>
        <w:numPr>
          <w:ilvl w:val="1"/>
          <w:numId w:val="84"/>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6" w:lineRule="auto"/>
        <w:tabs>
          <w:tab w:leader="none" w:pos="414"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right="300" w:firstLine="656"/>
        <w:spacing w:after="0" w:line="260" w:lineRule="auto"/>
        <w:tabs>
          <w:tab w:leader="none" w:pos="990" w:val="left"/>
        </w:tabs>
        <w:numPr>
          <w:ilvl w:val="1"/>
          <w:numId w:val="85"/>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right="40" w:firstLine="656"/>
        <w:spacing w:after="0" w:line="251" w:lineRule="auto"/>
        <w:tabs>
          <w:tab w:leader="none" w:pos="1098" w:val="left"/>
        </w:tabs>
        <w:numPr>
          <w:ilvl w:val="1"/>
          <w:numId w:val="85"/>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60" w:firstLine="656"/>
        <w:spacing w:after="0" w:line="301" w:lineRule="auto"/>
        <w:tabs>
          <w:tab w:leader="none" w:pos="1090" w:val="left"/>
        </w:tabs>
        <w:numPr>
          <w:ilvl w:val="1"/>
          <w:numId w:val="85"/>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6" w:lineRule="auto"/>
        <w:tabs>
          <w:tab w:leader="none" w:pos="1098" w:val="left"/>
        </w:tabs>
        <w:numPr>
          <w:ilvl w:val="1"/>
          <w:numId w:val="85"/>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Option, payment by the Optionee of any federal, state, local or other taxes which may be required to be withheld or paid in connection with the Option.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 submitted an irrevocable notice of exercise or (v)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Optionee.</w:t>
      </w:r>
    </w:p>
    <w:p>
      <w:pPr>
        <w:spacing w:after="0" w:line="165" w:lineRule="exact"/>
        <w:rPr>
          <w:rFonts w:ascii="Arial" w:cs="Arial" w:eastAsia="Arial" w:hAnsi="Arial"/>
          <w:sz w:val="19"/>
          <w:szCs w:val="19"/>
          <w:color w:val="010000"/>
        </w:rPr>
      </w:pPr>
    </w:p>
    <w:p>
      <w:pPr>
        <w:ind w:right="200" w:firstLine="656"/>
        <w:spacing w:after="0" w:line="276" w:lineRule="auto"/>
        <w:tabs>
          <w:tab w:leader="none" w:pos="1098" w:val="left"/>
        </w:tabs>
        <w:numPr>
          <w:ilvl w:val="1"/>
          <w:numId w:val="85"/>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right="180" w:firstLine="656"/>
        <w:spacing w:after="0" w:line="300" w:lineRule="auto"/>
        <w:tabs>
          <w:tab w:leader="none" w:pos="1098" w:val="left"/>
        </w:tabs>
        <w:numPr>
          <w:ilvl w:val="1"/>
          <w:numId w:val="85"/>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ectPr>
          <w:pgSz w:w="11900" w:h="16838" w:orient="portrait"/>
          <w:cols w:equalWidth="0" w:num="1">
            <w:col w:w="11420"/>
          </w:cols>
          <w:pgMar w:left="240" w:top="132" w:right="239" w:bottom="0" w:gutter="0" w:footer="0" w:header="0"/>
        </w:sectPr>
      </w:pPr>
    </w:p>
    <w:bookmarkStart w:id="87" w:name="page88"/>
    <w:bookmarkEnd w:id="87"/>
    <w:p>
      <w:pPr>
        <w:ind w:right="180" w:firstLine="656"/>
        <w:spacing w:after="0" w:line="307" w:lineRule="auto"/>
        <w:tabs>
          <w:tab w:leader="none" w:pos="1098" w:val="left"/>
        </w:tabs>
        <w:numPr>
          <w:ilvl w:val="1"/>
          <w:numId w:val="86"/>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Optionee without the consent of the Optionee.</w:t>
      </w:r>
    </w:p>
    <w:p>
      <w:pPr>
        <w:spacing w:after="0" w:line="138" w:lineRule="exact"/>
        <w:rPr>
          <w:rFonts w:ascii="Arial" w:cs="Arial" w:eastAsia="Arial" w:hAnsi="Arial"/>
          <w:sz w:val="19"/>
          <w:szCs w:val="19"/>
          <w:color w:val="010000"/>
        </w:rPr>
      </w:pPr>
    </w:p>
    <w:p>
      <w:pPr>
        <w:ind w:right="200" w:firstLine="656"/>
        <w:spacing w:after="0" w:line="260" w:lineRule="auto"/>
        <w:tabs>
          <w:tab w:leader="none" w:pos="1098"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00" w:firstLine="656"/>
        <w:spacing w:after="0" w:line="276" w:lineRule="auto"/>
        <w:tabs>
          <w:tab w:leader="none" w:pos="1098"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1"/>
          <w:numId w:val="86"/>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86"/>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40" w:firstLine="1305"/>
        <w:spacing w:after="0" w:line="250" w:lineRule="auto"/>
        <w:tabs>
          <w:tab w:leader="none" w:pos="1716" w:val="left"/>
        </w:tabs>
        <w:numPr>
          <w:ilvl w:val="2"/>
          <w:numId w:val="86"/>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188" w:lineRule="exact"/>
        <w:rPr>
          <w:rFonts w:ascii="Arial" w:cs="Arial" w:eastAsia="Arial" w:hAnsi="Arial"/>
          <w:sz w:val="22"/>
          <w:szCs w:val="22"/>
          <w:color w:val="010000"/>
        </w:rPr>
      </w:pPr>
    </w:p>
    <w:p>
      <w:pPr>
        <w:ind w:right="200" w:firstLine="1305"/>
        <w:spacing w:after="0" w:line="254" w:lineRule="auto"/>
        <w:tabs>
          <w:tab w:leader="none" w:pos="1728" w:val="left"/>
        </w:tabs>
        <w:numPr>
          <w:ilvl w:val="2"/>
          <w:numId w:val="86"/>
        </w:numPr>
        <w:rPr>
          <w:rFonts w:ascii="Arial" w:cs="Arial" w:eastAsia="Arial" w:hAnsi="Arial"/>
          <w:sz w:val="22"/>
          <w:szCs w:val="22"/>
          <w:color w:val="010000"/>
        </w:rPr>
      </w:pPr>
      <w:r>
        <w:rPr>
          <w:rFonts w:ascii="Arial" w:cs="Arial" w:eastAsia="Arial" w:hAnsi="Arial"/>
          <w:sz w:val="22"/>
          <w:szCs w:val="22"/>
          <w:color w:val="auto"/>
        </w:rPr>
        <w:t>“Disability” shall mean that the Optionee,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86"/>
        </w:numPr>
        <w:rPr>
          <w:rFonts w:ascii="Arial" w:cs="Arial" w:eastAsia="Arial" w:hAnsi="Arial"/>
          <w:sz w:val="19"/>
          <w:szCs w:val="19"/>
          <w:color w:val="010000"/>
        </w:rPr>
      </w:pPr>
      <w:r>
        <w:rPr>
          <w:rFonts w:ascii="Arial" w:cs="Arial" w:eastAsia="Arial" w:hAnsi="Arial"/>
          <w:sz w:val="19"/>
          <w:szCs w:val="19"/>
          <w:color w:val="auto"/>
        </w:rPr>
        <w:t>The Optionee shall have “Good Reason” to effect a voluntary termination of his or her employment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w:t>
      </w:r>
    </w:p>
    <w:p>
      <w:pPr>
        <w:spacing w:after="0" w:line="3" w:lineRule="exact"/>
        <w:rPr>
          <w:rFonts w:ascii="Arial" w:cs="Arial" w:eastAsia="Arial" w:hAnsi="Arial"/>
          <w:sz w:val="19"/>
          <w:szCs w:val="19"/>
          <w:color w:val="010000"/>
        </w:rPr>
      </w:pPr>
    </w:p>
    <w:p>
      <w:pPr>
        <w:ind w:right="20" w:firstLine="8"/>
        <w:spacing w:after="0" w:line="288" w:lineRule="auto"/>
        <w:tabs>
          <w:tab w:leader="none" w:pos="366" w:val="left"/>
        </w:tabs>
        <w:numPr>
          <w:ilvl w:val="0"/>
          <w:numId w:val="87"/>
        </w:numPr>
        <w:rPr>
          <w:rFonts w:ascii="Arial" w:cs="Arial" w:eastAsia="Arial" w:hAnsi="Arial"/>
          <w:sz w:val="19"/>
          <w:szCs w:val="19"/>
          <w:color w:val="auto"/>
        </w:rPr>
      </w:pPr>
      <w:r>
        <w:rPr>
          <w:rFonts w:ascii="Arial" w:cs="Arial" w:eastAsia="Arial" w:hAnsi="Arial"/>
          <w:sz w:val="19"/>
          <w:szCs w:val="19"/>
          <w:color w:val="auto"/>
        </w:rPr>
        <w:t>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thirty (30) days following the date on which the Optionee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7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ectPr>
          <w:pgSz w:w="11900" w:h="16838" w:orient="portrait"/>
          <w:cols w:equalWidth="0" w:num="1">
            <w:col w:w="11400"/>
          </w:cols>
          <w:pgMar w:left="240" w:top="132" w:right="259" w:bottom="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w:t>
      </w:r>
    </w:p>
    <w:p>
      <w:pPr>
        <w:sectPr>
          <w:pgSz w:w="11900" w:h="16838" w:orient="portrait"/>
          <w:cols w:equalWidth="0" w:num="1">
            <w:col w:w="11400"/>
          </w:cols>
          <w:pgMar w:left="240" w:top="132" w:right="259" w:bottom="14" w:gutter="0" w:footer="0" w:header="0"/>
          <w:type w:val="continuous"/>
        </w:sectPr>
      </w:pPr>
    </w:p>
    <w:bookmarkStart w:id="88" w:name="page89"/>
    <w:bookmarkEnd w:id="88"/>
    <w:p>
      <w:pPr>
        <w:ind w:left="2700"/>
        <w:spacing w:after="0"/>
        <w:rPr>
          <w:sz w:val="20"/>
          <w:szCs w:val="20"/>
          <w:color w:val="auto"/>
        </w:rPr>
      </w:pPr>
      <w:r>
        <w:rPr>
          <w:rFonts w:ascii="Arial" w:cs="Arial" w:eastAsia="Arial" w:hAnsi="Arial"/>
          <w:sz w:val="19"/>
          <w:szCs w:val="19"/>
          <w:color w:val="auto"/>
        </w:rPr>
        <w:t>City/State/Zip</w:t>
      </w:r>
    </w:p>
    <w:p>
      <w:pPr>
        <w:sectPr>
          <w:pgSz w:w="11900" w:h="16838" w:orient="portrait"/>
          <w:cols w:equalWidth="0" w:num="1">
            <w:col w:w="9019"/>
          </w:cols>
          <w:pgMar w:left="1440" w:top="415"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10.10</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International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 (the</w:t>
      </w:r>
    </w:p>
    <w:p>
      <w:pPr>
        <w:spacing w:after="0" w:line="39"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 xml:space="preserve">“Date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“Optionee”).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right="380" w:firstLine="648"/>
        <w:spacing w:after="0" w:line="271" w:lineRule="auto"/>
        <w:rPr>
          <w:sz w:val="20"/>
          <w:szCs w:val="20"/>
          <w:color w:val="auto"/>
        </w:rPr>
      </w:pPr>
      <w:r>
        <w:rPr>
          <w:rFonts w:ascii="Arial" w:cs="Arial" w:eastAsia="Arial" w:hAnsi="Arial"/>
          <w:sz w:val="21"/>
          <w:szCs w:val="21"/>
          <w:color w:val="auto"/>
        </w:rPr>
        <w:t xml:space="preserve">This Option is subject to all of the terms and conditions set forth herein, the special provisions for Optionee’s country of residence, if any,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Plan, all of which are incorporated herein by reference. Any capitalized terms not defined herein shall have their respective meanings set forth in the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88"/>
        </w:numPr>
        <w:rPr>
          <w:rFonts w:ascii="Arial" w:cs="Arial" w:eastAsia="Arial" w:hAnsi="Arial"/>
          <w:sz w:val="19"/>
          <w:szCs w:val="19"/>
          <w:color w:val="010000"/>
        </w:rPr>
      </w:pPr>
      <w:r>
        <w:rPr>
          <w:rFonts w:ascii="Arial" w:cs="Arial" w:eastAsia="Arial" w:hAnsi="Arial"/>
          <w:sz w:val="19"/>
          <w:szCs w:val="19"/>
          <w:u w:val="single" w:color="auto"/>
          <w:color w:val="auto"/>
        </w:rPr>
        <w:t>NUMBER OF OPTION SHARES AND OPTION PRICE</w:t>
      </w:r>
      <w:r>
        <w:rPr>
          <w:rFonts w:ascii="Arial" w:cs="Arial" w:eastAsia="Arial" w:hAnsi="Arial"/>
          <w:sz w:val="19"/>
          <w:szCs w:val="19"/>
          <w:color w:val="auto"/>
        </w:rPr>
        <w:t>. The Option entitles the Optionee to purchase ______</w:t>
      </w:r>
    </w:p>
    <w:p>
      <w:pPr>
        <w:spacing w:after="0" w:line="56" w:lineRule="exact"/>
        <w:rPr>
          <w:rFonts w:ascii="Arial" w:cs="Arial" w:eastAsia="Arial" w:hAnsi="Arial"/>
          <w:sz w:val="19"/>
          <w:szCs w:val="19"/>
          <w:color w:val="010000"/>
        </w:rPr>
      </w:pPr>
    </w:p>
    <w:p>
      <w:pPr>
        <w:ind w:right="220"/>
        <w:spacing w:after="0" w:line="246" w:lineRule="auto"/>
        <w:rPr>
          <w:rFonts w:ascii="Arial" w:cs="Arial" w:eastAsia="Arial" w:hAnsi="Arial"/>
          <w:sz w:val="19"/>
          <w:szCs w:val="19"/>
          <w:color w:val="010000"/>
        </w:rPr>
      </w:pPr>
      <w:r>
        <w:rPr>
          <w:rFonts w:ascii="Arial" w:cs="Arial" w:eastAsia="Arial" w:hAnsi="Arial"/>
          <w:sz w:val="22"/>
          <w:szCs w:val="22"/>
          <w:color w:val="auto"/>
        </w:rPr>
        <w:t>shares of the Company’s Common Stock (the “Option Shares”) at a price of $_________ per share (the “Option Exercise Price”), which is the Fair Market Value of a share of Common Stock as of the Date of Grant.</w:t>
      </w:r>
    </w:p>
    <w:p>
      <w:pPr>
        <w:spacing w:after="0" w:line="192" w:lineRule="exact"/>
        <w:rPr>
          <w:rFonts w:ascii="Arial" w:cs="Arial" w:eastAsia="Arial" w:hAnsi="Arial"/>
          <w:sz w:val="19"/>
          <w:szCs w:val="19"/>
          <w:color w:val="010000"/>
        </w:rPr>
      </w:pPr>
    </w:p>
    <w:p>
      <w:pPr>
        <w:ind w:left="1000" w:hanging="344"/>
        <w:spacing w:after="0"/>
        <w:tabs>
          <w:tab w:leader="none" w:pos="1000" w:val="left"/>
        </w:tabs>
        <w:numPr>
          <w:ilvl w:val="0"/>
          <w:numId w:val="88"/>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1"/>
          <w:numId w:val="88"/>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180" w:firstLine="1305"/>
        <w:spacing w:after="0" w:line="264" w:lineRule="auto"/>
        <w:tabs>
          <w:tab w:leader="none" w:pos="1728" w:val="left"/>
        </w:tabs>
        <w:numPr>
          <w:ilvl w:val="1"/>
          <w:numId w:val="88"/>
        </w:numPr>
        <w:rPr>
          <w:rFonts w:ascii="Arial" w:cs="Arial" w:eastAsia="Arial" w:hAnsi="Arial"/>
          <w:sz w:val="21"/>
          <w:szCs w:val="21"/>
          <w:color w:val="010000"/>
        </w:rPr>
      </w:pPr>
      <w:r>
        <w:rPr>
          <w:rFonts w:ascii="Arial" w:cs="Arial" w:eastAsia="Arial" w:hAnsi="Arial"/>
          <w:sz w:val="21"/>
          <w:szCs w:val="21"/>
          <w:u w:val="single" w:color="auto"/>
          <w:color w:val="auto"/>
        </w:rPr>
        <w:t>Conditions of Exercise</w:t>
      </w:r>
      <w:r>
        <w:rPr>
          <w:rFonts w:ascii="Arial" w:cs="Arial" w:eastAsia="Arial" w:hAnsi="Arial"/>
          <w:sz w:val="21"/>
          <w:szCs w:val="21"/>
          <w:color w:val="auto"/>
        </w:rPr>
        <w:t>. Subject to the Optionee’s continued employment with or service to the Company, this Option shall vest and become exercisable as to one-third (1/3) of the shares subject to the Option on each of the first, second and third anniversaries of the Date of Grant. Notwithstanding anything in this Agreement to the contrary, the Option may be exercised only to purchase whole shares of Common Stock, and in no case may a fraction of a share of Common Stock be purchased. The right of the Optionee to purchase Option Shares with respect to which this Option has become exercisable as herein provided may only be exercised prior to the termination of the Option.</w:t>
      </w:r>
    </w:p>
    <w:p>
      <w:pPr>
        <w:spacing w:after="0" w:line="175" w:lineRule="exact"/>
        <w:rPr>
          <w:rFonts w:ascii="Arial" w:cs="Arial" w:eastAsia="Arial" w:hAnsi="Arial"/>
          <w:sz w:val="21"/>
          <w:szCs w:val="21"/>
          <w:color w:val="010000"/>
        </w:rPr>
      </w:pPr>
    </w:p>
    <w:p>
      <w:pPr>
        <w:jc w:val="both"/>
        <w:ind w:right="80" w:firstLine="1305"/>
        <w:spacing w:after="0" w:line="260" w:lineRule="auto"/>
        <w:tabs>
          <w:tab w:leader="none" w:pos="1716" w:val="left"/>
        </w:tabs>
        <w:numPr>
          <w:ilvl w:val="1"/>
          <w:numId w:val="88"/>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88"/>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40" w:firstLine="1305"/>
        <w:spacing w:after="0" w:line="300" w:lineRule="auto"/>
        <w:tabs>
          <w:tab w:leader="none" w:pos="1716" w:val="left"/>
        </w:tabs>
        <w:numPr>
          <w:ilvl w:val="1"/>
          <w:numId w:val="88"/>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provided in this Section 3, the Option may not be exercised after the Optionee has ceased to be employed or engaged by the Company. As noted in Section 15(k) below, for the avoidance of doubt and for purposes of the Option only, termination shall be deemed to occur as of the date the Optionee is no longer actively providing services to the Company, a Subsidiary, or other affiliated entity and will not be extended by any notice period or “garden leave” that may be required contractually or under applicable laws, unless otherwise determined by the Company in its sole discretion.</w:t>
      </w:r>
    </w:p>
    <w:p>
      <w:pPr>
        <w:spacing w:after="0" w:line="147"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8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If the Optionee’s employment with or service to the Company terminates by reason of his or her death, the Options shall become fully vested and exercisable and thereafter may be exercised by the legal representative of the estate or by the legatee of the Optionee under the will of the Optionee, for a period of twelve (12) months from the date of such death or until the expiration of the term of the Option, whichever period is shorter.</w:t>
      </w:r>
    </w:p>
    <w:p>
      <w:pPr>
        <w:sectPr>
          <w:pgSz w:w="11900" w:h="16838" w:orient="portrait"/>
          <w:cols w:equalWidth="0" w:num="1">
            <w:col w:w="11420"/>
          </w:cols>
          <w:pgMar w:left="240" w:top="125" w:right="239" w:bottom="256" w:gutter="0" w:footer="0" w:header="0"/>
        </w:sectPr>
      </w:pPr>
    </w:p>
    <w:bookmarkStart w:id="90" w:name="page91"/>
    <w:bookmarkEnd w:id="90"/>
    <w:p>
      <w:pPr>
        <w:ind w:firstLine="1305"/>
        <w:spacing w:after="0" w:line="264" w:lineRule="auto"/>
        <w:tabs>
          <w:tab w:leader="none" w:pos="1716" w:val="left"/>
        </w:tabs>
        <w:numPr>
          <w:ilvl w:val="2"/>
          <w:numId w:val="89"/>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If the Optionee’s employment with or service to the Company terminates by reason of Disability, the Option shall become fully vested and exercisable and thereafter may be exercised for a period of twelve (12)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twelve-month period and prior to the expiration of the term of the Option, the Option shall thereafter be exercisable for a period of twelve (12) months from the time of death or until the expiration of the term of the Option, whichever period is shorter.</w:t>
      </w:r>
    </w:p>
    <w:p>
      <w:pPr>
        <w:spacing w:after="0" w:line="175" w:lineRule="exact"/>
        <w:rPr>
          <w:rFonts w:ascii="Arial" w:cs="Arial" w:eastAsia="Arial" w:hAnsi="Arial"/>
          <w:sz w:val="21"/>
          <w:szCs w:val="21"/>
          <w:color w:val="010000"/>
        </w:rPr>
      </w:pPr>
    </w:p>
    <w:p>
      <w:pPr>
        <w:ind w:right="80" w:firstLine="1305"/>
        <w:spacing w:after="0" w:line="299" w:lineRule="auto"/>
        <w:tabs>
          <w:tab w:leader="none" w:pos="1728" w:val="left"/>
        </w:tabs>
        <w:numPr>
          <w:ilvl w:val="2"/>
          <w:numId w:val="89"/>
        </w:numPr>
        <w:rPr>
          <w:rFonts w:ascii="Arial" w:cs="Arial" w:eastAsia="Arial" w:hAnsi="Arial"/>
          <w:sz w:val="19"/>
          <w:szCs w:val="19"/>
          <w:color w:val="010000"/>
        </w:rPr>
      </w:pPr>
      <w:r>
        <w:rPr>
          <w:rFonts w:ascii="Arial" w:cs="Arial" w:eastAsia="Arial" w:hAnsi="Arial"/>
          <w:sz w:val="19"/>
          <w:szCs w:val="19"/>
          <w:u w:val="single" w:color="auto"/>
          <w:color w:val="auto"/>
        </w:rPr>
        <w:t>Retirement</w:t>
      </w:r>
      <w:r>
        <w:rPr>
          <w:rFonts w:ascii="Arial" w:cs="Arial" w:eastAsia="Arial" w:hAnsi="Arial"/>
          <w:sz w:val="19"/>
          <w:szCs w:val="19"/>
          <w:color w:val="auto"/>
        </w:rPr>
        <w:t>. If the Optionee’s employment with or service to the Company terminates by reason of Retirement, the Option may thereafter be exercised, to the extent it was exercisable at the time of such termination, for a period of twelve</w:t>
      </w:r>
    </w:p>
    <w:p>
      <w:pPr>
        <w:ind w:left="420" w:hanging="412"/>
        <w:spacing w:after="0"/>
        <w:tabs>
          <w:tab w:leader="none" w:pos="4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months from the date of Retirement or until the expiration of the term of the Option, whichever period is shorter.</w:t>
      </w:r>
    </w:p>
    <w:p>
      <w:pPr>
        <w:spacing w:after="0" w:line="201" w:lineRule="exact"/>
        <w:rPr>
          <w:rFonts w:ascii="Arial" w:cs="Arial" w:eastAsia="Arial" w:hAnsi="Arial"/>
          <w:sz w:val="22"/>
          <w:szCs w:val="22"/>
          <w:color w:val="auto"/>
        </w:rPr>
      </w:pPr>
    </w:p>
    <w:p>
      <w:pPr>
        <w:ind w:right="240" w:firstLine="1305"/>
        <w:spacing w:after="0" w:line="254" w:lineRule="auto"/>
        <w:tabs>
          <w:tab w:leader="none" w:pos="1716" w:val="left"/>
        </w:tabs>
        <w:numPr>
          <w:ilvl w:val="2"/>
          <w:numId w:val="90"/>
        </w:numPr>
        <w:rPr>
          <w:rFonts w:ascii="Arial" w:cs="Arial" w:eastAsia="Arial" w:hAnsi="Arial"/>
          <w:sz w:val="22"/>
          <w:szCs w:val="22"/>
          <w:color w:val="010000"/>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an Optionee’s employment with or service to the Company terminates for any reason other than death, Disability or Retirement, the Option may be exercised, to the extent it was exercisable at the time of such termination, until the earlier to occur of (i) three (3) months from the date of such termination or (ii) the expiration of the term of the Option, whichever period is shorter.</w:t>
      </w:r>
    </w:p>
    <w:p>
      <w:pPr>
        <w:spacing w:after="0" w:line="185" w:lineRule="exact"/>
        <w:rPr>
          <w:rFonts w:ascii="Arial" w:cs="Arial" w:eastAsia="Arial" w:hAnsi="Arial"/>
          <w:sz w:val="22"/>
          <w:szCs w:val="22"/>
          <w:color w:val="010000"/>
        </w:rPr>
      </w:pPr>
    </w:p>
    <w:p>
      <w:pPr>
        <w:ind w:right="80" w:firstLine="1305"/>
        <w:spacing w:after="0" w:line="294" w:lineRule="auto"/>
        <w:tabs>
          <w:tab w:leader="none" w:pos="1692" w:val="left"/>
        </w:tabs>
        <w:numPr>
          <w:ilvl w:val="2"/>
          <w:numId w:val="90"/>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termination of the Optionee’s employment with or service to the Company within a period of twenty-four (24) months following a Change in Control (i) by the Company other than for Cause, (ii) as a result of his or her Disability or (iii) by the Optionee for Good Reason (as such terms are defined herein below or in the Plan), in lieu of shares of Common Stock issuable upon exercise of an outstanding Option, whether or not then exercisable, the Company shall pay the Optionee a lump sum amount (less any applicable taxes), in cash, equal to the product of (i) the excess of the Fair Market Value of the Option Shares on such date of termination, over the Option Exercise Price, and (ii) the number of the then unexercised Option Shares. The Option shall be canceled upon the making of such payment.</w:t>
      </w:r>
    </w:p>
    <w:p>
      <w:pPr>
        <w:spacing w:after="0" w:line="152" w:lineRule="exact"/>
        <w:rPr>
          <w:rFonts w:ascii="Arial" w:cs="Arial" w:eastAsia="Arial" w:hAnsi="Arial"/>
          <w:sz w:val="19"/>
          <w:szCs w:val="19"/>
          <w:color w:val="010000"/>
        </w:rPr>
      </w:pPr>
    </w:p>
    <w:p>
      <w:pPr>
        <w:ind w:right="560" w:firstLine="1305"/>
        <w:spacing w:after="0" w:line="276" w:lineRule="auto"/>
        <w:tabs>
          <w:tab w:leader="none" w:pos="1728" w:val="left"/>
        </w:tabs>
        <w:numPr>
          <w:ilvl w:val="2"/>
          <w:numId w:val="90"/>
        </w:numPr>
        <w:rPr>
          <w:rFonts w:ascii="Arial" w:cs="Arial" w:eastAsia="Arial" w:hAnsi="Arial"/>
          <w:sz w:val="22"/>
          <w:szCs w:val="22"/>
          <w:color w:val="010000"/>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90"/>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80" w:firstLine="1305"/>
        <w:spacing w:after="0" w:line="291" w:lineRule="auto"/>
        <w:tabs>
          <w:tab w:leader="none" w:pos="1716" w:val="left"/>
        </w:tabs>
        <w:numPr>
          <w:ilvl w:val="2"/>
          <w:numId w:val="91"/>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 (ii) by executing such documents as the Company may reasonably request.</w:t>
      </w:r>
    </w:p>
    <w:p>
      <w:pPr>
        <w:spacing w:after="0" w:line="154" w:lineRule="exact"/>
        <w:rPr>
          <w:rFonts w:ascii="Arial" w:cs="Arial" w:eastAsia="Arial" w:hAnsi="Arial"/>
          <w:sz w:val="19"/>
          <w:szCs w:val="19"/>
          <w:color w:val="010000"/>
        </w:rPr>
      </w:pPr>
    </w:p>
    <w:p>
      <w:pPr>
        <w:ind w:right="300" w:firstLine="1305"/>
        <w:spacing w:after="0" w:line="270" w:lineRule="auto"/>
        <w:tabs>
          <w:tab w:leader="none" w:pos="1728" w:val="left"/>
        </w:tabs>
        <w:numPr>
          <w:ilvl w:val="2"/>
          <w:numId w:val="91"/>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69" w:lineRule="exact"/>
        <w:rPr>
          <w:rFonts w:ascii="Arial" w:cs="Arial" w:eastAsia="Arial" w:hAnsi="Arial"/>
          <w:sz w:val="21"/>
          <w:szCs w:val="21"/>
          <w:color w:val="010000"/>
        </w:rPr>
      </w:pPr>
    </w:p>
    <w:p>
      <w:pPr>
        <w:ind w:right="80" w:firstLine="656"/>
        <w:spacing w:after="0" w:line="261" w:lineRule="auto"/>
        <w:tabs>
          <w:tab w:leader="none" w:pos="990" w:val="left"/>
        </w:tabs>
        <w:numPr>
          <w:ilvl w:val="1"/>
          <w:numId w:val="92"/>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84" w:lineRule="exact"/>
        <w:rPr>
          <w:sz w:val="20"/>
          <w:szCs w:val="20"/>
          <w:color w:val="auto"/>
        </w:rPr>
      </w:pPr>
    </w:p>
    <w:p>
      <w:pPr>
        <w:ind w:right="60" w:firstLine="656"/>
        <w:spacing w:after="0" w:line="320" w:lineRule="auto"/>
        <w:tabs>
          <w:tab w:leader="none" w:pos="990" w:val="left"/>
        </w:tabs>
        <w:numPr>
          <w:ilvl w:val="0"/>
          <w:numId w:val="93"/>
        </w:numPr>
        <w:rPr>
          <w:rFonts w:ascii="Arial" w:cs="Arial" w:eastAsia="Arial" w:hAnsi="Arial"/>
          <w:sz w:val="19"/>
          <w:szCs w:val="19"/>
          <w:color w:val="010000"/>
        </w:rPr>
      </w:pPr>
      <w:r>
        <w:rPr>
          <w:rFonts w:ascii="Arial" w:cs="Arial" w:eastAsia="Arial" w:hAnsi="Arial"/>
          <w:sz w:val="19"/>
          <w:szCs w:val="19"/>
          <w:u w:val="single" w:color="auto"/>
          <w:color w:val="auto"/>
        </w:rPr>
        <w:t>ADJUSTMENT IN COMMON STOCK</w:t>
      </w:r>
      <w:r>
        <w:rPr>
          <w:rFonts w:ascii="Arial" w:cs="Arial" w:eastAsia="Arial" w:hAnsi="Arial"/>
          <w:sz w:val="19"/>
          <w:szCs w:val="19"/>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w:t>
      </w:r>
    </w:p>
    <w:p>
      <w:pPr>
        <w:sectPr>
          <w:pgSz w:w="11900" w:h="16838" w:orient="portrait"/>
          <w:cols w:equalWidth="0" w:num="1">
            <w:col w:w="11380"/>
          </w:cols>
          <w:pgMar w:left="240" w:top="131" w:right="279" w:bottom="0" w:gutter="0" w:footer="0" w:header="0"/>
        </w:sectPr>
      </w:pPr>
    </w:p>
    <w:bookmarkStart w:id="91" w:name="page92"/>
    <w:bookmarkEnd w:id="91"/>
    <w:p>
      <w:pPr>
        <w:spacing w:after="0" w:line="63"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86" w:lineRule="exact"/>
        <w:rPr>
          <w:sz w:val="20"/>
          <w:szCs w:val="20"/>
          <w:color w:val="auto"/>
        </w:rPr>
      </w:pPr>
    </w:p>
    <w:p>
      <w:pPr>
        <w:ind w:right="40" w:firstLine="656"/>
        <w:spacing w:after="0" w:line="260" w:lineRule="auto"/>
        <w:tabs>
          <w:tab w:leader="none" w:pos="990" w:val="left"/>
        </w:tabs>
        <w:numPr>
          <w:ilvl w:val="1"/>
          <w:numId w:val="94"/>
        </w:numPr>
        <w:rPr>
          <w:rFonts w:ascii="Arial" w:cs="Arial" w:eastAsia="Arial" w:hAnsi="Arial"/>
          <w:sz w:val="21"/>
          <w:szCs w:val="21"/>
          <w:color w:val="010000"/>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 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79" w:lineRule="exact"/>
        <w:rPr>
          <w:rFonts w:ascii="Arial" w:cs="Arial" w:eastAsia="Arial" w:hAnsi="Arial"/>
          <w:sz w:val="21"/>
          <w:szCs w:val="21"/>
          <w:color w:val="010000"/>
        </w:rPr>
      </w:pPr>
    </w:p>
    <w:p>
      <w:pPr>
        <w:ind w:right="20" w:firstLine="656"/>
        <w:spacing w:after="0" w:line="290" w:lineRule="auto"/>
        <w:tabs>
          <w:tab w:leader="none" w:pos="990" w:val="left"/>
        </w:tabs>
        <w:numPr>
          <w:ilvl w:val="1"/>
          <w:numId w:val="94"/>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6" w:lineRule="auto"/>
        <w:tabs>
          <w:tab w:leader="none" w:pos="414"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right="300" w:firstLine="656"/>
        <w:spacing w:after="0" w:line="260" w:lineRule="auto"/>
        <w:tabs>
          <w:tab w:leader="none" w:pos="990" w:val="left"/>
        </w:tabs>
        <w:numPr>
          <w:ilvl w:val="1"/>
          <w:numId w:val="95"/>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right="40" w:firstLine="656"/>
        <w:spacing w:after="0" w:line="251" w:lineRule="auto"/>
        <w:tabs>
          <w:tab w:leader="none" w:pos="1098" w:val="left"/>
        </w:tabs>
        <w:numPr>
          <w:ilvl w:val="1"/>
          <w:numId w:val="95"/>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60" w:firstLine="656"/>
        <w:spacing w:after="0" w:line="301" w:lineRule="auto"/>
        <w:tabs>
          <w:tab w:leader="none" w:pos="1090" w:val="left"/>
        </w:tabs>
        <w:numPr>
          <w:ilvl w:val="1"/>
          <w:numId w:val="95"/>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40" w:firstLine="656"/>
        <w:spacing w:after="0" w:line="286" w:lineRule="auto"/>
        <w:tabs>
          <w:tab w:leader="none" w:pos="1098" w:val="left"/>
        </w:tabs>
        <w:numPr>
          <w:ilvl w:val="1"/>
          <w:numId w:val="95"/>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Option, payment by the Optionee of any taxes, social contributions, required deductions, or other payments (“Tax-Related Items”) which may be required to be withheld or paid in connection with the Option or the Common Stock, and the Optionee agrees to indemnify the Company, Subsidiary or affiliate for any such Tax-Related Items.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subject to the Committee’s discretion:</w:t>
      </w:r>
    </w:p>
    <w:p>
      <w:pPr>
        <w:spacing w:after="0" w:line="1" w:lineRule="exact"/>
        <w:rPr>
          <w:rFonts w:ascii="Arial" w:cs="Arial" w:eastAsia="Arial" w:hAnsi="Arial"/>
          <w:sz w:val="19"/>
          <w:szCs w:val="19"/>
          <w:color w:val="010000"/>
        </w:rPr>
      </w:pPr>
    </w:p>
    <w:p>
      <w:pPr>
        <w:ind w:right="20"/>
        <w:spacing w:after="0" w:line="285" w:lineRule="auto"/>
        <w:rPr>
          <w:rFonts w:ascii="Arial" w:cs="Arial" w:eastAsia="Arial" w:hAnsi="Arial"/>
          <w:sz w:val="19"/>
          <w:szCs w:val="19"/>
          <w:color w:val="010000"/>
        </w:rPr>
      </w:pPr>
      <w:r>
        <w:rPr>
          <w:rFonts w:ascii="Arial" w:cs="Arial" w:eastAsia="Arial" w:hAnsi="Arial"/>
          <w:sz w:val="19"/>
          <w:szCs w:val="19"/>
          <w:color w:val="auto"/>
        </w:rPr>
        <w:t>(i)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 submitted an irrevocable notice of exercise or (v)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Optionee. Regardless of any action the Company or any Subsidiary or affiliate takes with respect to any or all applicable Tax-Related Items, the Optionee acknowledges and agrees that the ultimate</w:t>
      </w:r>
    </w:p>
    <w:p>
      <w:pPr>
        <w:sectPr>
          <w:pgSz w:w="11900" w:h="16901" w:orient="portrait"/>
          <w:cols w:equalWidth="0" w:num="1">
            <w:col w:w="11420"/>
          </w:cols>
          <w:pgMar w:left="240" w:top="132" w:right="239" w:bottom="0" w:gutter="0" w:footer="0" w:header="0"/>
        </w:sectPr>
      </w:pPr>
    </w:p>
    <w:bookmarkStart w:id="92" w:name="page93"/>
    <w:bookmarkEnd w:id="92"/>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liability for all Tax-Related Items is and remains the Optionee’s responsibility and may exceed any amount actually withheld by the Company or any Subsidiary or affiliate. The Optionee further acknowledges and agrees that the Optionee is solely responsible for filing all relevant documentation that may be required of the Optionee in relation to this Option or any Tax-Related Items other than filings or documentation, such as but not limited to personal income tax returns or reporting statements in relation to the grant, vesting or exercise of the Optionee, the issuance or ownership of Common Stock or any bank or brokerage account, the subsequent sale of Common Stock, and the receipt of any dividends. The Optionee further acknowledges that the Company makes no representations or undertakings regarding the treatment of any Tax-Related Items and does not commit to and is under no obligation to structure the terms or any aspect of the Option to reduce or eliminate the Optionee’s liability for Tax-Related Items or achieve any particular tax result. Further, if the Optionee has become subject to tax in more than one jurisdiction, the Optionee acknowledges that the Company or any Subsidiary or affiliate may be required to withhold or account for Tax-Related Items in more than one jurisdiction.</w:t>
      </w:r>
    </w:p>
    <w:p>
      <w:pPr>
        <w:spacing w:after="0" w:line="183" w:lineRule="exact"/>
        <w:rPr>
          <w:sz w:val="20"/>
          <w:szCs w:val="20"/>
          <w:color w:val="auto"/>
        </w:rPr>
      </w:pPr>
    </w:p>
    <w:p>
      <w:pPr>
        <w:ind w:right="200" w:firstLine="656"/>
        <w:spacing w:after="0" w:line="276" w:lineRule="auto"/>
        <w:tabs>
          <w:tab w:leader="none" w:pos="1098" w:val="left"/>
        </w:tabs>
        <w:numPr>
          <w:ilvl w:val="0"/>
          <w:numId w:val="96"/>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right="180" w:firstLine="656"/>
        <w:spacing w:after="0" w:line="300" w:lineRule="auto"/>
        <w:tabs>
          <w:tab w:leader="none" w:pos="1098" w:val="left"/>
        </w:tabs>
        <w:numPr>
          <w:ilvl w:val="0"/>
          <w:numId w:val="96"/>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left="1100" w:hanging="444"/>
        <w:spacing w:after="0"/>
        <w:tabs>
          <w:tab w:leader="none" w:pos="1100" w:val="left"/>
        </w:tabs>
        <w:numPr>
          <w:ilvl w:val="0"/>
          <w:numId w:val="96"/>
        </w:numPr>
        <w:rPr>
          <w:rFonts w:ascii="Arial" w:cs="Arial" w:eastAsia="Arial" w:hAnsi="Arial"/>
          <w:sz w:val="22"/>
          <w:szCs w:val="22"/>
          <w:color w:val="010000"/>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Option, the Optionee acknowledges, understands and agrees that:</w:t>
      </w:r>
    </w:p>
    <w:p>
      <w:pPr>
        <w:spacing w:after="0" w:line="200" w:lineRule="exact"/>
        <w:rPr>
          <w:sz w:val="20"/>
          <w:szCs w:val="20"/>
          <w:color w:val="auto"/>
        </w:rPr>
      </w:pPr>
    </w:p>
    <w:p>
      <w:pPr>
        <w:spacing w:after="0" w:line="249" w:lineRule="exact"/>
        <w:rPr>
          <w:sz w:val="20"/>
          <w:szCs w:val="20"/>
          <w:color w:val="auto"/>
        </w:rPr>
      </w:pPr>
    </w:p>
    <w:p>
      <w:pPr>
        <w:ind w:right="20" w:firstLine="1297"/>
        <w:spacing w:after="0" w:line="301" w:lineRule="auto"/>
        <w:rPr>
          <w:sz w:val="20"/>
          <w:szCs w:val="20"/>
          <w:color w:val="auto"/>
        </w:rPr>
      </w:pPr>
      <w:r>
        <w:rPr>
          <w:rFonts w:ascii="Arial" w:cs="Arial" w:eastAsia="Arial" w:hAnsi="Arial"/>
          <w:sz w:val="20"/>
          <w:szCs w:val="20"/>
          <w:color w:val="auto"/>
        </w:rPr>
        <w:t xml:space="preserve">(a) </w:t>
      </w:r>
      <w:r>
        <w:rPr>
          <w:rFonts w:ascii="Arial" w:cs="Arial" w:eastAsia="Arial" w:hAnsi="Arial"/>
          <w:sz w:val="21"/>
          <w:szCs w:val="21"/>
          <w:color w:val="auto"/>
        </w:rPr>
        <w:t>the Plan is established voluntarily by the Company, it is discretionary in nature, and it may be</w:t>
      </w:r>
      <w:r>
        <w:rPr>
          <w:rFonts w:ascii="Arial" w:cs="Arial" w:eastAsia="Arial" w:hAnsi="Arial"/>
          <w:sz w:val="20"/>
          <w:szCs w:val="20"/>
          <w:color w:val="auto"/>
        </w:rPr>
        <w:t xml:space="preserve"> </w:t>
      </w:r>
      <w:r>
        <w:rPr>
          <w:rFonts w:ascii="Arial" w:cs="Arial" w:eastAsia="Arial" w:hAnsi="Arial"/>
          <w:sz w:val="21"/>
          <w:szCs w:val="21"/>
          <w:color w:val="auto"/>
        </w:rPr>
        <w:t>modified, amended or terminated by the Company at any time, to the extent permitted by the Plan;</w:t>
      </w:r>
    </w:p>
    <w:p>
      <w:pPr>
        <w:spacing w:after="0" w:line="137" w:lineRule="exact"/>
        <w:rPr>
          <w:sz w:val="20"/>
          <w:szCs w:val="20"/>
          <w:color w:val="auto"/>
        </w:rPr>
      </w:pPr>
    </w:p>
    <w:p>
      <w:pPr>
        <w:ind w:firstLine="1297"/>
        <w:spacing w:after="0" w:line="301" w:lineRule="auto"/>
        <w:rPr>
          <w:sz w:val="20"/>
          <w:szCs w:val="20"/>
          <w:color w:val="auto"/>
        </w:rPr>
      </w:pPr>
      <w:r>
        <w:rPr>
          <w:rFonts w:ascii="Arial" w:cs="Arial" w:eastAsia="Arial" w:hAnsi="Arial"/>
          <w:sz w:val="20"/>
          <w:szCs w:val="20"/>
          <w:color w:val="auto"/>
        </w:rPr>
        <w:t xml:space="preserve">(b) </w:t>
      </w:r>
      <w:r>
        <w:rPr>
          <w:rFonts w:ascii="Arial" w:cs="Arial" w:eastAsia="Arial" w:hAnsi="Arial"/>
          <w:sz w:val="21"/>
          <w:szCs w:val="21"/>
          <w:color w:val="auto"/>
        </w:rPr>
        <w:t>the grant of the Option is voluntary and occasional and does not create any contractual or other</w:t>
      </w:r>
      <w:r>
        <w:rPr>
          <w:rFonts w:ascii="Arial" w:cs="Arial" w:eastAsia="Arial" w:hAnsi="Arial"/>
          <w:sz w:val="20"/>
          <w:szCs w:val="20"/>
          <w:color w:val="auto"/>
        </w:rPr>
        <w:t xml:space="preserve"> </w:t>
      </w:r>
      <w:r>
        <w:rPr>
          <w:rFonts w:ascii="Arial" w:cs="Arial" w:eastAsia="Arial" w:hAnsi="Arial"/>
          <w:sz w:val="21"/>
          <w:szCs w:val="21"/>
          <w:color w:val="auto"/>
        </w:rPr>
        <w:t>right to receive future grants of Options, or benefits in lieu of Options, even if Options have been granted in the past;</w:t>
      </w:r>
    </w:p>
    <w:p>
      <w:pPr>
        <w:sectPr>
          <w:pgSz w:w="11900" w:h="16951" w:orient="portrait"/>
          <w:cols w:equalWidth="0" w:num="1">
            <w:col w:w="11420"/>
          </w:cols>
          <w:pgMar w:left="240" w:top="132" w:right="239" w:bottom="0" w:gutter="0" w:footer="0" w:header="0"/>
        </w:sectPr>
      </w:pPr>
    </w:p>
    <w:p>
      <w:pPr>
        <w:spacing w:after="0" w:line="15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grants of Options, if any, will be at the sole discretion of the</w:t>
      </w:r>
    </w:p>
    <w:p>
      <w:pPr>
        <w:spacing w:after="0" w:line="55" w:lineRule="exact"/>
        <w:rPr>
          <w:sz w:val="20"/>
          <w:szCs w:val="20"/>
          <w:color w:val="auto"/>
        </w:rPr>
      </w:pPr>
    </w:p>
    <w:p>
      <w:pPr>
        <w:sectPr>
          <w:pgSz w:w="11900" w:h="16951" w:orient="portrait"/>
          <w:cols w:equalWidth="0" w:num="2">
            <w:col w:w="2100" w:space="720"/>
            <w:col w:w="8600"/>
          </w:cols>
          <w:pgMar w:left="240" w:top="132" w:right="239" w:bottom="0" w:gutter="0" w:footer="0" w:header="0"/>
          <w:type w:val="continuous"/>
        </w:sectPr>
      </w:pPr>
    </w:p>
    <w:p>
      <w:pPr>
        <w:spacing w:after="0"/>
        <w:rPr>
          <w:sz w:val="20"/>
          <w:szCs w:val="20"/>
          <w:color w:val="auto"/>
        </w:rPr>
      </w:pPr>
      <w:r>
        <w:rPr>
          <w:rFonts w:ascii="Arial" w:cs="Arial" w:eastAsia="Arial" w:hAnsi="Arial"/>
          <w:sz w:val="19"/>
          <w:szCs w:val="19"/>
          <w:color w:val="auto"/>
        </w:rPr>
        <w:t>Company;</w:t>
      </w:r>
    </w:p>
    <w:p>
      <w:pPr>
        <w:sectPr>
          <w:pgSz w:w="11900" w:h="16951" w:orient="portrait"/>
          <w:cols w:equalWidth="0" w:num="1">
            <w:col w:w="11420"/>
          </w:cols>
          <w:pgMar w:left="240" w:top="132" w:right="239" w:bottom="0" w:gutter="0" w:footer="0" w:header="0"/>
          <w:type w:val="continuous"/>
        </w:sectPr>
      </w:pPr>
    </w:p>
    <w:p>
      <w:pPr>
        <w:spacing w:after="0" w:line="268"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the Optionee is voluntarily participating in the Plan;</w:t>
      </w:r>
    </w:p>
    <w:p>
      <w:pPr>
        <w:spacing w:after="0" w:line="218" w:lineRule="exact"/>
        <w:rPr>
          <w:sz w:val="20"/>
          <w:szCs w:val="20"/>
          <w:color w:val="auto"/>
        </w:rPr>
      </w:pPr>
    </w:p>
    <w:p>
      <w:pPr>
        <w:sectPr>
          <w:pgSz w:w="11900" w:h="16951" w:orient="portrait"/>
          <w:cols w:equalWidth="0" w:num="2">
            <w:col w:w="2120" w:space="720"/>
            <w:col w:w="8580"/>
          </w:cols>
          <w:pgMar w:left="240" w:top="132" w:right="239" w:bottom="0" w:gutter="0" w:footer="0" w:header="0"/>
          <w:type w:val="continuous"/>
        </w:sectPr>
      </w:pPr>
    </w:p>
    <w:p>
      <w:pPr>
        <w:spacing w:after="0" w:line="50"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21"/>
          <w:szCs w:val="21"/>
          <w:color w:val="auto"/>
        </w:rPr>
        <w:t>the Optionee’s participation in the Plan shall not create a right to further employment or to</w:t>
      </w:r>
    </w:p>
    <w:p>
      <w:pPr>
        <w:sectPr>
          <w:pgSz w:w="11900" w:h="16951" w:orient="portrait"/>
          <w:cols w:equalWidth="0" w:num="1">
            <w:col w:w="11420"/>
          </w:cols>
          <w:pgMar w:left="240" w:top="132" w:right="239" w:bottom="0" w:gutter="0" w:footer="0" w:header="0"/>
          <w:type w:val="continuous"/>
        </w:sectPr>
      </w:pPr>
    </w:p>
    <w:p>
      <w:pPr>
        <w:spacing w:after="0" w:line="33" w:lineRule="exact"/>
        <w:rPr>
          <w:sz w:val="20"/>
          <w:szCs w:val="20"/>
          <w:color w:val="auto"/>
        </w:rPr>
      </w:pPr>
    </w:p>
    <w:p>
      <w:pPr>
        <w:spacing w:after="0" w:line="338" w:lineRule="auto"/>
        <w:rPr>
          <w:sz w:val="20"/>
          <w:szCs w:val="20"/>
          <w:color w:val="auto"/>
        </w:rPr>
      </w:pPr>
      <w:r>
        <w:rPr>
          <w:rFonts w:ascii="Arial" w:cs="Arial" w:eastAsia="Arial" w:hAnsi="Arial"/>
          <w:sz w:val="19"/>
          <w:szCs w:val="19"/>
          <w:color w:val="auto"/>
        </w:rPr>
        <w:t>otherwise remain associated with the Company or any of its affiliates and shall not interfere with the ability of the Company or any of its affiliates to terminate the Optionee’s employment or service relationship (if any) at any time, subject to applicable law;</w:t>
      </w:r>
    </w:p>
    <w:p>
      <w:pPr>
        <w:sectPr>
          <w:pgSz w:w="11900" w:h="16951" w:orient="portrait"/>
          <w:cols w:equalWidth="0" w:num="1">
            <w:col w:w="11420"/>
          </w:cols>
          <w:pgMar w:left="240" w:top="132" w:right="239" w:bottom="0" w:gutter="0" w:footer="0" w:header="0"/>
          <w:type w:val="continuous"/>
        </w:sectPr>
      </w:pPr>
    </w:p>
    <w:p>
      <w:pPr>
        <w:spacing w:after="0" w:line="128" w:lineRule="exact"/>
        <w:rPr>
          <w:sz w:val="20"/>
          <w:szCs w:val="20"/>
          <w:color w:val="auto"/>
        </w:rPr>
      </w:pPr>
    </w:p>
    <w:p>
      <w:pPr>
        <w:jc w:val="center"/>
        <w:ind w:left="72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the Option and any shares of Common Stock subject to the Option are not intended to replace any</w:t>
      </w:r>
    </w:p>
    <w:p>
      <w:pPr>
        <w:spacing w:after="0" w:line="55" w:lineRule="exact"/>
        <w:rPr>
          <w:sz w:val="20"/>
          <w:szCs w:val="20"/>
          <w:color w:val="auto"/>
        </w:rPr>
      </w:pPr>
    </w:p>
    <w:p>
      <w:pPr>
        <w:sectPr>
          <w:pgSz w:w="11900" w:h="16951" w:orient="portrait"/>
          <w:cols w:equalWidth="0" w:num="2">
            <w:col w:w="2080" w:space="720"/>
            <w:col w:w="8620"/>
          </w:cols>
          <w:pgMar w:left="240" w:top="132" w:right="239" w:bottom="0" w:gutter="0" w:footer="0" w:header="0"/>
          <w:type w:val="continuous"/>
        </w:sectPr>
      </w:pPr>
    </w:p>
    <w:p>
      <w:pPr>
        <w:spacing w:after="0"/>
        <w:rPr>
          <w:sz w:val="20"/>
          <w:szCs w:val="20"/>
          <w:color w:val="auto"/>
        </w:rPr>
      </w:pPr>
      <w:r>
        <w:rPr>
          <w:rFonts w:ascii="Arial" w:cs="Arial" w:eastAsia="Arial" w:hAnsi="Arial"/>
          <w:sz w:val="22"/>
          <w:szCs w:val="22"/>
          <w:color w:val="auto"/>
        </w:rPr>
        <w:t>pension rights;</w:t>
      </w:r>
    </w:p>
    <w:p>
      <w:pPr>
        <w:spacing w:after="0" w:line="215"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9"/>
          <w:szCs w:val="19"/>
          <w:color w:val="auto"/>
        </w:rPr>
        <w:t>in the event that the Optionee is not an employee of the Company or any Subsidiary or affiliate, the</w:t>
      </w:r>
    </w:p>
    <w:p>
      <w:pPr>
        <w:sectPr>
          <w:pgSz w:w="11900" w:h="16951" w:orient="portrait"/>
          <w:cols w:equalWidth="0" w:num="1">
            <w:col w:w="11420"/>
          </w:cols>
          <w:pgMar w:left="240" w:top="132" w:right="239" w:bottom="0" w:gutter="0" w:footer="0" w:header="0"/>
          <w:type w:val="continuous"/>
        </w:sectPr>
      </w:pP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Option and the Optionee’s participation in the Plan will not be interpreted to form an employment or service contract or relationship with the Company or any Subsidiary or affiliate;</w:t>
      </w:r>
    </w:p>
    <w:p>
      <w:pPr>
        <w:spacing w:after="0" w:line="17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(h) </w:t>
      </w:r>
      <w:r>
        <w:rPr>
          <w:rFonts w:ascii="Arial" w:cs="Arial" w:eastAsia="Arial" w:hAnsi="Arial"/>
          <w:sz w:val="21"/>
          <w:szCs w:val="21"/>
          <w:color w:val="auto"/>
        </w:rPr>
        <w:t>the Option and any shares of Common Stock subject to the Option are not part of normal or</w:t>
      </w:r>
      <w:r>
        <w:rPr>
          <w:rFonts w:ascii="Arial" w:cs="Arial" w:eastAsia="Arial" w:hAnsi="Arial"/>
          <w:sz w:val="20"/>
          <w:szCs w:val="20"/>
          <w:color w:val="auto"/>
        </w:rPr>
        <w:t xml:space="preserve"> </w:t>
      </w:r>
      <w:r>
        <w:rPr>
          <w:rFonts w:ascii="Arial" w:cs="Arial" w:eastAsia="Arial" w:hAnsi="Arial"/>
          <w:sz w:val="21"/>
          <w:szCs w:val="21"/>
          <w:color w:val="auto"/>
        </w:rPr>
        <w:t>expected compensation or salary for any purpose, including but not limited to calculating any severance, resignation, termination, redundancy, dismissal, end of service payments, bonuses, long-service awards, pension or retirement or welfare benefits or similar payments (if any);</w:t>
      </w:r>
    </w:p>
    <w:p>
      <w:pPr>
        <w:spacing w:after="0" w:line="16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0"/>
          <w:szCs w:val="20"/>
          <w:color w:val="auto"/>
        </w:rPr>
        <w:t xml:space="preserve">(i) </w:t>
      </w:r>
      <w:r>
        <w:rPr>
          <w:rFonts w:ascii="Arial" w:cs="Arial" w:eastAsia="Arial" w:hAnsi="Arial"/>
          <w:sz w:val="21"/>
          <w:szCs w:val="21"/>
          <w:color w:val="auto"/>
        </w:rPr>
        <w:t>the future value of the shares of Common Stock subject to the Option is unknown, indeterminable</w:t>
      </w:r>
      <w:r>
        <w:rPr>
          <w:rFonts w:ascii="Arial" w:cs="Arial" w:eastAsia="Arial" w:hAnsi="Arial"/>
          <w:sz w:val="20"/>
          <w:szCs w:val="20"/>
          <w:color w:val="auto"/>
        </w:rPr>
        <w:t xml:space="preserve"> </w:t>
      </w:r>
      <w:r>
        <w:rPr>
          <w:rFonts w:ascii="Arial" w:cs="Arial" w:eastAsia="Arial" w:hAnsi="Arial"/>
          <w:sz w:val="21"/>
          <w:szCs w:val="21"/>
          <w:color w:val="auto"/>
        </w:rPr>
        <w:t>and cannot be predicted with certainty;</w:t>
      </w:r>
    </w:p>
    <w:p>
      <w:pPr>
        <w:spacing w:after="0" w:line="137" w:lineRule="exact"/>
        <w:rPr>
          <w:sz w:val="20"/>
          <w:szCs w:val="20"/>
          <w:color w:val="auto"/>
        </w:rPr>
      </w:pPr>
    </w:p>
    <w:p>
      <w:pPr>
        <w:jc w:val="both"/>
        <w:ind w:firstLine="1305"/>
        <w:spacing w:after="0" w:line="260" w:lineRule="auto"/>
        <w:tabs>
          <w:tab w:leader="none" w:pos="1631" w:val="left"/>
        </w:tabs>
        <w:numPr>
          <w:ilvl w:val="0"/>
          <w:numId w:val="97"/>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Option resulting from the Optionee ceasing to provide services to the Company or any of its affiliates (for any reason whatsoever and whether or not later found to be invalid or in breach of employment laws in the jurisdiction where the Optionee is employed or the terms of the Optionee’s employment agreement, if any) and in consideration of the grant of the Option to which the Optionee is otherwise not entitled, the Optionee irrevocably agrees never to institute any claim against the Company or any of its affiliates, waives his or her ability, if any, to bring any such claim, and releases the Company and each of its affiliates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85"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 xml:space="preserve">(j) </w:t>
      </w:r>
      <w:r>
        <w:rPr>
          <w:rFonts w:ascii="Arial" w:cs="Arial" w:eastAsia="Arial" w:hAnsi="Arial"/>
          <w:sz w:val="20"/>
          <w:szCs w:val="20"/>
          <w:color w:val="auto"/>
        </w:rPr>
        <w:t>in the event of a termination of employment (whether or not later found to be invalid or in breach</w:t>
      </w:r>
      <w:r>
        <w:rPr>
          <w:rFonts w:ascii="Arial" w:cs="Arial" w:eastAsia="Arial" w:hAnsi="Arial"/>
          <w:sz w:val="19"/>
          <w:szCs w:val="19"/>
          <w:color w:val="auto"/>
        </w:rPr>
        <w:t xml:space="preserve"> </w:t>
      </w:r>
      <w:r>
        <w:rPr>
          <w:rFonts w:ascii="Arial" w:cs="Arial" w:eastAsia="Arial" w:hAnsi="Arial"/>
          <w:sz w:val="20"/>
          <w:szCs w:val="20"/>
          <w:color w:val="auto"/>
        </w:rPr>
        <w:t>of employment laws in the jurisdiction where the Optionee is employed or the terms of the Optionee’s employment agreement, if</w:t>
      </w:r>
    </w:p>
    <w:p>
      <w:pPr>
        <w:sectPr>
          <w:pgSz w:w="11900" w:h="16951" w:orient="portrait"/>
          <w:cols w:equalWidth="0" w:num="1">
            <w:col w:w="11420"/>
          </w:cols>
          <w:pgMar w:left="240" w:top="132" w:right="239" w:bottom="0" w:gutter="0" w:footer="0" w:header="0"/>
          <w:type w:val="continuous"/>
        </w:sectPr>
      </w:pPr>
    </w:p>
    <w:bookmarkStart w:id="93" w:name="page94"/>
    <w:bookmarkEnd w:id="93"/>
    <w:p>
      <w:pPr>
        <w:jc w:val="both"/>
        <w:spacing w:after="0" w:line="261" w:lineRule="auto"/>
        <w:rPr>
          <w:sz w:val="20"/>
          <w:szCs w:val="20"/>
          <w:color w:val="auto"/>
        </w:rPr>
      </w:pPr>
      <w:r>
        <w:rPr>
          <w:rFonts w:ascii="Arial" w:cs="Arial" w:eastAsia="Arial" w:hAnsi="Arial"/>
          <w:sz w:val="21"/>
          <w:szCs w:val="21"/>
          <w:color w:val="auto"/>
        </w:rPr>
        <w:t>any), unless otherwise provided by this Agreement or determined by the Company, the Optionee’s right to vest in and exercise Options under the Plan, if any, will terminate effective as of the date that the Optionee is no longer actively providing services and will not be extended by any notice period (</w:t>
      </w:r>
      <w:r>
        <w:rPr>
          <w:rFonts w:ascii="Arial" w:cs="Arial" w:eastAsia="Arial" w:hAnsi="Arial"/>
          <w:sz w:val="21"/>
          <w:szCs w:val="21"/>
          <w:i w:val="1"/>
          <w:iCs w:val="1"/>
          <w:color w:val="auto"/>
        </w:rPr>
        <w:t>e.g.</w:t>
      </w:r>
      <w:r>
        <w:rPr>
          <w:rFonts w:ascii="Arial" w:cs="Arial" w:eastAsia="Arial" w:hAnsi="Arial"/>
          <w:sz w:val="21"/>
          <w:szCs w:val="21"/>
          <w:color w:val="auto"/>
        </w:rPr>
        <w:t>, active service would not include any contractual notice period or any period of “garden leave” or similar period mandated under employment laws in the jurisdiction where the Optionee is employed or the terms of the Optionee’s employment agreement, if any); the Committee shall have the exclusive discretion to determine when the Optionee is no longer actively providing services for purposes of the Option;</w:t>
      </w:r>
    </w:p>
    <w:p>
      <w:pPr>
        <w:spacing w:after="0" w:line="18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(k) </w:t>
      </w:r>
      <w:r>
        <w:rPr>
          <w:rFonts w:ascii="Arial" w:cs="Arial" w:eastAsia="Arial" w:hAnsi="Arial"/>
          <w:sz w:val="21"/>
          <w:szCs w:val="21"/>
          <w:color w:val="auto"/>
        </w:rPr>
        <w:t>unless otherwise provided in the Plan or by the Company in its discretion, the Option and the</w:t>
      </w:r>
      <w:r>
        <w:rPr>
          <w:rFonts w:ascii="Arial" w:cs="Arial" w:eastAsia="Arial" w:hAnsi="Arial"/>
          <w:sz w:val="20"/>
          <w:szCs w:val="20"/>
          <w:color w:val="auto"/>
        </w:rPr>
        <w:t xml:space="preserve"> </w:t>
      </w:r>
      <w:r>
        <w:rPr>
          <w:rFonts w:ascii="Arial" w:cs="Arial" w:eastAsia="Arial" w:hAnsi="Arial"/>
          <w:sz w:val="21"/>
          <w:szCs w:val="21"/>
          <w:color w:val="auto"/>
        </w:rPr>
        <w:t>benefits evidenced by this Agreement do not create any entitlement to have the Plan or any such benefits granted thereunder, transferred to, or assumed by, another company nor to be exchanged, cashed out or substituted for, in connection with any corporate transaction affecting the shares of Common Stock; and</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(l) </w:t>
      </w:r>
      <w:r>
        <w:rPr>
          <w:rFonts w:ascii="Arial" w:cs="Arial" w:eastAsia="Arial" w:hAnsi="Arial"/>
          <w:sz w:val="21"/>
          <w:szCs w:val="21"/>
          <w:color w:val="auto"/>
        </w:rPr>
        <w:t>neither the Company nor any of its affiliates will be liable for any foreign exchange rate fluctuation</w:t>
      </w:r>
      <w:r>
        <w:rPr>
          <w:rFonts w:ascii="Arial" w:cs="Arial" w:eastAsia="Arial" w:hAnsi="Arial"/>
          <w:sz w:val="20"/>
          <w:szCs w:val="20"/>
          <w:color w:val="auto"/>
        </w:rPr>
        <w:t xml:space="preserve"> </w:t>
      </w:r>
      <w:r>
        <w:rPr>
          <w:rFonts w:ascii="Arial" w:cs="Arial" w:eastAsia="Arial" w:hAnsi="Arial"/>
          <w:sz w:val="21"/>
          <w:szCs w:val="21"/>
          <w:color w:val="auto"/>
        </w:rPr>
        <w:t>between the Optionee’s local currency and the United States dollar that may affect the value of the Options, the Common Stock, or any amounts due to the Optionee pursuant to the vesting or exercise of the Option or the subsequent sale of any shares of Common Stock acquired under the Plan, or the calculation of income or Tax-Related Items under the Option; and</w:t>
      </w:r>
    </w:p>
    <w:p>
      <w:pPr>
        <w:spacing w:after="0" w:line="169"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0"/>
          <w:szCs w:val="20"/>
          <w:color w:val="auto"/>
        </w:rPr>
        <w:t xml:space="preserve">(m) </w:t>
      </w:r>
      <w:r>
        <w:rPr>
          <w:rFonts w:ascii="Arial" w:cs="Arial" w:eastAsia="Arial" w:hAnsi="Arial"/>
          <w:sz w:val="21"/>
          <w:szCs w:val="21"/>
          <w:color w:val="auto"/>
        </w:rPr>
        <w:t>any cross-border cash remittance made to transfer proceeds received upon the sale of Common</w:t>
      </w:r>
      <w:r>
        <w:rPr>
          <w:rFonts w:ascii="Arial" w:cs="Arial" w:eastAsia="Arial" w:hAnsi="Arial"/>
          <w:sz w:val="20"/>
          <w:szCs w:val="20"/>
          <w:color w:val="auto"/>
        </w:rPr>
        <w:t xml:space="preserve"> </w:t>
      </w:r>
      <w:r>
        <w:rPr>
          <w:rFonts w:ascii="Arial" w:cs="Arial" w:eastAsia="Arial" w:hAnsi="Arial"/>
          <w:sz w:val="21"/>
          <w:szCs w:val="21"/>
          <w:color w:val="auto"/>
        </w:rPr>
        <w:t>Stock or otherwise in relation to the Option must be made through a locally authorized financial institution or registered foreign exchange agency and may require the Optionee to provide to such entity certain information regarding the transaction.</w:t>
      </w:r>
    </w:p>
    <w:p>
      <w:pPr>
        <w:spacing w:after="0" w:line="200" w:lineRule="exact"/>
        <w:rPr>
          <w:sz w:val="20"/>
          <w:szCs w:val="20"/>
          <w:color w:val="auto"/>
        </w:rPr>
      </w:pPr>
    </w:p>
    <w:p>
      <w:pPr>
        <w:spacing w:after="0" w:line="217" w:lineRule="exact"/>
        <w:rPr>
          <w:sz w:val="20"/>
          <w:szCs w:val="20"/>
          <w:color w:val="auto"/>
        </w:rPr>
      </w:pPr>
    </w:p>
    <w:p>
      <w:pPr>
        <w:ind w:right="240" w:firstLine="656"/>
        <w:spacing w:after="0" w:line="251" w:lineRule="auto"/>
        <w:tabs>
          <w:tab w:leader="none" w:pos="1098"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Optionee hereby explicitly and unambiguously consents to the collection, use and transfer, in electronic or other form, of the Optionee’s personal data as described in this Agreement and any other grant materials by and among, as applicable, the Company and any affiliate for the exclusive purpose of implementing, administering and managing the Optionee’s participation in the Plan. The Optionee understands that refusal or withdrawal of consent may affect the Optionee’s ability to participate in the Plan.</w:t>
      </w:r>
    </w:p>
    <w:p>
      <w:pPr>
        <w:spacing w:after="0" w:line="190"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b w:val="1"/>
          <w:bCs w:val="1"/>
          <w:i w:val="1"/>
          <w:iCs w:val="1"/>
          <w:color w:val="auto"/>
        </w:rPr>
        <w:t>The Optionee understands that the Company and its affiliates may hold certain personal information about the Optionee, including, but not limited to, the Optionee’s name, home address and telephone number, date of birth, social insurance number or other identification number, salary, nationality, job title, any shares of Common Stock or directorships held in the Company, details of all awards or any other entitlement to shares of Common Stock awarded, canceled, exercised, vested, unvested or outstanding in the Optionee’s favor, for the exclusive purpose of implementing, administering and managing the Plan (“Personal Data”).</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The Optionee understands that Personal Data may be transferred to any Subsidiary or affiliate or third parties as may be selected by the Company to assist the Company with the implementation, administration and management of the Plan. The Optionee understands that the recipients of Personal Data may be located in the United States or elsewhere, and that the recipient’s country may have different data privacy laws and protections than the Optionee’s country.</w:t>
      </w:r>
    </w:p>
    <w:p>
      <w:pPr>
        <w:spacing w:after="0" w:line="183" w:lineRule="exact"/>
        <w:rPr>
          <w:sz w:val="20"/>
          <w:szCs w:val="20"/>
          <w:color w:val="auto"/>
        </w:rPr>
      </w:pPr>
    </w:p>
    <w:p>
      <w:pPr>
        <w:ind w:right="20" w:firstLine="656"/>
        <w:spacing w:after="0" w:line="297" w:lineRule="auto"/>
        <w:tabs>
          <w:tab w:leader="none" w:pos="1098" w:val="left"/>
        </w:tabs>
        <w:numPr>
          <w:ilvl w:val="0"/>
          <w:numId w:val="99"/>
        </w:numPr>
        <w:rPr>
          <w:rFonts w:ascii="Arial" w:cs="Arial" w:eastAsia="Arial" w:hAnsi="Arial"/>
          <w:sz w:val="19"/>
          <w:szCs w:val="19"/>
          <w:color w:val="010000"/>
        </w:rPr>
      </w:pPr>
      <w:r>
        <w:rPr>
          <w:rFonts w:ascii="Arial" w:cs="Arial" w:eastAsia="Arial" w:hAnsi="Arial"/>
          <w:sz w:val="19"/>
          <w:szCs w:val="19"/>
          <w:u w:val="single" w:color="auto"/>
          <w:color w:val="auto"/>
        </w:rPr>
        <w:t>ELECTRONIC</w:t>
      </w:r>
      <w:r>
        <w:rPr>
          <w:rFonts w:ascii="Arial" w:cs="Arial" w:eastAsia="Arial" w:hAnsi="Arial"/>
          <w:sz w:val="19"/>
          <w:szCs w:val="19"/>
          <w:color w:val="auto"/>
        </w:rPr>
        <w:t xml:space="preserve"> DELIVERY AND PARTICIPATION. The Company may, in its sole discretion, decide to deliver any documents related to the Option or future awards granted under the Plan by electronic means or request the Optionee’s consent to participate in the Plan by electronic means. By accepting this Option, whether electronically or otherwise, the Optionee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46" w:lineRule="exact"/>
        <w:rPr>
          <w:rFonts w:ascii="Arial" w:cs="Arial" w:eastAsia="Arial" w:hAnsi="Arial"/>
          <w:sz w:val="19"/>
          <w:szCs w:val="19"/>
          <w:color w:val="010000"/>
        </w:rPr>
      </w:pPr>
    </w:p>
    <w:p>
      <w:pPr>
        <w:ind w:right="120" w:firstLine="656"/>
        <w:spacing w:after="0" w:line="260" w:lineRule="auto"/>
        <w:tabs>
          <w:tab w:leader="none" w:pos="1098"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LANGUAGE. If the Optionee has received this Agreement or any other document related to the Plan translated into a language other than English and if the meaning of the translated version is different than the English version, the English version will control.</w:t>
      </w:r>
    </w:p>
    <w:p>
      <w:pPr>
        <w:spacing w:after="0" w:line="177" w:lineRule="exact"/>
        <w:rPr>
          <w:rFonts w:ascii="Arial" w:cs="Arial" w:eastAsia="Arial" w:hAnsi="Arial"/>
          <w:sz w:val="22"/>
          <w:szCs w:val="22"/>
          <w:color w:val="010000"/>
        </w:rPr>
      </w:pPr>
    </w:p>
    <w:p>
      <w:pPr>
        <w:ind w:right="200" w:firstLine="656"/>
        <w:spacing w:after="0" w:line="307" w:lineRule="auto"/>
        <w:tabs>
          <w:tab w:leader="none" w:pos="1098" w:val="left"/>
        </w:tabs>
        <w:numPr>
          <w:ilvl w:val="0"/>
          <w:numId w:val="99"/>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Optionee without the consent of the Optionee.</w:t>
      </w:r>
    </w:p>
    <w:p>
      <w:pPr>
        <w:spacing w:after="0" w:line="138" w:lineRule="exact"/>
        <w:rPr>
          <w:rFonts w:ascii="Arial" w:cs="Arial" w:eastAsia="Arial" w:hAnsi="Arial"/>
          <w:sz w:val="19"/>
          <w:szCs w:val="19"/>
          <w:color w:val="010000"/>
        </w:rPr>
      </w:pPr>
    </w:p>
    <w:p>
      <w:pPr>
        <w:ind w:right="140" w:firstLine="656"/>
        <w:spacing w:after="0" w:line="250" w:lineRule="auto"/>
        <w:tabs>
          <w:tab w:leader="none" w:pos="1098"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GOVERNING</w:t>
      </w:r>
      <w:r>
        <w:rPr>
          <w:rFonts w:ascii="Arial" w:cs="Arial" w:eastAsia="Arial" w:hAnsi="Arial"/>
          <w:sz w:val="22"/>
          <w:szCs w:val="22"/>
          <w:color w:val="auto"/>
        </w:rPr>
        <w:t xml:space="preserve"> LAW </w:t>
      </w:r>
      <w:r>
        <w:rPr>
          <w:rFonts w:ascii="Arial" w:cs="Arial" w:eastAsia="Arial" w:hAnsi="Arial"/>
          <w:sz w:val="22"/>
          <w:szCs w:val="22"/>
          <w:u w:val="single" w:color="auto"/>
          <w:color w:val="auto"/>
        </w:rPr>
        <w:t>AND SEVERABILITY</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 For purposes of litigating any dispute that cannot be resolved pursuant to Section 8 above,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88" w:lineRule="exact"/>
        <w:rPr>
          <w:sz w:val="20"/>
          <w:szCs w:val="20"/>
          <w:color w:val="auto"/>
        </w:rPr>
      </w:pPr>
    </w:p>
    <w:p>
      <w:pPr>
        <w:ind w:right="860" w:firstLine="648"/>
        <w:spacing w:after="0" w:line="343" w:lineRule="auto"/>
        <w:rPr>
          <w:sz w:val="20"/>
          <w:szCs w:val="20"/>
          <w:color w:val="auto"/>
        </w:rPr>
      </w:pPr>
      <w:r>
        <w:rPr>
          <w:rFonts w:ascii="Arial" w:cs="Arial" w:eastAsia="Arial" w:hAnsi="Arial"/>
          <w:sz w:val="19"/>
          <w:szCs w:val="19"/>
          <w:color w:val="auto"/>
        </w:rPr>
        <w:t>If one or more provisions of this Agreement are held to be unenforceable under applicable law, the parties agree to renegotiate such provision in good faith. In the event that the parties cannot reach a mutually agreeable and enforceable</w:t>
      </w:r>
    </w:p>
    <w:p>
      <w:pPr>
        <w:sectPr>
          <w:pgSz w:w="11900" w:h="16838" w:orient="portrait"/>
          <w:cols w:equalWidth="0" w:num="1">
            <w:col w:w="11420"/>
          </w:cols>
          <w:pgMar w:left="240" w:top="132" w:right="239" w:bottom="0" w:gutter="0" w:footer="0" w:header="0"/>
        </w:sectPr>
      </w:pPr>
    </w:p>
    <w:bookmarkStart w:id="94" w:name="page95"/>
    <w:bookmarkEnd w:id="94"/>
    <w:p>
      <w:pPr>
        <w:ind w:right="20"/>
        <w:spacing w:after="0" w:line="253" w:lineRule="auto"/>
        <w:rPr>
          <w:sz w:val="20"/>
          <w:szCs w:val="20"/>
          <w:color w:val="auto"/>
        </w:rPr>
      </w:pPr>
      <w:r>
        <w:rPr>
          <w:rFonts w:ascii="Arial" w:cs="Arial" w:eastAsia="Arial" w:hAnsi="Arial"/>
          <w:sz w:val="22"/>
          <w:szCs w:val="22"/>
          <w:color w:val="auto"/>
        </w:rPr>
        <w:t>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86" w:lineRule="exact"/>
        <w:rPr>
          <w:sz w:val="20"/>
          <w:szCs w:val="20"/>
          <w:color w:val="auto"/>
        </w:rPr>
      </w:pPr>
    </w:p>
    <w:p>
      <w:pPr>
        <w:ind w:right="20" w:firstLine="656"/>
        <w:spacing w:after="0" w:line="286" w:lineRule="auto"/>
        <w:tabs>
          <w:tab w:leader="none" w:pos="1098" w:val="left"/>
        </w:tabs>
        <w:numPr>
          <w:ilvl w:val="1"/>
          <w:numId w:val="100"/>
        </w:numPr>
        <w:rPr>
          <w:rFonts w:ascii="Arial" w:cs="Arial" w:eastAsia="Arial" w:hAnsi="Arial"/>
          <w:sz w:val="19"/>
          <w:szCs w:val="19"/>
          <w:color w:val="010000"/>
        </w:rPr>
      </w:pPr>
      <w:r>
        <w:rPr>
          <w:rFonts w:ascii="Arial" w:cs="Arial" w:eastAsia="Arial" w:hAnsi="Arial"/>
          <w:sz w:val="19"/>
          <w:szCs w:val="19"/>
          <w:color w:val="auto"/>
        </w:rPr>
        <w:t xml:space="preserve">OTHER </w:t>
      </w:r>
      <w:r>
        <w:rPr>
          <w:rFonts w:ascii="Arial" w:cs="Arial" w:eastAsia="Arial" w:hAnsi="Arial"/>
          <w:sz w:val="19"/>
          <w:szCs w:val="19"/>
          <w:u w:val="single" w:color="auto"/>
          <w:color w:val="auto"/>
        </w:rPr>
        <w:t>REQUIREMENTS AND EXHIBIT A.</w:t>
      </w:r>
      <w:r>
        <w:rPr>
          <w:rFonts w:ascii="Arial" w:cs="Arial" w:eastAsia="Arial" w:hAnsi="Arial"/>
          <w:sz w:val="19"/>
          <w:szCs w:val="19"/>
          <w:color w:val="auto"/>
        </w:rPr>
        <w:t xml:space="preserve"> The Company is not obligated and will have no liability for failure to issue or deliver any Common Stock upon exercise of this Option if such issuance or delivery would violate any applicable laws, with compliance with applicable laws determined by the Company in consultation with its legal counsel. The Optionee understands that the applicable laws of the country in which Optionee is residing or working at the time of grant or vesting of this Option (including any rules or regulations governing securities, foreign exchange, tax, labor or other matters) may restrict or prevent the issuance of shares thereunder. Furthermore, the Company reserves the right to impose other requirements on the Optionee’s participation in the Plan, on this Option, and the Common Stock subject to this Option, to the extent the Company determines it is necessary or advisable in order to comply with applicable laws or facilitate the administration of the Plan. The Optionee agrees to sign any additional agreements or undertakings that may be necessary to accomplish the foregoing. Furthermore, the Optionee acknowledges that the applicable laws of the country in which the Optionee is residing or working at the time of grant, vesting or exercise of the Option or the issuance, holding, or sale of Common Stock received pursuant to the Option (including any rules or regulations governing securities, foreign exchange, tax, labor, or other matters) may subject the Optionee to additional procedural or regulatory requirements that the Optionee is and will be solely responsible for and must fulfill. Such requirements may be outlined in but are not limited to any special provisions set forth in Exhibit A for the Optionee’s country, if any. Notwithstanding any provision herein, the Optionee’s participation in the Plan shall be subject to any applicable special terms and conditions or disclosures as set forth in Exhibit A. If the Optionee relocates to one of the countries included in Exhibit A during the term of the Option or while holding shares of Common Stock issued upon exercise of the Option, the special provisions for such country shall apply to the Optionee, to the extent the Company determines that the application of such provisions is advisable or necessary in order to comply with local law or facilitate the administration of the Plan. Exhibit A constitutes part of this Agreement.</w:t>
      </w:r>
    </w:p>
    <w:p>
      <w:pPr>
        <w:spacing w:after="0" w:line="158" w:lineRule="exact"/>
        <w:rPr>
          <w:rFonts w:ascii="Arial" w:cs="Arial" w:eastAsia="Arial" w:hAnsi="Arial"/>
          <w:sz w:val="19"/>
          <w:szCs w:val="19"/>
          <w:color w:val="010000"/>
        </w:rPr>
      </w:pPr>
    </w:p>
    <w:p>
      <w:pPr>
        <w:ind w:right="100" w:firstLine="656"/>
        <w:spacing w:after="0" w:line="276" w:lineRule="auto"/>
        <w:tabs>
          <w:tab w:leader="none" w:pos="1098" w:val="left"/>
        </w:tabs>
        <w:numPr>
          <w:ilvl w:val="1"/>
          <w:numId w:val="100"/>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1"/>
          <w:numId w:val="100"/>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100"/>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40" w:firstLine="1305"/>
        <w:spacing w:after="0" w:line="250" w:lineRule="auto"/>
        <w:tabs>
          <w:tab w:leader="none" w:pos="1716" w:val="left"/>
        </w:tabs>
        <w:numPr>
          <w:ilvl w:val="2"/>
          <w:numId w:val="100"/>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188" w:lineRule="exact"/>
        <w:rPr>
          <w:rFonts w:ascii="Arial" w:cs="Arial" w:eastAsia="Arial" w:hAnsi="Arial"/>
          <w:sz w:val="22"/>
          <w:szCs w:val="22"/>
          <w:color w:val="010000"/>
        </w:rPr>
      </w:pPr>
    </w:p>
    <w:p>
      <w:pPr>
        <w:ind w:right="200" w:firstLine="1305"/>
        <w:spacing w:after="0" w:line="254" w:lineRule="auto"/>
        <w:tabs>
          <w:tab w:leader="none" w:pos="1728" w:val="left"/>
        </w:tabs>
        <w:numPr>
          <w:ilvl w:val="2"/>
          <w:numId w:val="100"/>
        </w:numPr>
        <w:rPr>
          <w:rFonts w:ascii="Arial" w:cs="Arial" w:eastAsia="Arial" w:hAnsi="Arial"/>
          <w:sz w:val="22"/>
          <w:szCs w:val="22"/>
          <w:color w:val="010000"/>
        </w:rPr>
      </w:pPr>
      <w:r>
        <w:rPr>
          <w:rFonts w:ascii="Arial" w:cs="Arial" w:eastAsia="Arial" w:hAnsi="Arial"/>
          <w:sz w:val="22"/>
          <w:szCs w:val="22"/>
          <w:color w:val="auto"/>
        </w:rPr>
        <w:t>“Disability” shall mean that the Optionee,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100"/>
        </w:numPr>
        <w:rPr>
          <w:rFonts w:ascii="Arial" w:cs="Arial" w:eastAsia="Arial" w:hAnsi="Arial"/>
          <w:sz w:val="19"/>
          <w:szCs w:val="19"/>
          <w:color w:val="010000"/>
        </w:rPr>
      </w:pPr>
      <w:r>
        <w:rPr>
          <w:rFonts w:ascii="Arial" w:cs="Arial" w:eastAsia="Arial" w:hAnsi="Arial"/>
          <w:sz w:val="19"/>
          <w:szCs w:val="19"/>
          <w:color w:val="auto"/>
        </w:rPr>
        <w:t>The Optionee shall have “Good Reason” to effect a voluntary termination of his or her employment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w:t>
      </w:r>
    </w:p>
    <w:p>
      <w:pPr>
        <w:spacing w:after="0" w:line="3" w:lineRule="exact"/>
        <w:rPr>
          <w:rFonts w:ascii="Arial" w:cs="Arial" w:eastAsia="Arial" w:hAnsi="Arial"/>
          <w:sz w:val="19"/>
          <w:szCs w:val="19"/>
          <w:color w:val="010000"/>
        </w:rPr>
      </w:pPr>
    </w:p>
    <w:p>
      <w:pPr>
        <w:ind w:right="20" w:firstLine="8"/>
        <w:spacing w:after="0" w:line="288" w:lineRule="auto"/>
        <w:tabs>
          <w:tab w:leader="none" w:pos="36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thirty (30) days following the date on which the Optionee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700"/>
        <w:spacing w:after="0"/>
        <w:rPr>
          <w:sz w:val="20"/>
          <w:szCs w:val="20"/>
          <w:color w:val="auto"/>
        </w:rPr>
      </w:pPr>
      <w:r>
        <w:rPr>
          <w:rFonts w:ascii="Arial" w:cs="Arial" w:eastAsia="Arial" w:hAnsi="Arial"/>
          <w:sz w:val="22"/>
          <w:szCs w:val="22"/>
          <w:color w:val="auto"/>
        </w:rPr>
        <w:t>DINE BRANDS GLOBAL, INC.</w:t>
      </w:r>
    </w:p>
    <w:p>
      <w:pPr>
        <w:sectPr>
          <w:pgSz w:w="11900" w:h="16838" w:orient="portrait"/>
          <w:cols w:equalWidth="0" w:num="1">
            <w:col w:w="11400"/>
          </w:cols>
          <w:pgMar w:left="240" w:top="132" w:right="259" w:bottom="250" w:gutter="0" w:footer="0" w:header="0"/>
        </w:sectPr>
      </w:pPr>
    </w:p>
    <w:bookmarkStart w:id="95" w:name="page96"/>
    <w:bookmarkEnd w:id="95"/>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-17780</wp:posOffset>
            </wp:positionV>
            <wp:extent cx="274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DINE BRANDS GLOBAL, INC.</w:t>
      </w:r>
    </w:p>
    <w:p>
      <w:pPr>
        <w:ind w:left="4260"/>
        <w:spacing w:after="0"/>
        <w:rPr>
          <w:sz w:val="20"/>
          <w:szCs w:val="20"/>
          <w:color w:val="auto"/>
        </w:rPr>
      </w:pPr>
      <w:r>
        <w:rPr>
          <w:rFonts w:ascii="Arial" w:cs="Arial" w:eastAsia="Arial" w:hAnsi="Arial"/>
          <w:sz w:val="20"/>
          <w:szCs w:val="20"/>
          <w:b w:val="1"/>
          <w:bCs w:val="1"/>
          <w:color w:val="auto"/>
        </w:rPr>
        <w:t>2016 STOCK INCENTIVE PLAN</w:t>
      </w:r>
    </w:p>
    <w:p>
      <w:pPr>
        <w:ind w:left="2740"/>
        <w:spacing w:after="0"/>
        <w:rPr>
          <w:sz w:val="20"/>
          <w:szCs w:val="20"/>
          <w:color w:val="auto"/>
        </w:rPr>
      </w:pPr>
      <w:r>
        <w:rPr>
          <w:rFonts w:ascii="Arial" w:cs="Arial" w:eastAsia="Arial" w:hAnsi="Arial"/>
          <w:sz w:val="20"/>
          <w:szCs w:val="20"/>
          <w:b w:val="1"/>
          <w:bCs w:val="1"/>
          <w:color w:val="auto"/>
        </w:rPr>
        <w:t>SPECIAL PROVISIONS FOR NONQUALIFIED STOCK OPTIONS</w:t>
      </w:r>
    </w:p>
    <w:p>
      <w:pPr>
        <w:ind w:left="4000"/>
        <w:spacing w:after="0"/>
        <w:rPr>
          <w:sz w:val="20"/>
          <w:szCs w:val="20"/>
          <w:color w:val="auto"/>
        </w:rPr>
      </w:pPr>
      <w:r>
        <w:rPr>
          <w:rFonts w:ascii="Arial" w:cs="Arial" w:eastAsia="Arial" w:hAnsi="Arial"/>
          <w:sz w:val="20"/>
          <w:szCs w:val="20"/>
          <w:b w:val="1"/>
          <w:bCs w:val="1"/>
          <w:color w:val="auto"/>
        </w:rPr>
        <w:t>FOR OPTIONEES OUTSIDE THE U.S.</w:t>
      </w:r>
    </w:p>
    <w:p>
      <w:pPr>
        <w:spacing w:after="0" w:line="21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 xml:space="preserve">This Exhibit A includes special terms and conditions applicable to Optionees in the countries below. These terms and conditions are in addition to those set forth in the Nonqualified Stock Option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Any capitalized term used in this Exhibit A without definition shall have the meaning ascribed to such term in the Dine Brands Global, Inc. 2016 Stock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Agreement, as applicable.</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Exhibit A also includes information relating to exchange control and other issues of which the Optionee should be aware with respect to his or her participation in the Plan. However, because such laws are often complex and change frequently, the Company strongly recommends that the Optionee not rely on the information herein as the only source of information relating to the consequences of participation in the Plan because the information may be out of date at the time the Option (the “Option”) is exercised or shares of Common Stock acquired under the Plan are sold.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is general in nature and may not apply to the particular situation of the Optionee, and the Company is not in a position to assure the Optionee of any particular result. Accordingly, the Optionee is advised to seek appropriate professional advice as to how the relevant laws in his or her country may apply to his or her situation. The Company is not providing any tax, legal or financial advice, nor is the Company making any recommendations regarding Optionee’s acceptance of the Option or participation in the Plan</w:t>
      </w:r>
      <w:r>
        <w:rPr>
          <w:rFonts w:ascii="Arial" w:cs="Arial" w:eastAsia="Arial" w:hAnsi="Arial"/>
          <w:sz w:val="20"/>
          <w:szCs w:val="20"/>
          <w:color w:val="4F81BD"/>
        </w:rPr>
        <w:t>.</w:t>
      </w:r>
      <w:r>
        <w:rPr>
          <w:rFonts w:ascii="Arial" w:cs="Arial" w:eastAsia="Arial" w:hAnsi="Arial"/>
          <w:sz w:val="20"/>
          <w:szCs w:val="20"/>
          <w:color w:val="auto"/>
        </w:rPr>
        <w:t xml:space="preserve"> Finally, if the Optionee is a citizen or resident of a country other than the one in which he or she is currently working, the information contained herein may not be applicable to the Optionee.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Securities Law Notice: Unless otherwise noted, neither the Company nor the Common Stock are registered with any local stock exchange or under the control of any local securities regulator outside the United States. The Agreement (of which this Exhibit A is a part),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supplements the Section 13 of the Agreement: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Optionee understands that Personal Data will be held only as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long as is necessary to implement, administer and manage Optionee’s participation in the Plan. Optionee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Optionee’s local human resources representative.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Optionee is resident or domiciled in Brazil, the Optionee will be required to submit an annual declaration of assets and rights held outside of Brazil to the Central Bank of Brazil (“BACEN”) if the aggregate value of such assets and rights equals or exceeds US $100,000. Assets and rights that must be reported include shares of Common Stock of the Company. The reporting should be completed at the beginning of the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ectPr>
          <w:pgSz w:w="11900" w:h="16838" w:orient="portrait"/>
          <w:cols w:equalWidth="0" w:num="1">
            <w:col w:w="11420"/>
          </w:cols>
          <w:pgMar w:left="240" w:top="131" w:right="239" w:bottom="112" w:gutter="0" w:footer="0" w:header="0"/>
        </w:sectPr>
      </w:pPr>
    </w:p>
    <w:bookmarkStart w:id="96" w:name="page97"/>
    <w:bookmarkEnd w:id="96"/>
    <w:p>
      <w:pPr>
        <w:ind w:right="100"/>
        <w:spacing w:after="0" w:line="277" w:lineRule="auto"/>
        <w:rPr>
          <w:sz w:val="20"/>
          <w:szCs w:val="20"/>
          <w:color w:val="auto"/>
        </w:rPr>
      </w:pPr>
      <w:r>
        <w:rPr>
          <w:rFonts w:ascii="Arial" w:cs="Arial" w:eastAsia="Arial" w:hAnsi="Arial"/>
          <w:sz w:val="20"/>
          <w:szCs w:val="20"/>
          <w:b w:val="1"/>
          <w:bCs w:val="1"/>
          <w:color w:val="auto"/>
        </w:rPr>
        <w:t xml:space="preserve">Foreign Share Ownership Reporting. </w:t>
      </w:r>
      <w:r>
        <w:rPr>
          <w:rFonts w:ascii="Arial" w:cs="Arial" w:eastAsia="Arial" w:hAnsi="Arial"/>
          <w:sz w:val="20"/>
          <w:szCs w:val="20"/>
          <w:color w:val="auto"/>
        </w:rPr>
        <w:t>If the Optionee is a Canadian resident, the Optionee’s ownership of certain foreign property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shares of foreign corporations) in excess of $100,000 may be subject to ongoing annual reporting obligations. Please refer to </w:t>
      </w:r>
      <w:r>
        <w:rPr>
          <w:rFonts w:ascii="Arial" w:cs="Arial" w:eastAsia="Arial" w:hAnsi="Arial"/>
          <w:sz w:val="21"/>
          <w:szCs w:val="21"/>
          <w:u w:val="single" w:color="auto"/>
          <w:color w:val="0000FF"/>
        </w:rPr>
        <w:t>CRA Form</w:t>
      </w:r>
      <w:r>
        <w:rPr>
          <w:rFonts w:ascii="Arial" w:cs="Arial" w:eastAsia="Arial" w:hAnsi="Arial"/>
          <w:sz w:val="20"/>
          <w:szCs w:val="20"/>
          <w:color w:val="auto"/>
        </w:rPr>
        <w:t xml:space="preserve"> </w:t>
      </w:r>
      <w:r>
        <w:rPr>
          <w:rFonts w:ascii="Arial" w:cs="Arial" w:eastAsia="Arial" w:hAnsi="Arial"/>
          <w:sz w:val="21"/>
          <w:szCs w:val="21"/>
          <w:u w:val="single" w:color="auto"/>
          <w:color w:val="0000FF"/>
        </w:rPr>
        <w:t>T1135</w:t>
      </w:r>
      <w:r>
        <w:rPr>
          <w:rFonts w:ascii="Arial" w:cs="Arial" w:eastAsia="Arial" w:hAnsi="Arial"/>
          <w:sz w:val="21"/>
          <w:szCs w:val="21"/>
          <w:color w:val="0000FF"/>
        </w:rPr>
        <w:t xml:space="preserve"> </w:t>
      </w:r>
      <w:r>
        <w:rPr>
          <w:rFonts w:ascii="Arial" w:cs="Arial" w:eastAsia="Arial" w:hAnsi="Arial"/>
          <w:sz w:val="19"/>
          <w:szCs w:val="19"/>
          <w:color w:val="000000"/>
        </w:rPr>
        <w:t>(Foreign Income Verification Statement) and consult your tax advisor for further details. It is your responsibility to comply with all</w:t>
      </w:r>
      <w:r>
        <w:rPr>
          <w:rFonts w:ascii="Arial" w:cs="Arial" w:eastAsia="Arial" w:hAnsi="Arial"/>
          <w:sz w:val="21"/>
          <w:szCs w:val="21"/>
          <w:color w:val="0000FF"/>
        </w:rPr>
        <w:t xml:space="preserve"> </w:t>
      </w:r>
      <w:r>
        <w:rPr>
          <w:rFonts w:ascii="Arial" w:cs="Arial" w:eastAsia="Arial" w:hAnsi="Arial"/>
          <w:sz w:val="19"/>
          <w:szCs w:val="19"/>
          <w:color w:val="000000"/>
        </w:rPr>
        <w:t>applicable tax reporting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Labor Law Statement. </w:t>
      </w:r>
      <w:r>
        <w:rPr>
          <w:rFonts w:ascii="Arial" w:cs="Arial" w:eastAsia="Arial" w:hAnsi="Arial"/>
          <w:sz w:val="20"/>
          <w:szCs w:val="20"/>
          <w:color w:val="auto"/>
        </w:rPr>
        <w:t>The invitation Dine Brands Global, Inc. is making under the Plan is unilateral and discretionary and is not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salary and other contractual benefits granted to Optionee by Optionee’s employer. Dine Brands Global, Inc. reserves the absolute right to amend the Plan and discontinue it at any time without any liability to Optionee. This invitation and, in Optionee’s case, the acquisition of shares does not, in any way, establish a labor relationship between Optionee and Dine Brands Global, Inc., nor does it establish any rights between Optionee and Optionee’s employer.</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La invitación que Dine Brands Global, Inc. hace en relación con el Plan es unilateral y discrecional, por lo tanto, Dine Brands Global, Inc. se reserva el derecho absoluto para modificar o terminar el mismo, sin ninguna responsabilidad para usted. Esta invitación y, en su caso, la adquisición de acciones, de ninguna manera establecen relación laboral alguna entre usted y Dine Brands Global, Inc. y tampoco establece derecho alguno entre usted y su empleador.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2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This offering is subject to exemption from the requirements of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Commission under Section 10.1 (k) of the Philippines Securities Regulation Code. </w:t>
      </w:r>
      <w:r>
        <w:rPr>
          <w:rFonts w:ascii="Arial" w:cs="Arial" w:eastAsia="Arial" w:hAnsi="Arial"/>
          <w:sz w:val="18"/>
          <w:szCs w:val="18"/>
          <w:b w:val="1"/>
          <w:bCs w:val="1"/>
          <w:color w:val="auto"/>
        </w:rPr>
        <w:t>THE SECURITIES BEING OFFERED OR</w:t>
      </w:r>
    </w:p>
    <w:p>
      <w:pPr>
        <w:spacing w:after="0" w:line="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SOLD HAVE NOT BEEN REGISTERED WITH THE PHILIPPINES SECURITIES AND EXCHANGE COMMISSION UNDER THE SECURITIES REGULATION CODE. ANY FUTURE OFFER OR SALE THEREOF IS SUBJECT TO REGISTRATION REQUIREMENTS UNDER THE CODE UNLESS SUCH OFFER OR SALE QUALIFIES AS AN EXEMPT TRANSACTION.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UAE</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Option has not been approved or licensed by the UAE Central Bank, the UAE Securities and Commodities Authority or any other relevant licensing authorities or governmental agencies in the United Arab Emirates. This offer is strictly private and confidential and the terms of such offer have not been reviewed by, deposited or registered with the UAE Central Bank, the UAE Securities and Commodities Authority or any other licensing authority or governmental agencies in the United Arab Emirates. This offer is being issued from outside the United Arab Emirates and must not be provided to any person other than the Holder and may not be reproduced or used for any other purpose. Further, the information contained in this offer is not intended to lead to the issue of any securities or the conclusion of any other contract of whatsoever nature within the territory of the United Arab Emirates.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ACTIVE 229748385</w:t>
      </w:r>
    </w:p>
    <w:p>
      <w:pPr>
        <w:sectPr>
          <w:pgSz w:w="11900" w:h="16838" w:orient="portrait"/>
          <w:cols w:equalWidth="0" w:num="1">
            <w:col w:w="11420"/>
          </w:cols>
          <w:pgMar w:left="240" w:top="13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10.11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Non-Employee Directors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 (the</w:t>
      </w:r>
    </w:p>
    <w:p>
      <w:pPr>
        <w:spacing w:after="0" w:line="39"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 xml:space="preserve">“Date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“Optionee”).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1"/>
          <w:numId w:val="102"/>
        </w:numPr>
        <w:rPr>
          <w:rFonts w:ascii="Arial" w:cs="Arial" w:eastAsia="Arial" w:hAnsi="Arial"/>
          <w:sz w:val="19"/>
          <w:szCs w:val="19"/>
          <w:color w:val="010000"/>
        </w:rPr>
      </w:pPr>
      <w:r>
        <w:rPr>
          <w:rFonts w:ascii="Arial" w:cs="Arial" w:eastAsia="Arial" w:hAnsi="Arial"/>
          <w:sz w:val="19"/>
          <w:szCs w:val="19"/>
          <w:u w:val="single" w:color="auto"/>
          <w:color w:val="auto"/>
        </w:rPr>
        <w:t>NUMBER OF OPTION SHARES AND OPTION PRICE</w:t>
      </w:r>
      <w:r>
        <w:rPr>
          <w:rFonts w:ascii="Arial" w:cs="Arial" w:eastAsia="Arial" w:hAnsi="Arial"/>
          <w:sz w:val="19"/>
          <w:szCs w:val="19"/>
          <w:color w:val="auto"/>
        </w:rPr>
        <w:t>. The Option entitles the Optionee to purchase ______</w:t>
      </w:r>
    </w:p>
    <w:p>
      <w:pPr>
        <w:spacing w:after="0" w:line="56" w:lineRule="exact"/>
        <w:rPr>
          <w:rFonts w:ascii="Arial" w:cs="Arial" w:eastAsia="Arial" w:hAnsi="Arial"/>
          <w:sz w:val="19"/>
          <w:szCs w:val="19"/>
          <w:color w:val="010000"/>
        </w:rPr>
      </w:pPr>
    </w:p>
    <w:p>
      <w:pPr>
        <w:ind w:right="220"/>
        <w:spacing w:after="0" w:line="246" w:lineRule="auto"/>
        <w:rPr>
          <w:rFonts w:ascii="Arial" w:cs="Arial" w:eastAsia="Arial" w:hAnsi="Arial"/>
          <w:sz w:val="19"/>
          <w:szCs w:val="19"/>
          <w:color w:val="010000"/>
        </w:rPr>
      </w:pPr>
      <w:r>
        <w:rPr>
          <w:rFonts w:ascii="Arial" w:cs="Arial" w:eastAsia="Arial" w:hAnsi="Arial"/>
          <w:sz w:val="22"/>
          <w:szCs w:val="22"/>
          <w:color w:val="auto"/>
        </w:rPr>
        <w:t>shares of the Company’s Common Stock (the “Option Shares”) at a price of $_________ per share (the “Option Exercise Price”), which is the Fair Market Value of a share of Common Stock as of the Date of Grant.</w:t>
      </w:r>
    </w:p>
    <w:p>
      <w:pPr>
        <w:spacing w:after="0" w:line="192" w:lineRule="exact"/>
        <w:rPr>
          <w:rFonts w:ascii="Arial" w:cs="Arial" w:eastAsia="Arial" w:hAnsi="Arial"/>
          <w:sz w:val="19"/>
          <w:szCs w:val="19"/>
          <w:color w:val="010000"/>
        </w:rPr>
      </w:pPr>
    </w:p>
    <w:p>
      <w:pPr>
        <w:ind w:left="1000" w:hanging="344"/>
        <w:spacing w:after="0"/>
        <w:tabs>
          <w:tab w:leader="none" w:pos="1000" w:val="left"/>
        </w:tabs>
        <w:numPr>
          <w:ilvl w:val="1"/>
          <w:numId w:val="102"/>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2"/>
          <w:numId w:val="102"/>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firstLine="1305"/>
        <w:spacing w:after="0" w:line="250" w:lineRule="auto"/>
        <w:tabs>
          <w:tab w:leader="none" w:pos="1728" w:val="left"/>
        </w:tabs>
        <w:numPr>
          <w:ilvl w:val="2"/>
          <w:numId w:val="102"/>
        </w:numPr>
        <w:rPr>
          <w:rFonts w:ascii="Arial" w:cs="Arial" w:eastAsia="Arial" w:hAnsi="Arial"/>
          <w:sz w:val="22"/>
          <w:szCs w:val="22"/>
          <w:color w:val="010000"/>
        </w:rPr>
      </w:pPr>
      <w:r>
        <w:rPr>
          <w:rFonts w:ascii="Arial" w:cs="Arial" w:eastAsia="Arial" w:hAnsi="Arial"/>
          <w:sz w:val="22"/>
          <w:szCs w:val="22"/>
          <w:u w:val="single" w:color="auto"/>
          <w:color w:val="auto"/>
        </w:rPr>
        <w:t>Conditions of Exercise</w:t>
      </w:r>
      <w:r>
        <w:rPr>
          <w:rFonts w:ascii="Arial" w:cs="Arial" w:eastAsia="Arial" w:hAnsi="Arial"/>
          <w:sz w:val="22"/>
          <w:szCs w:val="22"/>
          <w:color w:val="auto"/>
        </w:rPr>
        <w:t>. Subject to the Optionee’s continued service to the Company, this Option shall vest and become exercisable as to one-third (1/3) of the shares subject to the Option on each of the first, second and third anniversaries of the Date of Grant. Notwithstanding anything in this Agreement to the contrary, the Option may be exercised only to purchase whole shares of Common Stock, and in no case may a fraction of a share of Common Stock be purchased. The right of the Optionee to purchase Option Shares with respect to which this Option has become exercisable as herein provided may only be exercised prior to the termination of the Option.</w:t>
      </w:r>
    </w:p>
    <w:p>
      <w:pPr>
        <w:spacing w:after="0" w:line="188" w:lineRule="exact"/>
        <w:rPr>
          <w:rFonts w:ascii="Arial" w:cs="Arial" w:eastAsia="Arial" w:hAnsi="Arial"/>
          <w:sz w:val="22"/>
          <w:szCs w:val="22"/>
          <w:color w:val="010000"/>
        </w:rPr>
      </w:pPr>
    </w:p>
    <w:p>
      <w:pPr>
        <w:jc w:val="both"/>
        <w:ind w:right="80" w:firstLine="1305"/>
        <w:spacing w:after="0" w:line="260" w:lineRule="auto"/>
        <w:tabs>
          <w:tab w:leader="none" w:pos="1716" w:val="left"/>
        </w:tabs>
        <w:numPr>
          <w:ilvl w:val="2"/>
          <w:numId w:val="102"/>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1"/>
          <w:numId w:val="102"/>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SERVICE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40" w:firstLine="1305"/>
        <w:spacing w:after="0" w:line="276" w:lineRule="auto"/>
        <w:tabs>
          <w:tab w:leader="none" w:pos="1716" w:val="left"/>
        </w:tabs>
        <w:numPr>
          <w:ilvl w:val="2"/>
          <w:numId w:val="102"/>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otherwise provided in this Section 3, the Option may not be exercised after the Optionee’s service with the Company or any of its Subsidiaries has ceased.</w:t>
      </w:r>
    </w:p>
    <w:p>
      <w:pPr>
        <w:spacing w:after="0" w:line="160" w:lineRule="exact"/>
        <w:rPr>
          <w:rFonts w:ascii="Arial" w:cs="Arial" w:eastAsia="Arial" w:hAnsi="Arial"/>
          <w:sz w:val="22"/>
          <w:szCs w:val="22"/>
          <w:color w:val="010000"/>
        </w:rPr>
      </w:pPr>
    </w:p>
    <w:p>
      <w:pPr>
        <w:ind w:right="20" w:firstLine="1305"/>
        <w:spacing w:after="0" w:line="254" w:lineRule="auto"/>
        <w:tabs>
          <w:tab w:leader="none" w:pos="1728" w:val="left"/>
        </w:tabs>
        <w:numPr>
          <w:ilvl w:val="2"/>
          <w:numId w:val="102"/>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If the Optionee’s service to the Company terminates by reason of his or her death, the Options shall become fully vested and exercisable and thereafter may be exercised by the legal representative of the estate or by the legatee of the Optionee under the will of the Optionee, for a period of twelve (12) months from the date of such death or until the expiration of the term of the Option, whichever period is shorter.</w:t>
      </w:r>
    </w:p>
    <w:p>
      <w:pPr>
        <w:spacing w:after="0" w:line="185" w:lineRule="exact"/>
        <w:rPr>
          <w:rFonts w:ascii="Arial" w:cs="Arial" w:eastAsia="Arial" w:hAnsi="Arial"/>
          <w:sz w:val="22"/>
          <w:szCs w:val="22"/>
          <w:color w:val="010000"/>
        </w:rPr>
      </w:pPr>
    </w:p>
    <w:p>
      <w:pPr>
        <w:ind w:right="580" w:firstLine="1305"/>
        <w:spacing w:after="0" w:line="299" w:lineRule="auto"/>
        <w:tabs>
          <w:tab w:leader="none" w:pos="1716" w:val="left"/>
        </w:tabs>
        <w:numPr>
          <w:ilvl w:val="2"/>
          <w:numId w:val="102"/>
        </w:numPr>
        <w:rPr>
          <w:rFonts w:ascii="Arial" w:cs="Arial" w:eastAsia="Arial" w:hAnsi="Arial"/>
          <w:sz w:val="19"/>
          <w:szCs w:val="19"/>
          <w:color w:val="010000"/>
        </w:rPr>
      </w:pPr>
      <w:r>
        <w:rPr>
          <w:rFonts w:ascii="Arial" w:cs="Arial" w:eastAsia="Arial" w:hAnsi="Arial"/>
          <w:sz w:val="19"/>
          <w:szCs w:val="19"/>
          <w:u w:val="single" w:color="auto"/>
          <w:color w:val="auto"/>
        </w:rPr>
        <w:t>Disability and Retirement</w:t>
      </w:r>
      <w:r>
        <w:rPr>
          <w:rFonts w:ascii="Arial" w:cs="Arial" w:eastAsia="Arial" w:hAnsi="Arial"/>
          <w:sz w:val="19"/>
          <w:szCs w:val="19"/>
          <w:color w:val="auto"/>
        </w:rPr>
        <w:t>. If the Optionee’s service to the Company terminates by reason of Disability or Retirement, the Option shall become fully vested and exercisable and thereafter may be exercised for a period of twelve</w:t>
      </w:r>
    </w:p>
    <w:p>
      <w:pPr>
        <w:ind w:right="80" w:firstLine="8"/>
        <w:spacing w:after="0" w:line="244" w:lineRule="auto"/>
        <w:tabs>
          <w:tab w:leader="none" w:pos="41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months from the date of such termination of service or until the expiration of the term of the Option, whichever period is shorter,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Optionee dies within such twelve-month period and prior to the expiration of the term of the Option, the Option shall thereafter be exercisable for a period of twelve (12) months from the time of death or until the expiration of the term of the Option, whichever period is shorter.</w:t>
      </w:r>
    </w:p>
    <w:p>
      <w:pPr>
        <w:sectPr>
          <w:pgSz w:w="11900" w:h="16838" w:orient="portrait"/>
          <w:cols w:equalWidth="0" w:num="1">
            <w:col w:w="11420"/>
          </w:cols>
          <w:pgMar w:left="240" w:top="126" w:right="239" w:bottom="0" w:gutter="0" w:footer="0" w:header="0"/>
        </w:sectPr>
      </w:pPr>
    </w:p>
    <w:bookmarkStart w:id="98" w:name="page99"/>
    <w:bookmarkEnd w:id="98"/>
    <w:p>
      <w:pPr>
        <w:ind w:right="160" w:firstLine="1305"/>
        <w:spacing w:after="0" w:line="254" w:lineRule="auto"/>
        <w:tabs>
          <w:tab w:leader="none" w:pos="1728" w:val="left"/>
        </w:tabs>
        <w:numPr>
          <w:ilvl w:val="2"/>
          <w:numId w:val="104"/>
        </w:numPr>
        <w:rPr>
          <w:rFonts w:ascii="Arial" w:cs="Arial" w:eastAsia="Arial" w:hAnsi="Arial"/>
          <w:sz w:val="22"/>
          <w:szCs w:val="22"/>
          <w:color w:val="010000"/>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an Optionee’s service to the Company terminates for any reason other than death, Disability or Retirement, the Option may be exercised, to the extent it was exercisable at the time of such termination, until the earlier to occur of (i) three (3) months from the date of such termination or (ii) the expiration of the term of the Option, whichever period is shorter.</w:t>
      </w:r>
    </w:p>
    <w:p>
      <w:pPr>
        <w:spacing w:after="0" w:line="185" w:lineRule="exact"/>
        <w:rPr>
          <w:rFonts w:ascii="Arial" w:cs="Arial" w:eastAsia="Arial" w:hAnsi="Arial"/>
          <w:sz w:val="22"/>
          <w:szCs w:val="22"/>
          <w:color w:val="010000"/>
        </w:rPr>
      </w:pPr>
    </w:p>
    <w:p>
      <w:pPr>
        <w:ind w:right="80" w:firstLine="1305"/>
        <w:spacing w:after="0" w:line="264" w:lineRule="auto"/>
        <w:tabs>
          <w:tab w:leader="none" w:pos="1716" w:val="left"/>
        </w:tabs>
        <w:numPr>
          <w:ilvl w:val="2"/>
          <w:numId w:val="104"/>
        </w:numPr>
        <w:rPr>
          <w:rFonts w:ascii="Arial" w:cs="Arial" w:eastAsia="Arial" w:hAnsi="Arial"/>
          <w:sz w:val="21"/>
          <w:szCs w:val="21"/>
          <w:color w:val="010000"/>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Upon the termination of the Optionee’s service to the Company within a period of twenty-four (24) months following a Change in Control (i) by the Company other than for Cause, or (ii) as a result of his or her Disability, in lieu of shares of Common Stock issuable upon exercise of an outstanding Option, whether or not then exercisable, the Company shall pay the Optionee a lump sum amount, in cash, equal to the product of (i) the excess of the Fair Market Value of the Option Shares on such date of termination, over the Option Exercise Price, and (ii) the number of the then unexercised Option Shares. The Option shall be canceled upon the making of such payment.</w:t>
      </w:r>
    </w:p>
    <w:p>
      <w:pPr>
        <w:spacing w:after="0" w:line="175" w:lineRule="exact"/>
        <w:rPr>
          <w:rFonts w:ascii="Arial" w:cs="Arial" w:eastAsia="Arial" w:hAnsi="Arial"/>
          <w:sz w:val="21"/>
          <w:szCs w:val="21"/>
          <w:color w:val="010000"/>
        </w:rPr>
      </w:pPr>
    </w:p>
    <w:p>
      <w:pPr>
        <w:ind w:right="520" w:firstLine="1305"/>
        <w:spacing w:after="0" w:line="276" w:lineRule="auto"/>
        <w:tabs>
          <w:tab w:leader="none" w:pos="1692" w:val="left"/>
        </w:tabs>
        <w:numPr>
          <w:ilvl w:val="2"/>
          <w:numId w:val="104"/>
        </w:numPr>
        <w:rPr>
          <w:rFonts w:ascii="Arial" w:cs="Arial" w:eastAsia="Arial" w:hAnsi="Arial"/>
          <w:sz w:val="22"/>
          <w:szCs w:val="22"/>
          <w:color w:val="010000"/>
        </w:rPr>
      </w:pPr>
      <w:r>
        <w:rPr>
          <w:rFonts w:ascii="Arial" w:cs="Arial" w:eastAsia="Arial" w:hAnsi="Arial"/>
          <w:sz w:val="22"/>
          <w:szCs w:val="22"/>
          <w:u w:val="single" w:color="auto"/>
          <w:color w:val="auto"/>
        </w:rPr>
        <w:t>Termination of Options</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105"/>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100" w:firstLine="1305"/>
        <w:spacing w:after="0" w:line="286" w:lineRule="auto"/>
        <w:tabs>
          <w:tab w:leader="none" w:pos="1716" w:val="left"/>
        </w:tabs>
        <w:numPr>
          <w:ilvl w:val="2"/>
          <w:numId w:val="105"/>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w:t>
      </w:r>
    </w:p>
    <w:p>
      <w:pPr>
        <w:spacing w:after="0" w:line="1" w:lineRule="exact"/>
        <w:rPr>
          <w:rFonts w:ascii="Arial" w:cs="Arial" w:eastAsia="Arial" w:hAnsi="Arial"/>
          <w:sz w:val="19"/>
          <w:szCs w:val="19"/>
          <w:color w:val="010000"/>
        </w:rPr>
      </w:pPr>
    </w:p>
    <w:p>
      <w:pPr>
        <w:ind w:left="320" w:hanging="312"/>
        <w:spacing w:after="0"/>
        <w:tabs>
          <w:tab w:leader="none" w:pos="3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by executing such documents as the Company may reasonably request.</w:t>
      </w:r>
    </w:p>
    <w:p>
      <w:pPr>
        <w:spacing w:after="0" w:line="201" w:lineRule="exact"/>
        <w:rPr>
          <w:rFonts w:ascii="Arial" w:cs="Arial" w:eastAsia="Arial" w:hAnsi="Arial"/>
          <w:sz w:val="22"/>
          <w:szCs w:val="22"/>
          <w:color w:val="auto"/>
        </w:rPr>
      </w:pPr>
    </w:p>
    <w:p>
      <w:pPr>
        <w:ind w:firstLine="1305"/>
        <w:spacing w:after="0" w:line="254" w:lineRule="auto"/>
        <w:tabs>
          <w:tab w:leader="none" w:pos="1728" w:val="left"/>
        </w:tabs>
        <w:numPr>
          <w:ilvl w:val="2"/>
          <w:numId w:val="106"/>
        </w:numPr>
        <w:rPr>
          <w:rFonts w:ascii="Arial" w:cs="Arial" w:eastAsia="Arial" w:hAnsi="Arial"/>
          <w:sz w:val="22"/>
          <w:szCs w:val="22"/>
          <w:color w:val="010000"/>
        </w:rPr>
      </w:pPr>
      <w:r>
        <w:rPr>
          <w:rFonts w:ascii="Arial" w:cs="Arial" w:eastAsia="Arial" w:hAnsi="Arial"/>
          <w:sz w:val="22"/>
          <w:szCs w:val="22"/>
          <w:u w:val="single" w:color="auto"/>
          <w:color w:val="auto"/>
        </w:rPr>
        <w:t>Delivery of Option Shares</w:t>
      </w:r>
      <w:r>
        <w:rPr>
          <w:rFonts w:ascii="Arial" w:cs="Arial" w:eastAsia="Arial" w:hAnsi="Arial"/>
          <w:sz w:val="22"/>
          <w:szCs w:val="22"/>
          <w:color w:val="auto"/>
        </w:rPr>
        <w:t>. Upon exercise of the Option and payment of the Option Price pursuant to paragraph (a) of this Section 4, and subject to the requirements set forth in Section 5, the Company shall issue or cause to be issued, and delivered as promptly as possible to the Optionee, certificates representing the appropriate number of Option Shares, which certificates shall be registered in the name of the Optionee.</w:t>
      </w:r>
    </w:p>
    <w:p>
      <w:pPr>
        <w:spacing w:after="0" w:line="185" w:lineRule="exact"/>
        <w:rPr>
          <w:rFonts w:ascii="Arial" w:cs="Arial" w:eastAsia="Arial" w:hAnsi="Arial"/>
          <w:sz w:val="22"/>
          <w:szCs w:val="22"/>
          <w:color w:val="010000"/>
        </w:rPr>
      </w:pPr>
    </w:p>
    <w:p>
      <w:pPr>
        <w:ind w:right="100" w:firstLine="656"/>
        <w:spacing w:after="0" w:line="261" w:lineRule="auto"/>
        <w:tabs>
          <w:tab w:leader="none" w:pos="990" w:val="left"/>
        </w:tabs>
        <w:numPr>
          <w:ilvl w:val="1"/>
          <w:numId w:val="106"/>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84" w:lineRule="exact"/>
        <w:rPr>
          <w:sz w:val="20"/>
          <w:szCs w:val="20"/>
          <w:color w:val="auto"/>
        </w:rPr>
      </w:pPr>
    </w:p>
    <w:p>
      <w:pPr>
        <w:ind w:firstLine="656"/>
        <w:spacing w:after="0" w:line="264" w:lineRule="auto"/>
        <w:tabs>
          <w:tab w:leader="none" w:pos="990" w:val="left"/>
        </w:tabs>
        <w:numPr>
          <w:ilvl w:val="0"/>
          <w:numId w:val="107"/>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20" w:firstLine="656"/>
        <w:spacing w:after="0" w:line="292" w:lineRule="auto"/>
        <w:tabs>
          <w:tab w:leader="none" w:pos="990" w:val="left"/>
        </w:tabs>
        <w:numPr>
          <w:ilvl w:val="0"/>
          <w:numId w:val="107"/>
        </w:numPr>
        <w:rPr>
          <w:rFonts w:ascii="Arial" w:cs="Arial" w:eastAsia="Arial" w:hAnsi="Arial"/>
          <w:sz w:val="19"/>
          <w:szCs w:val="19"/>
          <w:color w:val="010000"/>
        </w:rPr>
      </w:pP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 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w:t>
      </w:r>
    </w:p>
    <w:p>
      <w:pPr>
        <w:sectPr>
          <w:pgSz w:w="11900" w:h="16838" w:orient="portrait"/>
          <w:cols w:equalWidth="0" w:num="1">
            <w:col w:w="11400"/>
          </w:cols>
          <w:pgMar w:left="240" w:top="131" w:right="259" w:bottom="0" w:gutter="0" w:footer="0" w:header="0"/>
        </w:sectPr>
      </w:pPr>
    </w:p>
    <w:bookmarkStart w:id="99" w:name="page100"/>
    <w:bookmarkEnd w:id="99"/>
    <w:p>
      <w:pPr>
        <w:ind w:right="260"/>
        <w:spacing w:after="0" w:line="263" w:lineRule="auto"/>
        <w:rPr>
          <w:sz w:val="20"/>
          <w:szCs w:val="20"/>
          <w:color w:val="auto"/>
        </w:rPr>
      </w:pPr>
      <w:r>
        <w:rPr>
          <w:rFonts w:ascii="Arial" w:cs="Arial" w:eastAsia="Arial" w:hAnsi="Arial"/>
          <w:sz w:val="22"/>
          <w:szCs w:val="22"/>
          <w:color w:val="auto"/>
        </w:rPr>
        <w:t>assign, pledge, hypothecate, encumber or otherwise dispose of the Option, the Option and all rights thereunder shall immediately become null and void.</w:t>
      </w:r>
    </w:p>
    <w:p>
      <w:pPr>
        <w:spacing w:after="0" w:line="175" w:lineRule="exact"/>
        <w:rPr>
          <w:sz w:val="20"/>
          <w:szCs w:val="20"/>
          <w:color w:val="auto"/>
        </w:rPr>
      </w:pPr>
    </w:p>
    <w:p>
      <w:pPr>
        <w:ind w:right="20" w:firstLine="656"/>
        <w:spacing w:after="0" w:line="290" w:lineRule="auto"/>
        <w:tabs>
          <w:tab w:leader="none" w:pos="990" w:val="left"/>
        </w:tabs>
        <w:numPr>
          <w:ilvl w:val="1"/>
          <w:numId w:val="108"/>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6" w:lineRule="auto"/>
        <w:tabs>
          <w:tab w:leader="none" w:pos="41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right="300" w:firstLine="656"/>
        <w:spacing w:after="0" w:line="260" w:lineRule="auto"/>
        <w:tabs>
          <w:tab w:leader="none" w:pos="990" w:val="left"/>
        </w:tabs>
        <w:numPr>
          <w:ilvl w:val="1"/>
          <w:numId w:val="109"/>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right="60" w:firstLine="656"/>
        <w:spacing w:after="0" w:line="251" w:lineRule="auto"/>
        <w:tabs>
          <w:tab w:leader="none" w:pos="1098" w:val="left"/>
        </w:tabs>
        <w:numPr>
          <w:ilvl w:val="1"/>
          <w:numId w:val="109"/>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General Counsel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60" w:firstLine="656"/>
        <w:spacing w:after="0" w:line="301" w:lineRule="auto"/>
        <w:tabs>
          <w:tab w:leader="none" w:pos="1090" w:val="left"/>
        </w:tabs>
        <w:numPr>
          <w:ilvl w:val="1"/>
          <w:numId w:val="109"/>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200" w:firstLine="656"/>
        <w:spacing w:after="0" w:line="276" w:lineRule="auto"/>
        <w:tabs>
          <w:tab w:leader="none" w:pos="1098" w:val="left"/>
        </w:tabs>
        <w:numPr>
          <w:ilvl w:val="1"/>
          <w:numId w:val="109"/>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right="160" w:firstLine="656"/>
        <w:spacing w:after="0" w:line="254" w:lineRule="auto"/>
        <w:tabs>
          <w:tab w:leader="none" w:pos="1098" w:val="left"/>
        </w:tabs>
        <w:numPr>
          <w:ilvl w:val="1"/>
          <w:numId w:val="109"/>
        </w:numPr>
        <w:rPr>
          <w:rFonts w:ascii="Arial" w:cs="Arial" w:eastAsia="Arial" w:hAnsi="Arial"/>
          <w:sz w:val="22"/>
          <w:szCs w:val="22"/>
          <w:color w:val="010000"/>
        </w:rPr>
      </w:pPr>
      <w:r>
        <w:rPr>
          <w:rFonts w:ascii="Arial" w:cs="Arial" w:eastAsia="Arial" w:hAnsi="Arial"/>
          <w:sz w:val="22"/>
          <w:szCs w:val="22"/>
          <w:u w:val="single" w:color="auto"/>
          <w:color w:val="auto"/>
        </w:rPr>
        <w:t>CONTINUED SERVICE</w:t>
      </w:r>
      <w:r>
        <w:rPr>
          <w:rFonts w:ascii="Arial" w:cs="Arial" w:eastAsia="Arial" w:hAnsi="Arial"/>
          <w:sz w:val="22"/>
          <w:szCs w:val="22"/>
          <w:color w:val="auto"/>
        </w:rPr>
        <w:t>. Neither the Plan, the granting of the Option, this Agreement nor any other action taken pursuant to the Plan shall confer upon any person any right to continued service with the Company, any Subsidiary or any affiliate of the Company or affect in any manner the right of the Company, any Subsidiary or any affiliate of the Company to terminate the service of any person at any time without liability hereunder.</w:t>
      </w:r>
    </w:p>
    <w:p>
      <w:pPr>
        <w:spacing w:after="0" w:line="185" w:lineRule="exact"/>
        <w:rPr>
          <w:rFonts w:ascii="Arial" w:cs="Arial" w:eastAsia="Arial" w:hAnsi="Arial"/>
          <w:sz w:val="22"/>
          <w:szCs w:val="22"/>
          <w:color w:val="010000"/>
        </w:rPr>
      </w:pPr>
    </w:p>
    <w:p>
      <w:pPr>
        <w:ind w:right="200" w:firstLine="656"/>
        <w:spacing w:after="0" w:line="307" w:lineRule="auto"/>
        <w:tabs>
          <w:tab w:leader="none" w:pos="1098" w:val="left"/>
        </w:tabs>
        <w:numPr>
          <w:ilvl w:val="1"/>
          <w:numId w:val="109"/>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Optionee without the consent of the Optionee.</w:t>
      </w:r>
    </w:p>
    <w:p>
      <w:pPr>
        <w:spacing w:after="0" w:line="138" w:lineRule="exact"/>
        <w:rPr>
          <w:rFonts w:ascii="Arial" w:cs="Arial" w:eastAsia="Arial" w:hAnsi="Arial"/>
          <w:sz w:val="19"/>
          <w:szCs w:val="19"/>
          <w:color w:val="010000"/>
        </w:rPr>
      </w:pPr>
    </w:p>
    <w:p>
      <w:pPr>
        <w:ind w:right="220" w:firstLine="656"/>
        <w:spacing w:after="0" w:line="260" w:lineRule="auto"/>
        <w:tabs>
          <w:tab w:leader="none" w:pos="1098" w:val="left"/>
        </w:tabs>
        <w:numPr>
          <w:ilvl w:val="1"/>
          <w:numId w:val="109"/>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20" w:firstLine="656"/>
        <w:spacing w:after="0" w:line="276" w:lineRule="auto"/>
        <w:tabs>
          <w:tab w:leader="none" w:pos="1098" w:val="left"/>
        </w:tabs>
        <w:numPr>
          <w:ilvl w:val="1"/>
          <w:numId w:val="109"/>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1"/>
          <w:numId w:val="109"/>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109"/>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60" w:firstLine="1305"/>
        <w:spacing w:after="0" w:line="307" w:lineRule="auto"/>
        <w:tabs>
          <w:tab w:leader="none" w:pos="1716" w:val="left"/>
        </w:tabs>
        <w:numPr>
          <w:ilvl w:val="2"/>
          <w:numId w:val="109"/>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w:t>
      </w:r>
    </w:p>
    <w:p>
      <w:pPr>
        <w:sectPr>
          <w:pgSz w:w="11900" w:h="16838" w:orient="portrait"/>
          <w:cols w:equalWidth="0" w:num="1">
            <w:col w:w="11420"/>
          </w:cols>
          <w:pgMar w:left="240" w:top="132" w:right="239" w:bottom="0" w:gutter="0" w:footer="0" w:header="0"/>
        </w:sectPr>
      </w:pPr>
    </w:p>
    <w:bookmarkStart w:id="100" w:name="page101"/>
    <w:bookmarkEnd w:id="100"/>
    <w:p>
      <w:pPr>
        <w:spacing w:after="0" w:line="263" w:lineRule="auto"/>
        <w:rPr>
          <w:sz w:val="20"/>
          <w:szCs w:val="20"/>
          <w:color w:val="auto"/>
        </w:rPr>
      </w:pPr>
      <w:r>
        <w:rPr>
          <w:rFonts w:ascii="Arial" w:cs="Arial" w:eastAsia="Arial" w:hAnsi="Arial"/>
          <w:sz w:val="22"/>
          <w:szCs w:val="22"/>
          <w:color w:val="auto"/>
        </w:rPr>
        <w:t>would prevent the effective performance of the Optionee’s duties; or (iv) the Optionee’s conviction or plea of no contest to a felony or a crime of moral turpitude.</w:t>
      </w:r>
    </w:p>
    <w:p>
      <w:pPr>
        <w:spacing w:after="0" w:line="175" w:lineRule="exact"/>
        <w:rPr>
          <w:sz w:val="20"/>
          <w:szCs w:val="20"/>
          <w:color w:val="auto"/>
        </w:rPr>
      </w:pPr>
    </w:p>
    <w:p>
      <w:pPr>
        <w:ind w:right="400" w:firstLine="1305"/>
        <w:spacing w:after="0" w:line="276" w:lineRule="auto"/>
        <w:tabs>
          <w:tab w:leader="none" w:pos="1728" w:val="left"/>
        </w:tabs>
        <w:numPr>
          <w:ilvl w:val="0"/>
          <w:numId w:val="110"/>
        </w:numPr>
        <w:rPr>
          <w:rFonts w:ascii="Arial" w:cs="Arial" w:eastAsia="Arial" w:hAnsi="Arial"/>
          <w:sz w:val="22"/>
          <w:szCs w:val="22"/>
          <w:color w:val="010000"/>
        </w:rPr>
      </w:pPr>
      <w:r>
        <w:rPr>
          <w:rFonts w:ascii="Arial" w:cs="Arial" w:eastAsia="Arial" w:hAnsi="Arial"/>
          <w:sz w:val="22"/>
          <w:szCs w:val="22"/>
          <w:color w:val="auto"/>
        </w:rPr>
        <w:t>“Disability” shall mean any medically determinable physical or mental impairment that can be expected to result in death or can be expected to last for a continuous period of not less than 12 months.</w:t>
      </w:r>
    </w:p>
    <w:p>
      <w:pPr>
        <w:spacing w:after="0" w:line="155"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66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11360"/>
          </w:cols>
          <w:pgMar w:left="240" w:top="132" w:right="29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10.12</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Employees – Performance- Based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_______________</w:t>
      </w:r>
    </w:p>
    <w:p>
      <w:pPr>
        <w:spacing w:after="0" w:line="39"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 xml:space="preserve">(the “Date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________________________ (the “Optionee”).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NUMBER OF OPTION SHARES AND OPTION PRICE</w:t>
      </w:r>
      <w:r>
        <w:rPr>
          <w:rFonts w:ascii="Arial" w:cs="Arial" w:eastAsia="Arial" w:hAnsi="Arial"/>
          <w:sz w:val="22"/>
          <w:szCs w:val="22"/>
          <w:color w:val="auto"/>
        </w:rPr>
        <w:t>. The Option entitles the Optionee to purchase</w:t>
      </w:r>
    </w:p>
    <w:p>
      <w:pPr>
        <w:spacing w:after="0" w:line="21" w:lineRule="exact"/>
        <w:rPr>
          <w:rFonts w:ascii="Arial" w:cs="Arial" w:eastAsia="Arial" w:hAnsi="Arial"/>
          <w:sz w:val="22"/>
          <w:szCs w:val="22"/>
          <w:color w:val="010000"/>
        </w:rPr>
      </w:pPr>
    </w:p>
    <w:p>
      <w:pPr>
        <w:ind w:right="720"/>
        <w:spacing w:after="0" w:line="323" w:lineRule="auto"/>
        <w:rPr>
          <w:rFonts w:ascii="Arial" w:cs="Arial" w:eastAsia="Arial" w:hAnsi="Arial"/>
          <w:sz w:val="22"/>
          <w:szCs w:val="22"/>
          <w:color w:val="010000"/>
        </w:rPr>
      </w:pPr>
      <w:r>
        <w:rPr>
          <w:rFonts w:ascii="Arial" w:cs="Arial" w:eastAsia="Arial" w:hAnsi="Arial"/>
          <w:sz w:val="19"/>
          <w:szCs w:val="19"/>
          <w:color w:val="auto"/>
        </w:rPr>
        <w:t>______________ shares of the Company’s Common Stock (the “Option Shares”) at a price of $___________ per share (the “Option Exercise Price”), which is the Fair Market Value of a share of Common Stock as of the Date of Grant.</w:t>
      </w:r>
    </w:p>
    <w:p>
      <w:pPr>
        <w:spacing w:after="0" w:line="123" w:lineRule="exact"/>
        <w:rPr>
          <w:rFonts w:ascii="Arial" w:cs="Arial" w:eastAsia="Arial" w:hAnsi="Arial"/>
          <w:sz w:val="22"/>
          <w:szCs w:val="22"/>
          <w:color w:val="010000"/>
        </w:rPr>
      </w:pPr>
    </w:p>
    <w:p>
      <w:pPr>
        <w:ind w:left="1000" w:hanging="344"/>
        <w:spacing w:after="0"/>
        <w:tabs>
          <w:tab w:leader="none" w:pos="1000"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1"/>
          <w:numId w:val="111"/>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200" w:firstLine="1305"/>
        <w:spacing w:after="0" w:line="250" w:lineRule="auto"/>
        <w:tabs>
          <w:tab w:leader="none" w:pos="1728" w:val="left"/>
        </w:tabs>
        <w:numPr>
          <w:ilvl w:val="1"/>
          <w:numId w:val="111"/>
        </w:numPr>
        <w:rPr>
          <w:rFonts w:ascii="Arial" w:cs="Arial" w:eastAsia="Arial" w:hAnsi="Arial"/>
          <w:sz w:val="22"/>
          <w:szCs w:val="22"/>
          <w:color w:val="010000"/>
        </w:rPr>
      </w:pPr>
      <w:r>
        <w:rPr>
          <w:rFonts w:ascii="Arial" w:cs="Arial" w:eastAsia="Arial" w:hAnsi="Arial"/>
          <w:sz w:val="22"/>
          <w:szCs w:val="22"/>
          <w:u w:val="single" w:color="auto"/>
          <w:color w:val="auto"/>
        </w:rPr>
        <w:t>Conditions of Exercise</w:t>
      </w:r>
      <w:r>
        <w:rPr>
          <w:rFonts w:ascii="Arial" w:cs="Arial" w:eastAsia="Arial" w:hAnsi="Arial"/>
          <w:sz w:val="22"/>
          <w:szCs w:val="22"/>
          <w:color w:val="auto"/>
        </w:rPr>
        <w:t xml:space="preserve">. Subject to the Optionee’s continued employment with or service to the Company, this Option shall vest in accordance with the achievement of the specific vesting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Notwithstanding anything in this Agreement to the contrary, the Option may be exercised only to purchase whole shares of Common Stock, and in no case may a fraction of a share of Common Stock be purchased. The right of the Optionee to purchase Option Shares with respect to which this Option has become exercisable as herein provided may only be exercised prior to the termination of the Option.</w:t>
      </w:r>
    </w:p>
    <w:p>
      <w:pPr>
        <w:spacing w:after="0" w:line="188" w:lineRule="exact"/>
        <w:rPr>
          <w:rFonts w:ascii="Arial" w:cs="Arial" w:eastAsia="Arial" w:hAnsi="Arial"/>
          <w:sz w:val="22"/>
          <w:szCs w:val="22"/>
          <w:color w:val="010000"/>
        </w:rPr>
      </w:pPr>
    </w:p>
    <w:p>
      <w:pPr>
        <w:jc w:val="both"/>
        <w:ind w:right="80" w:firstLine="1305"/>
        <w:spacing w:after="0" w:line="260" w:lineRule="auto"/>
        <w:tabs>
          <w:tab w:leader="none" w:pos="1716" w:val="left"/>
        </w:tabs>
        <w:numPr>
          <w:ilvl w:val="1"/>
          <w:numId w:val="111"/>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40" w:firstLine="1305"/>
        <w:spacing w:after="0" w:line="276" w:lineRule="auto"/>
        <w:tabs>
          <w:tab w:leader="none" w:pos="1716" w:val="left"/>
        </w:tabs>
        <w:numPr>
          <w:ilvl w:val="1"/>
          <w:numId w:val="111"/>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otherwise provided in this Section 3, the Option may not be exercised after the Optionee has ceased to be employed or engaged by the Company.</w:t>
      </w:r>
    </w:p>
    <w:p>
      <w:pPr>
        <w:spacing w:after="0" w:line="160" w:lineRule="exact"/>
        <w:rPr>
          <w:rFonts w:ascii="Arial" w:cs="Arial" w:eastAsia="Arial" w:hAnsi="Arial"/>
          <w:sz w:val="22"/>
          <w:szCs w:val="22"/>
          <w:color w:val="010000"/>
        </w:rPr>
      </w:pPr>
    </w:p>
    <w:p>
      <w:pPr>
        <w:ind w:right="40" w:firstLine="1305"/>
        <w:spacing w:after="0" w:line="264" w:lineRule="auto"/>
        <w:tabs>
          <w:tab w:leader="none" w:pos="1728" w:val="left"/>
        </w:tabs>
        <w:numPr>
          <w:ilvl w:val="1"/>
          <w:numId w:val="111"/>
        </w:numPr>
        <w:rPr>
          <w:rFonts w:ascii="Arial" w:cs="Arial" w:eastAsia="Arial" w:hAnsi="Arial"/>
          <w:sz w:val="21"/>
          <w:szCs w:val="21"/>
          <w:color w:val="010000"/>
        </w:rPr>
      </w:pPr>
      <w:r>
        <w:rPr>
          <w:rFonts w:ascii="Arial" w:cs="Arial" w:eastAsia="Arial" w:hAnsi="Arial"/>
          <w:sz w:val="21"/>
          <w:szCs w:val="21"/>
          <w:u w:val="single" w:color="auto"/>
          <w:color w:val="auto"/>
        </w:rPr>
        <w:t>Death</w:t>
      </w:r>
      <w:r>
        <w:rPr>
          <w:rFonts w:ascii="Arial" w:cs="Arial" w:eastAsia="Arial" w:hAnsi="Arial"/>
          <w:sz w:val="21"/>
          <w:szCs w:val="21"/>
          <w:color w:val="auto"/>
        </w:rPr>
        <w:t xml:space="preserve">. If the Optionee’s employment with or service to the Company terminates by reason of his or her death, the Option shall become immediately vested and exercisable to the extent the Performance Criteria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been satisfied as of the date of the Optionee’s death, without regard to the Time-Based Criteria, which shall be deemed to have been satisfied as of the date of death, and the Option thereafter may be exercised by the legal representative of the estate or by the legatee of the Optionee under the will of the Optionee, for a period of 24 months from the date of such death or until the expiration of the term of the Option, whichever period is shorter.</w:t>
      </w:r>
    </w:p>
    <w:p>
      <w:pPr>
        <w:spacing w:after="0" w:line="175" w:lineRule="exact"/>
        <w:rPr>
          <w:rFonts w:ascii="Arial" w:cs="Arial" w:eastAsia="Arial" w:hAnsi="Arial"/>
          <w:sz w:val="21"/>
          <w:szCs w:val="21"/>
          <w:color w:val="010000"/>
        </w:rPr>
      </w:pPr>
    </w:p>
    <w:p>
      <w:pPr>
        <w:ind w:right="40" w:firstLine="1305"/>
        <w:spacing w:after="0" w:line="320" w:lineRule="auto"/>
        <w:tabs>
          <w:tab w:leader="none" w:pos="1716" w:val="left"/>
        </w:tabs>
        <w:numPr>
          <w:ilvl w:val="1"/>
          <w:numId w:val="111"/>
        </w:numPr>
        <w:rPr>
          <w:rFonts w:ascii="Arial" w:cs="Arial" w:eastAsia="Arial" w:hAnsi="Arial"/>
          <w:sz w:val="19"/>
          <w:szCs w:val="19"/>
          <w:color w:val="010000"/>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If the Optionee’s employment with or service to the Company terminates by reason of Disability, the Option shall become immediately vested and exercisable to the extent the Performance Criteria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have been satisfied as of the date of the Optionee’s termination of employment or service, without regard to the Time-Based Criteria, which</w:t>
      </w:r>
    </w:p>
    <w:p>
      <w:pPr>
        <w:sectPr>
          <w:pgSz w:w="11900" w:h="16838" w:orient="portrait"/>
          <w:cols w:equalWidth="0" w:num="1">
            <w:col w:w="11420"/>
          </w:cols>
          <w:pgMar w:left="240" w:top="126" w:right="239" w:bottom="0" w:gutter="0" w:footer="0" w:header="0"/>
        </w:sectPr>
      </w:pPr>
    </w:p>
    <w:bookmarkStart w:id="102" w:name="page103"/>
    <w:bookmarkEnd w:id="102"/>
    <w:p>
      <w:pPr>
        <w:ind w:right="40"/>
        <w:spacing w:after="0" w:line="263" w:lineRule="auto"/>
        <w:rPr>
          <w:sz w:val="20"/>
          <w:szCs w:val="20"/>
          <w:color w:val="auto"/>
        </w:rPr>
      </w:pPr>
      <w:r>
        <w:rPr>
          <w:rFonts w:ascii="Arial" w:cs="Arial" w:eastAsia="Arial" w:hAnsi="Arial"/>
          <w:sz w:val="21"/>
          <w:szCs w:val="21"/>
          <w:color w:val="auto"/>
        </w:rPr>
        <w:t xml:space="preserve">shall be deemed to have been satisfied as of the date of such termination, and the Option thereafter may be exercised for a period of twenty-four (24)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24-month period and prior to the expiration of the term of the Option, the Option shall thereafter be exercisable for a period of 24 months from the time of death or until the expiration of the term of the Option, whichever period is shorter.</w:t>
      </w:r>
    </w:p>
    <w:p>
      <w:pPr>
        <w:spacing w:after="0" w:line="176" w:lineRule="exact"/>
        <w:rPr>
          <w:sz w:val="20"/>
          <w:szCs w:val="20"/>
          <w:color w:val="auto"/>
        </w:rPr>
      </w:pPr>
    </w:p>
    <w:p>
      <w:pPr>
        <w:ind w:firstLine="1305"/>
        <w:spacing w:after="0" w:line="260" w:lineRule="auto"/>
        <w:tabs>
          <w:tab w:leader="none" w:pos="1728" w:val="left"/>
        </w:tabs>
        <w:numPr>
          <w:ilvl w:val="2"/>
          <w:numId w:val="112"/>
        </w:numPr>
        <w:rPr>
          <w:rFonts w:ascii="Arial" w:cs="Arial" w:eastAsia="Arial" w:hAnsi="Arial"/>
          <w:sz w:val="21"/>
          <w:szCs w:val="21"/>
          <w:color w:val="010000"/>
        </w:rPr>
      </w:pPr>
      <w:r>
        <w:rPr>
          <w:rFonts w:ascii="Arial" w:cs="Arial" w:eastAsia="Arial" w:hAnsi="Arial"/>
          <w:sz w:val="21"/>
          <w:szCs w:val="21"/>
          <w:u w:val="single" w:color="auto"/>
          <w:color w:val="auto"/>
        </w:rPr>
        <w:t>Termination Without Cause/Resignation for Good Reason</w:t>
      </w:r>
      <w:r>
        <w:rPr>
          <w:rFonts w:ascii="Arial" w:cs="Arial" w:eastAsia="Arial" w:hAnsi="Arial"/>
          <w:sz w:val="21"/>
          <w:szCs w:val="21"/>
          <w:color w:val="auto"/>
        </w:rPr>
        <w:t xml:space="preserve">. If the Optionee’s employment with or service to the Company terminates by reason of an involuntary termination by the Company other than for Cause or a resignation by the Optionee for Good Reason (as such terms are defined herein below), the Option shall become immediately vested and exercisable to the extent the Performance Criteria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been satisfied as of the date of the Optionee’s termination of employment or service, without regard to the Time-Based Criteria, which shall be deemed to have been satisfied as of the date of such termination, and the Option thereafter may be exercised for a period of 24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24-month period and prior to the expiration of the term of the Option, the Option shall thereafter be exercisable for a period of 24 months from the time of death or until the expiration of the term of the Option, whichever period is shorter.</w:t>
      </w:r>
    </w:p>
    <w:p>
      <w:pPr>
        <w:spacing w:after="0" w:line="179" w:lineRule="exact"/>
        <w:rPr>
          <w:rFonts w:ascii="Arial" w:cs="Arial" w:eastAsia="Arial" w:hAnsi="Arial"/>
          <w:sz w:val="21"/>
          <w:szCs w:val="21"/>
          <w:color w:val="010000"/>
        </w:rPr>
      </w:pPr>
    </w:p>
    <w:p>
      <w:pPr>
        <w:ind w:right="120" w:firstLine="1305"/>
        <w:spacing w:after="0" w:line="299" w:lineRule="auto"/>
        <w:tabs>
          <w:tab w:leader="none" w:pos="1716" w:val="left"/>
        </w:tabs>
        <w:numPr>
          <w:ilvl w:val="2"/>
          <w:numId w:val="112"/>
        </w:numPr>
        <w:rPr>
          <w:rFonts w:ascii="Arial" w:cs="Arial" w:eastAsia="Arial" w:hAnsi="Arial"/>
          <w:sz w:val="19"/>
          <w:szCs w:val="19"/>
          <w:color w:val="010000"/>
        </w:rPr>
      </w:pPr>
      <w:r>
        <w:rPr>
          <w:rFonts w:ascii="Arial" w:cs="Arial" w:eastAsia="Arial" w:hAnsi="Arial"/>
          <w:sz w:val="19"/>
          <w:szCs w:val="19"/>
          <w:u w:val="single" w:color="auto"/>
          <w:color w:val="auto"/>
        </w:rPr>
        <w:t>Retirement</w:t>
      </w:r>
      <w:r>
        <w:rPr>
          <w:rFonts w:ascii="Arial" w:cs="Arial" w:eastAsia="Arial" w:hAnsi="Arial"/>
          <w:sz w:val="19"/>
          <w:szCs w:val="19"/>
          <w:color w:val="auto"/>
        </w:rPr>
        <w:t>. If the Optionee’s employment with or service to the Company terminates by reason of Retirement, the Option may thereafter be exercised, to the extent it was exercisable at the time of such termination, for a period of twelve</w:t>
      </w:r>
    </w:p>
    <w:p>
      <w:pPr>
        <w:ind w:left="420" w:hanging="412"/>
        <w:spacing w:after="0"/>
        <w:tabs>
          <w:tab w:leader="none" w:pos="4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months from the date of Retirement or until the expiration of the term of the Option, whichever period is shorter.</w:t>
      </w:r>
    </w:p>
    <w:p>
      <w:pPr>
        <w:spacing w:after="0" w:line="201" w:lineRule="exact"/>
        <w:rPr>
          <w:rFonts w:ascii="Arial" w:cs="Arial" w:eastAsia="Arial" w:hAnsi="Arial"/>
          <w:sz w:val="22"/>
          <w:szCs w:val="22"/>
          <w:color w:val="auto"/>
        </w:rPr>
      </w:pPr>
    </w:p>
    <w:p>
      <w:pPr>
        <w:ind w:right="240" w:firstLine="1305"/>
        <w:spacing w:after="0" w:line="293" w:lineRule="auto"/>
        <w:tabs>
          <w:tab w:leader="none" w:pos="1692" w:val="left"/>
        </w:tabs>
        <w:numPr>
          <w:ilvl w:val="2"/>
          <w:numId w:val="113"/>
        </w:numPr>
        <w:rPr>
          <w:rFonts w:ascii="Arial" w:cs="Arial" w:eastAsia="Arial" w:hAnsi="Arial"/>
          <w:sz w:val="19"/>
          <w:szCs w:val="19"/>
          <w:color w:val="010000"/>
        </w:rPr>
      </w:pPr>
      <w:r>
        <w:rPr>
          <w:rFonts w:ascii="Arial" w:cs="Arial" w:eastAsia="Arial" w:hAnsi="Arial"/>
          <w:sz w:val="19"/>
          <w:szCs w:val="19"/>
          <w:u w:val="single" w:color="auto"/>
          <w:color w:val="auto"/>
        </w:rPr>
        <w:t>Other Terminations</w:t>
      </w:r>
      <w:r>
        <w:rPr>
          <w:rFonts w:ascii="Arial" w:cs="Arial" w:eastAsia="Arial" w:hAnsi="Arial"/>
          <w:sz w:val="19"/>
          <w:szCs w:val="19"/>
          <w:color w:val="auto"/>
        </w:rPr>
        <w:t>. If an Optionee’s employment with or service to the Company terminates for any reason other than death, Disability, Retirement, involuntary termination by the Company without Cause or resignation for Good Reason, the Option may be exercised, to the extent it was exercisable at the time of such termination, until the earlier to occur of (i)</w:t>
      </w:r>
    </w:p>
    <w:p>
      <w:pPr>
        <w:spacing w:after="0" w:line="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3 months from the date of such termination or (ii) the expiration of the term of the Option, whichever period is shorter.</w:t>
      </w:r>
    </w:p>
    <w:p>
      <w:pPr>
        <w:spacing w:after="0" w:line="201" w:lineRule="exact"/>
        <w:rPr>
          <w:rFonts w:ascii="Arial" w:cs="Arial" w:eastAsia="Arial" w:hAnsi="Arial"/>
          <w:sz w:val="19"/>
          <w:szCs w:val="19"/>
          <w:color w:val="010000"/>
        </w:rPr>
      </w:pPr>
    </w:p>
    <w:p>
      <w:pPr>
        <w:ind w:right="80" w:firstLine="1305"/>
        <w:spacing w:after="0" w:line="254" w:lineRule="auto"/>
        <w:tabs>
          <w:tab w:leader="none" w:pos="1728" w:val="left"/>
        </w:tabs>
        <w:numPr>
          <w:ilvl w:val="2"/>
          <w:numId w:val="113"/>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Upon the termination of the Optionee’s employment with or service to the Company within a period of 24 months following a Change in Control (i) by the Company other than for Cause, (ii) as a result of his or her Disability or (iii) by the Optionee for Good Reason (as such terms are defined herein below or in the Plan), the Option shall become immediately and fully vested.</w:t>
      </w:r>
    </w:p>
    <w:p>
      <w:pPr>
        <w:spacing w:after="0" w:line="185" w:lineRule="exact"/>
        <w:rPr>
          <w:rFonts w:ascii="Arial" w:cs="Arial" w:eastAsia="Arial" w:hAnsi="Arial"/>
          <w:sz w:val="22"/>
          <w:szCs w:val="22"/>
          <w:color w:val="010000"/>
        </w:rPr>
      </w:pPr>
    </w:p>
    <w:p>
      <w:pPr>
        <w:ind w:right="600" w:firstLine="1305"/>
        <w:spacing w:after="0" w:line="276" w:lineRule="auto"/>
        <w:tabs>
          <w:tab w:leader="none" w:pos="1728" w:val="left"/>
        </w:tabs>
        <w:numPr>
          <w:ilvl w:val="2"/>
          <w:numId w:val="113"/>
        </w:numPr>
        <w:rPr>
          <w:rFonts w:ascii="Arial" w:cs="Arial" w:eastAsia="Arial" w:hAnsi="Arial"/>
          <w:sz w:val="22"/>
          <w:szCs w:val="22"/>
          <w:color w:val="010000"/>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113"/>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120" w:firstLine="1305"/>
        <w:spacing w:after="0" w:line="291" w:lineRule="auto"/>
        <w:tabs>
          <w:tab w:leader="none" w:pos="1716" w:val="left"/>
        </w:tabs>
        <w:numPr>
          <w:ilvl w:val="2"/>
          <w:numId w:val="114"/>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 (ii) by executing such documents as the Company may reasonably request.</w:t>
      </w:r>
    </w:p>
    <w:p>
      <w:pPr>
        <w:spacing w:after="0" w:line="154" w:lineRule="exact"/>
        <w:rPr>
          <w:rFonts w:ascii="Arial" w:cs="Arial" w:eastAsia="Arial" w:hAnsi="Arial"/>
          <w:sz w:val="19"/>
          <w:szCs w:val="19"/>
          <w:color w:val="010000"/>
        </w:rPr>
      </w:pPr>
    </w:p>
    <w:p>
      <w:pPr>
        <w:ind w:right="340" w:firstLine="1305"/>
        <w:spacing w:after="0" w:line="270" w:lineRule="auto"/>
        <w:tabs>
          <w:tab w:leader="none" w:pos="1728" w:val="left"/>
        </w:tabs>
        <w:numPr>
          <w:ilvl w:val="2"/>
          <w:numId w:val="114"/>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69" w:lineRule="exact"/>
        <w:rPr>
          <w:rFonts w:ascii="Arial" w:cs="Arial" w:eastAsia="Arial" w:hAnsi="Arial"/>
          <w:sz w:val="21"/>
          <w:szCs w:val="21"/>
          <w:color w:val="010000"/>
        </w:rPr>
      </w:pPr>
    </w:p>
    <w:p>
      <w:pPr>
        <w:ind w:right="120" w:firstLine="656"/>
        <w:spacing w:after="0" w:line="261" w:lineRule="auto"/>
        <w:tabs>
          <w:tab w:leader="none" w:pos="990" w:val="left"/>
        </w:tabs>
        <w:numPr>
          <w:ilvl w:val="1"/>
          <w:numId w:val="115"/>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w:t>
      </w:r>
    </w:p>
    <w:p>
      <w:pPr>
        <w:sectPr>
          <w:pgSz w:w="11900" w:h="16838" w:orient="portrait"/>
          <w:cols w:equalWidth="0" w:num="1">
            <w:col w:w="11420"/>
          </w:cols>
          <w:pgMar w:left="240" w:top="131" w:right="239" w:bottom="0" w:gutter="0" w:footer="0" w:header="0"/>
        </w:sectPr>
      </w:pPr>
    </w:p>
    <w:bookmarkStart w:id="103" w:name="page104"/>
    <w:bookmarkEnd w:id="103"/>
    <w:p>
      <w:pPr>
        <w:spacing w:after="0" w:line="43"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86" w:lineRule="exact"/>
        <w:rPr>
          <w:sz w:val="20"/>
          <w:szCs w:val="20"/>
          <w:color w:val="auto"/>
        </w:rPr>
      </w:pPr>
    </w:p>
    <w:p>
      <w:pPr>
        <w:ind w:right="20" w:firstLine="656"/>
        <w:spacing w:after="0" w:line="264" w:lineRule="auto"/>
        <w:tabs>
          <w:tab w:leader="none" w:pos="990" w:val="left"/>
        </w:tabs>
        <w:numPr>
          <w:ilvl w:val="0"/>
          <w:numId w:val="116"/>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40" w:firstLine="656"/>
        <w:spacing w:after="0" w:line="260" w:lineRule="auto"/>
        <w:tabs>
          <w:tab w:leader="none" w:pos="990" w:val="left"/>
        </w:tabs>
        <w:numPr>
          <w:ilvl w:val="0"/>
          <w:numId w:val="116"/>
        </w:numPr>
        <w:rPr>
          <w:rFonts w:ascii="Arial" w:cs="Arial" w:eastAsia="Arial" w:hAnsi="Arial"/>
          <w:sz w:val="21"/>
          <w:szCs w:val="21"/>
          <w:color w:val="010000"/>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 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79" w:lineRule="exact"/>
        <w:rPr>
          <w:rFonts w:ascii="Arial" w:cs="Arial" w:eastAsia="Arial" w:hAnsi="Arial"/>
          <w:sz w:val="21"/>
          <w:szCs w:val="21"/>
          <w:color w:val="010000"/>
        </w:rPr>
      </w:pPr>
    </w:p>
    <w:p>
      <w:pPr>
        <w:ind w:right="60" w:firstLine="656"/>
        <w:spacing w:after="0" w:line="287" w:lineRule="auto"/>
        <w:tabs>
          <w:tab w:leader="none" w:pos="990" w:val="left"/>
        </w:tabs>
        <w:numPr>
          <w:ilvl w:val="0"/>
          <w:numId w:val="116"/>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The parties hereto will use their reasonable best efforts to resolve any dispute hereunder through good faith negotiations. A party hereto must submit a written notice to any other party to whom such dispute pertains, and any such dispute that cannot be resolved within 30 calendar days of receipt of such notice (or such other period to which the parties may agree) will be submitted to an arbitrator selected by mutual agreement of the parties. In the event that, within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right="300" w:firstLine="656"/>
        <w:spacing w:after="0" w:line="260" w:lineRule="auto"/>
        <w:tabs>
          <w:tab w:leader="none" w:pos="990" w:val="left"/>
        </w:tabs>
        <w:numPr>
          <w:ilvl w:val="0"/>
          <w:numId w:val="116"/>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right="40" w:firstLine="656"/>
        <w:spacing w:after="0" w:line="251" w:lineRule="auto"/>
        <w:tabs>
          <w:tab w:leader="none" w:pos="1098" w:val="left"/>
        </w:tabs>
        <w:numPr>
          <w:ilvl w:val="0"/>
          <w:numId w:val="116"/>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60" w:firstLine="656"/>
        <w:spacing w:after="0" w:line="301" w:lineRule="auto"/>
        <w:tabs>
          <w:tab w:leader="none" w:pos="1090" w:val="left"/>
        </w:tabs>
        <w:numPr>
          <w:ilvl w:val="0"/>
          <w:numId w:val="116"/>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8" w:lineRule="auto"/>
        <w:tabs>
          <w:tab w:leader="none" w:pos="1098" w:val="left"/>
        </w:tabs>
        <w:numPr>
          <w:ilvl w:val="0"/>
          <w:numId w:val="116"/>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Option, payment by the Optionee of any federal, state, local or other taxes which may be required to be withheld or paid in connection with the Option.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 submitted an irrevocable notice of exercise or (v) any combination of (i), (ii) and (iii). Shares of Common</w:t>
      </w:r>
    </w:p>
    <w:p>
      <w:pPr>
        <w:sectPr>
          <w:pgSz w:w="11900" w:h="16881" w:orient="portrait"/>
          <w:cols w:equalWidth="0" w:num="1">
            <w:col w:w="11420"/>
          </w:cols>
          <w:pgMar w:left="240" w:top="131" w:right="239" w:bottom="0" w:gutter="0" w:footer="0" w:header="0"/>
        </w:sectPr>
      </w:pPr>
    </w:p>
    <w:bookmarkStart w:id="104" w:name="page105"/>
    <w:bookmarkEnd w:id="104"/>
    <w:p>
      <w:pPr>
        <w:spacing w:after="0" w:line="11"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Optionee.</w:t>
      </w:r>
    </w:p>
    <w:p>
      <w:pPr>
        <w:spacing w:after="0" w:line="143" w:lineRule="exact"/>
        <w:rPr>
          <w:sz w:val="20"/>
          <w:szCs w:val="20"/>
          <w:color w:val="auto"/>
        </w:rPr>
      </w:pPr>
    </w:p>
    <w:p>
      <w:pPr>
        <w:ind w:right="180" w:firstLine="656"/>
        <w:spacing w:after="0" w:line="276" w:lineRule="auto"/>
        <w:tabs>
          <w:tab w:leader="none" w:pos="1098" w:val="left"/>
        </w:tabs>
        <w:numPr>
          <w:ilvl w:val="1"/>
          <w:numId w:val="117"/>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right="160" w:firstLine="656"/>
        <w:spacing w:after="0" w:line="300" w:lineRule="auto"/>
        <w:tabs>
          <w:tab w:leader="none" w:pos="1098" w:val="left"/>
        </w:tabs>
        <w:numPr>
          <w:ilvl w:val="1"/>
          <w:numId w:val="117"/>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right="180" w:firstLine="656"/>
        <w:spacing w:after="0" w:line="307" w:lineRule="auto"/>
        <w:tabs>
          <w:tab w:leader="none" w:pos="1098" w:val="left"/>
        </w:tabs>
        <w:numPr>
          <w:ilvl w:val="1"/>
          <w:numId w:val="117"/>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Optionee without the consent of the Optionee.</w:t>
      </w:r>
    </w:p>
    <w:p>
      <w:pPr>
        <w:spacing w:after="0" w:line="138" w:lineRule="exact"/>
        <w:rPr>
          <w:rFonts w:ascii="Arial" w:cs="Arial" w:eastAsia="Arial" w:hAnsi="Arial"/>
          <w:sz w:val="19"/>
          <w:szCs w:val="19"/>
          <w:color w:val="010000"/>
        </w:rPr>
      </w:pPr>
    </w:p>
    <w:p>
      <w:pPr>
        <w:ind w:right="200" w:firstLine="656"/>
        <w:spacing w:after="0" w:line="260" w:lineRule="auto"/>
        <w:tabs>
          <w:tab w:leader="none" w:pos="1098" w:val="left"/>
        </w:tabs>
        <w:numPr>
          <w:ilvl w:val="1"/>
          <w:numId w:val="117"/>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00" w:firstLine="656"/>
        <w:spacing w:after="0" w:line="276" w:lineRule="auto"/>
        <w:tabs>
          <w:tab w:leader="none" w:pos="1098" w:val="left"/>
        </w:tabs>
        <w:numPr>
          <w:ilvl w:val="1"/>
          <w:numId w:val="11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1"/>
          <w:numId w:val="117"/>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117"/>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40" w:firstLine="1305"/>
        <w:spacing w:after="0" w:line="250" w:lineRule="auto"/>
        <w:tabs>
          <w:tab w:leader="none" w:pos="1716" w:val="left"/>
        </w:tabs>
        <w:numPr>
          <w:ilvl w:val="2"/>
          <w:numId w:val="117"/>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188" w:lineRule="exact"/>
        <w:rPr>
          <w:rFonts w:ascii="Arial" w:cs="Arial" w:eastAsia="Arial" w:hAnsi="Arial"/>
          <w:sz w:val="22"/>
          <w:szCs w:val="22"/>
          <w:color w:val="010000"/>
        </w:rPr>
      </w:pPr>
    </w:p>
    <w:p>
      <w:pPr>
        <w:ind w:right="200" w:firstLine="1305"/>
        <w:spacing w:after="0" w:line="254" w:lineRule="auto"/>
        <w:tabs>
          <w:tab w:leader="none" w:pos="1728" w:val="left"/>
        </w:tabs>
        <w:numPr>
          <w:ilvl w:val="2"/>
          <w:numId w:val="117"/>
        </w:numPr>
        <w:rPr>
          <w:rFonts w:ascii="Arial" w:cs="Arial" w:eastAsia="Arial" w:hAnsi="Arial"/>
          <w:sz w:val="22"/>
          <w:szCs w:val="22"/>
          <w:color w:val="010000"/>
        </w:rPr>
      </w:pPr>
      <w:r>
        <w:rPr>
          <w:rFonts w:ascii="Arial" w:cs="Arial" w:eastAsia="Arial" w:hAnsi="Arial"/>
          <w:sz w:val="22"/>
          <w:szCs w:val="22"/>
          <w:color w:val="auto"/>
        </w:rPr>
        <w:t>“Disability” shall mean that the Optionee,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117"/>
        </w:numPr>
        <w:rPr>
          <w:rFonts w:ascii="Arial" w:cs="Arial" w:eastAsia="Arial" w:hAnsi="Arial"/>
          <w:sz w:val="19"/>
          <w:szCs w:val="19"/>
          <w:color w:val="010000"/>
        </w:rPr>
      </w:pPr>
      <w:r>
        <w:rPr>
          <w:rFonts w:ascii="Arial" w:cs="Arial" w:eastAsia="Arial" w:hAnsi="Arial"/>
          <w:sz w:val="19"/>
          <w:szCs w:val="19"/>
          <w:color w:val="auto"/>
        </w:rPr>
        <w:t>The Optionee shall have “Good Reason” to effect a voluntary termination of his or her employment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w:t>
      </w:r>
    </w:p>
    <w:p>
      <w:pPr>
        <w:spacing w:after="0" w:line="3" w:lineRule="exact"/>
        <w:rPr>
          <w:rFonts w:ascii="Arial" w:cs="Arial" w:eastAsia="Arial" w:hAnsi="Arial"/>
          <w:sz w:val="19"/>
          <w:szCs w:val="19"/>
          <w:color w:val="010000"/>
        </w:rPr>
      </w:pPr>
    </w:p>
    <w:p>
      <w:pPr>
        <w:ind w:right="80" w:firstLine="8"/>
        <w:spacing w:after="0" w:line="288" w:lineRule="auto"/>
        <w:tabs>
          <w:tab w:leader="none" w:pos="36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30 days following the date on which the Optionee alleges the event giving rise to such Good Reason occurred, the Company has failed to provide a reasonable cure within 30 days after its receipt of such notice and the effective date of the termination for Good Reason occurs within 180 days after the initial existence of the facts or circumstances constituting Good Reason.</w:t>
      </w:r>
    </w:p>
    <w:p>
      <w:pPr>
        <w:spacing w:after="0" w:line="15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7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ectPr>
          <w:pgSz w:w="11900" w:h="16850" w:orient="portrait"/>
          <w:cols w:equalWidth="0" w:num="1">
            <w:col w:w="11400"/>
          </w:cols>
          <w:pgMar w:left="240" w:top="132" w:right="259" w:bottom="0" w:gutter="0" w:footer="0" w:header="0"/>
        </w:sectPr>
      </w:pPr>
    </w:p>
    <w:bookmarkStart w:id="105" w:name="page106"/>
    <w:bookmarkEnd w:id="105"/>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6"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NONQUALIFIED STOCK OPTION AGREEMENT</w:t>
      </w: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VESTING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vesting of the Option shall be subject to the following performance and vesting conditions:</w:t>
      </w:r>
    </w:p>
    <w:p>
      <w:pPr>
        <w:spacing w:after="0" w:line="220" w:lineRule="exact"/>
        <w:rPr>
          <w:sz w:val="20"/>
          <w:szCs w:val="20"/>
          <w:color w:val="auto"/>
        </w:rPr>
      </w:pPr>
    </w:p>
    <w:p>
      <w:pPr>
        <w:ind w:left="660" w:right="460" w:hanging="328"/>
        <w:spacing w:after="0" w:line="263" w:lineRule="auto"/>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number of Option Shares that are earned and shall be subject to vesting shall be determined in accordance with the following performance criteria (the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64770</wp:posOffset>
            </wp:positionV>
            <wp:extent cx="4107815" cy="1166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4107815" cy="116649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p>
      <w:pPr>
        <w:spacing w:after="0" w:line="121"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Target closing price of the Company’s stock (each, a “Target Price”)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Incremental Percentage of Option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Shares subject to vesting if Target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Price achieved</w:t>
      </w:r>
    </w:p>
    <w:p>
      <w:pPr>
        <w:spacing w:after="0" w:line="201" w:lineRule="exact"/>
        <w:rPr>
          <w:sz w:val="20"/>
          <w:szCs w:val="20"/>
          <w:color w:val="auto"/>
        </w:rPr>
      </w:pPr>
    </w:p>
    <w:p>
      <w:pPr>
        <w:sectPr>
          <w:pgSz w:w="11900" w:h="16838" w:orient="portrait"/>
          <w:cols w:equalWidth="0" w:num="2">
            <w:col w:w="5440" w:space="260"/>
            <w:col w:w="5720"/>
          </w:cols>
          <w:pgMar w:left="240" w:top="13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80"/>
        <w:spacing w:after="0" w:line="312" w:lineRule="auto"/>
        <w:rPr>
          <w:sz w:val="20"/>
          <w:szCs w:val="20"/>
          <w:color w:val="auto"/>
        </w:rPr>
      </w:pPr>
      <w:r>
        <w:rPr>
          <w:rFonts w:ascii="Arial" w:cs="Arial" w:eastAsia="Arial" w:hAnsi="Arial"/>
          <w:sz w:val="19"/>
          <w:szCs w:val="19"/>
          <w:color w:val="auto"/>
        </w:rPr>
        <w:t>In order for each and any of the Performance Criteria to be considered satisfied, the closing stock price of the Company’s common stock must be above the applicable Target Price for a period of ______ consecutive New York Stock Exchange trading days beginning on the Date of Grant and ending on the three-year anniversary of the Date of Grant.</w:t>
      </w:r>
    </w:p>
    <w:p>
      <w:pPr>
        <w:spacing w:after="0" w:line="134" w:lineRule="exact"/>
        <w:rPr>
          <w:sz w:val="20"/>
          <w:szCs w:val="20"/>
          <w:color w:val="auto"/>
        </w:rPr>
      </w:pPr>
    </w:p>
    <w:p>
      <w:pPr>
        <w:ind w:left="660" w:right="160" w:hanging="328"/>
        <w:spacing w:after="0" w:line="291" w:lineRule="auto"/>
        <w:tabs>
          <w:tab w:leader="none" w:pos="6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Except as otherwise provided in the Agreement, the number of Option Shares that are earned in accordance with the above Performance Criteria shall become vested on the three-year anniversary of the Date of Grant if and only if the Optionee</w:t>
      </w:r>
    </w:p>
    <w:p>
      <w:pPr>
        <w:spacing w:after="0" w:line="1" w:lineRule="exact"/>
        <w:rPr>
          <w:sz w:val="20"/>
          <w:szCs w:val="20"/>
          <w:color w:val="auto"/>
        </w:rPr>
      </w:pPr>
    </w:p>
    <w:p>
      <w:pPr>
        <w:ind w:left="660" w:right="80"/>
        <w:spacing w:after="0" w:line="243" w:lineRule="auto"/>
        <w:rPr>
          <w:sz w:val="20"/>
          <w:szCs w:val="20"/>
          <w:color w:val="auto"/>
        </w:rPr>
      </w:pPr>
      <w:r>
        <w:rPr>
          <w:rFonts w:ascii="Arial" w:cs="Arial" w:eastAsia="Arial" w:hAnsi="Arial"/>
          <w:sz w:val="22"/>
          <w:szCs w:val="22"/>
          <w:color w:val="auto"/>
        </w:rPr>
        <w:t>remains continuously employed by the Company for the entirety of the period between the Date of Grant and the three-year anniversary of the Date of Grant (“Time-Based Criteria”).</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color w:val="auto"/>
        </w:rPr>
        <w:t>Except as otherwise provided under the terms of the Agreement, the Optionee shall forfeit the Option, or any portion thereof, to the extent the Performance Criteria set forth above are not satisfied prior to the three-year anniversary of the Date of Grant or if the Optionee does not satisfy the Time-Based Criteria. Once a Performance Criterion has been achieved, the portion of the Option for which the Performance Criterion has been achieved shall be subject only to the Time-Based Criteria.</w:t>
      </w:r>
    </w:p>
    <w:p>
      <w:pPr>
        <w:sectPr>
          <w:pgSz w:w="11900" w:h="16838" w:orient="portrait"/>
          <w:cols w:equalWidth="0" w:num="1">
            <w:col w:w="11420"/>
          </w:cols>
          <w:pgMar w:left="240" w:top="132"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10.13</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Shares Agreement – Employees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SHARES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PERFORMANCE SHARES AWARD AGREEMENT </w:t>
      </w:r>
      <w:r>
        <w:rPr>
          <w:rFonts w:ascii="Arial" w:cs="Arial" w:eastAsia="Arial" w:hAnsi="Arial"/>
          <w:sz w:val="21"/>
          <w:szCs w:val="21"/>
          <w:color w:val="auto"/>
        </w:rPr>
        <w:t>(the “Agreement”) is entered into as of ___________, by</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and between </w:t>
      </w:r>
      <w:r>
        <w:rPr>
          <w:rFonts w:ascii="Arial" w:cs="Arial" w:eastAsia="Arial" w:hAnsi="Arial"/>
          <w:sz w:val="21"/>
          <w:szCs w:val="21"/>
          <w:b w:val="1"/>
          <w:bCs w:val="1"/>
          <w:color w:val="auto"/>
        </w:rPr>
        <w:t>DINE BRANDS GLOBAL, INC.</w:t>
      </w:r>
      <w:r>
        <w:rPr>
          <w:rFonts w:ascii="Arial" w:cs="Arial" w:eastAsia="Arial" w:hAnsi="Arial"/>
          <w:sz w:val="21"/>
          <w:szCs w:val="21"/>
          <w:color w:val="auto"/>
        </w:rPr>
        <w:t xml:space="preserve"> (formerly, DineEquity, Inc.), a Delaware corporation (the “Company”), and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___________, an employee of the 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Participant is to be granted a Performance Shares Award (the “Award”) payable in the form of the common stock of the Company, par value $.01 per share (“Common Stock”). The Award is considered a performance-based Restricted Stock Unit Award under the Plan.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100" w:firstLine="656"/>
        <w:spacing w:after="0" w:line="288" w:lineRule="auto"/>
        <w:tabs>
          <w:tab w:leader="none" w:pos="1459" w:val="left"/>
        </w:tabs>
        <w:numPr>
          <w:ilvl w:val="0"/>
          <w:numId w:val="121"/>
        </w:numPr>
        <w:rPr>
          <w:rFonts w:ascii="Arial" w:cs="Arial" w:eastAsia="Arial" w:hAnsi="Arial"/>
          <w:sz w:val="19"/>
          <w:szCs w:val="19"/>
          <w:color w:val="010000"/>
        </w:rPr>
      </w:pPr>
      <w:r>
        <w:rPr>
          <w:rFonts w:ascii="Arial" w:cs="Arial" w:eastAsia="Arial" w:hAnsi="Arial"/>
          <w:sz w:val="19"/>
          <w:szCs w:val="19"/>
          <w:u w:val="single" w:color="auto"/>
          <w:color w:val="auto"/>
        </w:rPr>
        <w:t>GRANT OF PERFORMANCE SHARES</w:t>
      </w:r>
      <w:r>
        <w:rPr>
          <w:rFonts w:ascii="Arial" w:cs="Arial" w:eastAsia="Arial" w:hAnsi="Arial"/>
          <w:sz w:val="19"/>
          <w:szCs w:val="19"/>
          <w:color w:val="auto"/>
        </w:rPr>
        <w:t xml:space="preserve">. Subject to the attainment of the performance goals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the Participant is entitled to that number of shares of Common Stock (“</w:t>
      </w:r>
      <w:r>
        <w:rPr>
          <w:rFonts w:ascii="Arial" w:cs="Arial" w:eastAsia="Arial" w:hAnsi="Arial"/>
          <w:sz w:val="19"/>
          <w:szCs w:val="19"/>
          <w:u w:val="single" w:color="auto"/>
          <w:color w:val="auto"/>
        </w:rPr>
        <w:t>Performance Shares</w:t>
      </w:r>
      <w:r>
        <w:rPr>
          <w:rFonts w:ascii="Arial" w:cs="Arial" w:eastAsia="Arial" w:hAnsi="Arial"/>
          <w:sz w:val="19"/>
          <w:szCs w:val="19"/>
          <w:color w:val="auto"/>
        </w:rPr>
        <w:t xml:space="preserv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subject to the terms and conditions of this Agreement. At the end of the three-year performance period beginning on</w:t>
      </w:r>
    </w:p>
    <w:p>
      <w:pPr>
        <w:spacing w:after="0" w:line="1" w:lineRule="exact"/>
        <w:rPr>
          <w:rFonts w:ascii="Arial" w:cs="Arial" w:eastAsia="Arial" w:hAnsi="Arial"/>
          <w:sz w:val="19"/>
          <w:szCs w:val="19"/>
          <w:color w:val="010000"/>
        </w:rPr>
      </w:pPr>
    </w:p>
    <w:p>
      <w:pPr>
        <w:ind w:right="660"/>
        <w:spacing w:after="0" w:line="245" w:lineRule="auto"/>
        <w:rPr>
          <w:rFonts w:ascii="Arial" w:cs="Arial" w:eastAsia="Arial" w:hAnsi="Arial"/>
          <w:sz w:val="19"/>
          <w:szCs w:val="19"/>
          <w:color w:val="010000"/>
        </w:rPr>
      </w:pPr>
      <w:r>
        <w:rPr>
          <w:rFonts w:ascii="Arial" w:cs="Arial" w:eastAsia="Arial" w:hAnsi="Arial"/>
          <w:sz w:val="22"/>
          <w:szCs w:val="22"/>
          <w:color w:val="auto"/>
        </w:rPr>
        <w:t>_____ and ending on ______ (the “</w:t>
      </w:r>
      <w:r>
        <w:rPr>
          <w:rFonts w:ascii="Arial" w:cs="Arial" w:eastAsia="Arial" w:hAnsi="Arial"/>
          <w:sz w:val="22"/>
          <w:szCs w:val="22"/>
          <w:u w:val="single" w:color="auto"/>
          <w:color w:val="auto"/>
        </w:rPr>
        <w:t>Performance Period</w:t>
      </w:r>
      <w:r>
        <w:rPr>
          <w:rFonts w:ascii="Arial" w:cs="Arial" w:eastAsia="Arial" w:hAnsi="Arial"/>
          <w:sz w:val="22"/>
          <w:szCs w:val="22"/>
          <w:color w:val="auto"/>
        </w:rPr>
        <w:t xml:space="preserve">”), the Committee shall determine the total number of shares payable pursuant to the Award in accordance with the Performance Share Matrix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and the Committee’s determination of the applicable performance levels.</w:t>
      </w:r>
    </w:p>
    <w:p>
      <w:pPr>
        <w:spacing w:after="0" w:line="193" w:lineRule="exact"/>
        <w:rPr>
          <w:rFonts w:ascii="Arial" w:cs="Arial" w:eastAsia="Arial" w:hAnsi="Arial"/>
          <w:sz w:val="19"/>
          <w:szCs w:val="19"/>
          <w:color w:val="010000"/>
        </w:rPr>
      </w:pPr>
    </w:p>
    <w:p>
      <w:pPr>
        <w:ind w:left="1000" w:hanging="344"/>
        <w:spacing w:after="0"/>
        <w:tabs>
          <w:tab w:leader="none" w:pos="1000" w:val="left"/>
        </w:tabs>
        <w:numPr>
          <w:ilvl w:val="0"/>
          <w:numId w:val="121"/>
        </w:numPr>
        <w:rPr>
          <w:rFonts w:ascii="Arial" w:cs="Arial" w:eastAsia="Arial" w:hAnsi="Arial"/>
          <w:sz w:val="22"/>
          <w:szCs w:val="22"/>
          <w:color w:val="010000"/>
        </w:rPr>
      </w:pPr>
      <w:r>
        <w:rPr>
          <w:rFonts w:ascii="Arial" w:cs="Arial" w:eastAsia="Arial" w:hAnsi="Arial"/>
          <w:sz w:val="22"/>
          <w:szCs w:val="22"/>
          <w:u w:val="single" w:color="auto"/>
          <w:color w:val="auto"/>
        </w:rPr>
        <w:t>VESTING AND SETTLEMENT OF PERFORMANCE SHARES</w:t>
      </w:r>
      <w:r>
        <w:rPr>
          <w:rFonts w:ascii="Arial" w:cs="Arial" w:eastAsia="Arial" w:hAnsi="Arial"/>
          <w:sz w:val="22"/>
          <w:szCs w:val="22"/>
          <w:color w:val="auto"/>
        </w:rPr>
        <w:t>.</w:t>
      </w:r>
    </w:p>
    <w:p>
      <w:pPr>
        <w:spacing w:after="0" w:line="233" w:lineRule="exact"/>
        <w:rPr>
          <w:sz w:val="20"/>
          <w:szCs w:val="20"/>
          <w:color w:val="auto"/>
        </w:rPr>
      </w:pPr>
    </w:p>
    <w:p>
      <w:pPr>
        <w:ind w:right="200" w:firstLine="656"/>
        <w:spacing w:after="0" w:line="251" w:lineRule="auto"/>
        <w:tabs>
          <w:tab w:leader="none" w:pos="1122" w:val="left"/>
        </w:tabs>
        <w:numPr>
          <w:ilvl w:val="0"/>
          <w:numId w:val="122"/>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xml:space="preserve">. Subject to the Participant’s continuous employment with the Company through the last day of the Performance Period and subject to the certification by the Committee of the performance level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Participant shall become vested in the number of Performance Shares that are earned. Performance Shares that have vested in accordance with this Section 2 are referred to herein as “Vested Shares.” Performance Shares that are not vested are referred to herein as “Unvested Shares.”</w:t>
      </w:r>
    </w:p>
    <w:p>
      <w:pPr>
        <w:spacing w:after="0" w:line="189" w:lineRule="exact"/>
        <w:rPr>
          <w:rFonts w:ascii="Arial" w:cs="Arial" w:eastAsia="Arial" w:hAnsi="Arial"/>
          <w:sz w:val="22"/>
          <w:szCs w:val="22"/>
          <w:color w:val="010000"/>
        </w:rPr>
      </w:pPr>
    </w:p>
    <w:p>
      <w:pPr>
        <w:ind w:right="160" w:firstLine="656"/>
        <w:spacing w:after="0" w:line="300" w:lineRule="auto"/>
        <w:tabs>
          <w:tab w:leader="none" w:pos="1134" w:val="left"/>
        </w:tabs>
        <w:numPr>
          <w:ilvl w:val="0"/>
          <w:numId w:val="122"/>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xml:space="preserve">. If the Participant’s employment with the Company terminates due to Disability or death, the Performance Shares shall become immediately vested on a prorated basis, based on the portion of the Performance Period that has elapsed prior to the date of termination, determined in accordance with the Company’s administrative practices, and thereafter be considered Vested Shares; provided that the number of Performance Shares earned shall be determined at the end of the Performance Period based on the actual performance level achieved, as set forth in </w:t>
      </w:r>
      <w:r>
        <w:rPr>
          <w:rFonts w:ascii="Arial" w:cs="Arial" w:eastAsia="Arial" w:hAnsi="Arial"/>
          <w:sz w:val="19"/>
          <w:szCs w:val="19"/>
          <w:u w:val="single" w:color="auto"/>
          <w:color w:val="auto"/>
        </w:rPr>
        <w:t>Exhibit A.</w:t>
      </w:r>
    </w:p>
    <w:p>
      <w:pPr>
        <w:spacing w:after="0" w:line="147" w:lineRule="exact"/>
        <w:rPr>
          <w:rFonts w:ascii="Arial" w:cs="Arial" w:eastAsia="Arial" w:hAnsi="Arial"/>
          <w:sz w:val="19"/>
          <w:szCs w:val="19"/>
          <w:color w:val="010000"/>
        </w:rPr>
      </w:pPr>
    </w:p>
    <w:p>
      <w:pPr>
        <w:ind w:right="60" w:firstLine="656"/>
        <w:spacing w:after="0" w:line="292" w:lineRule="auto"/>
        <w:tabs>
          <w:tab w:leader="none" w:pos="1122" w:val="left"/>
        </w:tabs>
        <w:numPr>
          <w:ilvl w:val="0"/>
          <w:numId w:val="122"/>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Upon the occurrence of a Change in Control, the Participant shall, with respect to all outstanding, unvested Performance Shares held by the Participant immediately prior to the Change in Control, be deemed to have satisfied the performance criteria,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based on actual performance through the date of the Change in Control, and following the Change in Control the Performance Shares shall continue to vest based upon the service vesting requirements of Sections 2(a) and 2(b). If the Participant’s employment with the Company is terminated within a period of twenty-four (24) months following the Change in Control (i) by the Company other than for Cause or (ii) by the Participant for Good Reason (as such terms are defined herein below or in the Plan), the Performance Shares shall become immediately and fully vested and thereafter be considered Vested Shares, and shall be paid to the Participant not later than thirty (30) days after the date of such termination.</w:t>
      </w:r>
    </w:p>
    <w:p>
      <w:pPr>
        <w:spacing w:after="0" w:line="155" w:lineRule="exact"/>
        <w:rPr>
          <w:rFonts w:ascii="Arial" w:cs="Arial" w:eastAsia="Arial" w:hAnsi="Arial"/>
          <w:sz w:val="19"/>
          <w:szCs w:val="19"/>
          <w:color w:val="010000"/>
        </w:rPr>
      </w:pPr>
    </w:p>
    <w:p>
      <w:pPr>
        <w:ind w:right="260" w:firstLine="656"/>
        <w:spacing w:after="0" w:line="260" w:lineRule="auto"/>
        <w:tabs>
          <w:tab w:leader="none" w:pos="1134" w:val="left"/>
        </w:tabs>
        <w:numPr>
          <w:ilvl w:val="0"/>
          <w:numId w:val="122"/>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Shares</w:t>
      </w:r>
      <w:r>
        <w:rPr>
          <w:rFonts w:ascii="Arial" w:cs="Arial" w:eastAsia="Arial" w:hAnsi="Arial"/>
          <w:sz w:val="22"/>
          <w:szCs w:val="22"/>
          <w:color w:val="auto"/>
        </w:rPr>
        <w:t>. Except as set forth in Sections 2(b) and 2(c), upon the termination of the Participant’s employment, any then Unvested Shares held by the Participant shall be forfeited and canceled as of the date of such termination.</w:t>
      </w:r>
    </w:p>
    <w:p>
      <w:pPr>
        <w:spacing w:after="0" w:line="177" w:lineRule="exact"/>
        <w:rPr>
          <w:rFonts w:ascii="Arial" w:cs="Arial" w:eastAsia="Arial" w:hAnsi="Arial"/>
          <w:sz w:val="22"/>
          <w:szCs w:val="22"/>
          <w:color w:val="010000"/>
        </w:rPr>
      </w:pPr>
    </w:p>
    <w:p>
      <w:pPr>
        <w:ind w:right="160" w:firstLine="656"/>
        <w:spacing w:after="0" w:line="320" w:lineRule="auto"/>
        <w:tabs>
          <w:tab w:leader="none" w:pos="1122" w:val="left"/>
        </w:tabs>
        <w:numPr>
          <w:ilvl w:val="0"/>
          <w:numId w:val="122"/>
        </w:numPr>
        <w:rPr>
          <w:rFonts w:ascii="Arial" w:cs="Arial" w:eastAsia="Arial" w:hAnsi="Arial"/>
          <w:sz w:val="19"/>
          <w:szCs w:val="19"/>
          <w:color w:val="010000"/>
        </w:rPr>
      </w:pPr>
      <w:r>
        <w:rPr>
          <w:rFonts w:ascii="Arial" w:cs="Arial" w:eastAsia="Arial" w:hAnsi="Arial"/>
          <w:sz w:val="19"/>
          <w:szCs w:val="19"/>
          <w:u w:val="single" w:color="auto"/>
          <w:color w:val="auto"/>
        </w:rPr>
        <w:t>Settlement of Vested Shares</w:t>
      </w:r>
      <w:r>
        <w:rPr>
          <w:rFonts w:ascii="Arial" w:cs="Arial" w:eastAsia="Arial" w:hAnsi="Arial"/>
          <w:sz w:val="19"/>
          <w:szCs w:val="19"/>
          <w:color w:val="auto"/>
        </w:rPr>
        <w:t>. The Vested Shares shall be settled by the delivery to the Participant or a designated brokerage firm of one share of Common Stock per Vested Share within 2½ months after the last day of the Performance Period or, if earlier, in accordance with Section 2(c). No fractional shares will be issued under this Agreement.</w:t>
      </w:r>
    </w:p>
    <w:p>
      <w:pPr>
        <w:sectPr>
          <w:pgSz w:w="11900" w:h="16838" w:orient="portrait"/>
          <w:cols w:equalWidth="0" w:num="1">
            <w:col w:w="11420"/>
          </w:cols>
          <w:pgMar w:left="240" w:top="126" w:right="239" w:bottom="0" w:gutter="0" w:footer="0" w:header="0"/>
        </w:sectPr>
      </w:pPr>
    </w:p>
    <w:bookmarkStart w:id="107" w:name="page108"/>
    <w:bookmarkEnd w:id="107"/>
    <w:p>
      <w:pPr>
        <w:spacing w:after="0" w:line="61" w:lineRule="exact"/>
        <w:rPr>
          <w:sz w:val="20"/>
          <w:szCs w:val="20"/>
          <w:color w:val="auto"/>
        </w:rPr>
      </w:pPr>
    </w:p>
    <w:p>
      <w:pPr>
        <w:ind w:left="-656" w:firstLine="656"/>
        <w:spacing w:after="0" w:line="248" w:lineRule="auto"/>
        <w:tabs>
          <w:tab w:leader="none" w:pos="334" w:val="left"/>
        </w:tabs>
        <w:numPr>
          <w:ilvl w:val="0"/>
          <w:numId w:val="123"/>
        </w:numPr>
        <w:rPr>
          <w:rFonts w:ascii="Arial" w:cs="Arial" w:eastAsia="Arial" w:hAnsi="Arial"/>
          <w:sz w:val="22"/>
          <w:szCs w:val="22"/>
          <w:color w:val="010000"/>
        </w:rPr>
      </w:pPr>
      <w:r>
        <w:rPr>
          <w:rFonts w:ascii="Arial" w:cs="Arial" w:eastAsia="Arial" w:hAnsi="Arial"/>
          <w:sz w:val="22"/>
          <w:szCs w:val="22"/>
          <w:u w:val="single" w:color="auto"/>
          <w:color w:val="auto"/>
        </w:rPr>
        <w:t>REQUIREMENTS OF LAW AND OF STOCK EXCHANGES</w:t>
      </w:r>
      <w:r>
        <w:rPr>
          <w:rFonts w:ascii="Arial" w:cs="Arial" w:eastAsia="Arial" w:hAnsi="Arial"/>
          <w:sz w:val="22"/>
          <w:szCs w:val="22"/>
          <w:color w:val="auto"/>
        </w:rPr>
        <w:t>. Notwithstanding anything in this Agreement to the contrary, no certificate or certificates for shares of Common Stock shall be issued and delivered prior to the admission of such shares to listing on notice of issuance on any stock exchange on which shares of that class are then listed, nor unless or until, in the opinion of counsel for the Company, such securities may be issued and delivered without causing the Company to be in violation of or incur any liability under any federal, state or other securities law, any requirement of any securities exchange listing agreement to which the Company may be a party, or any other requirement of law or of any regulatory body having jurisdiction over the Company.</w:t>
      </w:r>
    </w:p>
    <w:p>
      <w:pPr>
        <w:spacing w:after="0" w:line="195" w:lineRule="exact"/>
        <w:rPr>
          <w:rFonts w:ascii="Arial" w:cs="Arial" w:eastAsia="Arial" w:hAnsi="Arial"/>
          <w:sz w:val="22"/>
          <w:szCs w:val="22"/>
          <w:color w:val="010000"/>
        </w:rPr>
      </w:pPr>
    </w:p>
    <w:p>
      <w:pPr>
        <w:ind w:left="-656" w:firstLine="656"/>
        <w:spacing w:after="0" w:line="264" w:lineRule="auto"/>
        <w:tabs>
          <w:tab w:leader="none" w:pos="334" w:val="left"/>
        </w:tabs>
        <w:numPr>
          <w:ilvl w:val="0"/>
          <w:numId w:val="123"/>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left="-656" w:right="60" w:firstLine="656"/>
        <w:spacing w:after="0" w:line="260" w:lineRule="auto"/>
        <w:tabs>
          <w:tab w:leader="none" w:pos="334" w:val="left"/>
        </w:tabs>
        <w:numPr>
          <w:ilvl w:val="0"/>
          <w:numId w:val="123"/>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5, the Award may be exercised or settled during the Participant’s lifetime only by the Participant or the Participant’s legal representative or similar person. Except as permitted by this Section 5,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left="-656" w:firstLine="656"/>
        <w:spacing w:after="0" w:line="287" w:lineRule="auto"/>
        <w:tabs>
          <w:tab w:leader="none" w:pos="334" w:val="left"/>
        </w:tabs>
        <w:numPr>
          <w:ilvl w:val="0"/>
          <w:numId w:val="123"/>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left="-656" w:right="40" w:firstLine="656"/>
        <w:spacing w:after="0" w:line="251" w:lineRule="auto"/>
        <w:tabs>
          <w:tab w:leader="none" w:pos="334" w:val="left"/>
        </w:tabs>
        <w:numPr>
          <w:ilvl w:val="0"/>
          <w:numId w:val="123"/>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656" w:right="160" w:firstLine="656"/>
        <w:spacing w:after="0" w:line="266" w:lineRule="auto"/>
        <w:tabs>
          <w:tab w:leader="none" w:pos="334" w:val="left"/>
        </w:tabs>
        <w:numPr>
          <w:ilvl w:val="0"/>
          <w:numId w:val="123"/>
        </w:numPr>
        <w:rPr>
          <w:rFonts w:ascii="Arial" w:cs="Arial" w:eastAsia="Arial" w:hAnsi="Arial"/>
          <w:sz w:val="21"/>
          <w:szCs w:val="21"/>
          <w:color w:val="010000"/>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Prior to any issuance of shares of Common Stock in settlement of the Award, no Common Stock will be reserved or earmarked for the Participant or the Participant’s account. Except as set forth in this Section 8, the Participant will not be entitled to any privileges of ownership of the shares of Common Stock subject to the Award (including, without limitation, any voting rights) underlying Vested Shares and/or Unvested Shares unless and until such shares of Common Stock are actually delivered to the Participant hereunder.</w:t>
      </w:r>
    </w:p>
    <w:p>
      <w:pPr>
        <w:spacing w:after="0" w:line="174" w:lineRule="exact"/>
        <w:rPr>
          <w:rFonts w:ascii="Arial" w:cs="Arial" w:eastAsia="Arial" w:hAnsi="Arial"/>
          <w:sz w:val="21"/>
          <w:szCs w:val="21"/>
          <w:color w:val="010000"/>
        </w:rPr>
      </w:pPr>
    </w:p>
    <w:p>
      <w:pPr>
        <w:ind w:left="-656" w:right="240" w:firstLine="656"/>
        <w:spacing w:after="0" w:line="301" w:lineRule="auto"/>
        <w:tabs>
          <w:tab w:leader="none" w:pos="334" w:val="left"/>
        </w:tabs>
        <w:numPr>
          <w:ilvl w:val="0"/>
          <w:numId w:val="123"/>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656" w:right="100" w:firstLine="656"/>
        <w:spacing w:after="0" w:line="294" w:lineRule="auto"/>
        <w:tabs>
          <w:tab w:leader="none" w:pos="442" w:val="left"/>
        </w:tabs>
        <w:numPr>
          <w:ilvl w:val="0"/>
          <w:numId w:val="123"/>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w:t>
      </w:r>
    </w:p>
    <w:p>
      <w:pPr>
        <w:sectPr>
          <w:pgSz w:w="11900" w:h="16899" w:orient="portrait"/>
          <w:cols w:equalWidth="0" w:num="1">
            <w:col w:w="10744"/>
          </w:cols>
          <w:pgMar w:left="896" w:top="132" w:right="259" w:bottom="0" w:gutter="0" w:footer="0" w:header="0"/>
        </w:sectPr>
      </w:pPr>
    </w:p>
    <w:bookmarkStart w:id="108" w:name="page109"/>
    <w:bookmarkEnd w:id="108"/>
    <w:p>
      <w:pPr>
        <w:spacing w:after="0" w:line="289" w:lineRule="auto"/>
        <w:rPr>
          <w:sz w:val="20"/>
          <w:szCs w:val="20"/>
          <w:color w:val="auto"/>
        </w:rPr>
      </w:pPr>
      <w:r>
        <w:rPr>
          <w:rFonts w:ascii="Arial" w:cs="Arial" w:eastAsia="Arial" w:hAnsi="Arial"/>
          <w:sz w:val="19"/>
          <w:szCs w:val="19"/>
          <w:color w:val="auto"/>
        </w:rPr>
        <w:t>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pacing w:after="0" w:line="158" w:lineRule="exact"/>
        <w:rPr>
          <w:sz w:val="20"/>
          <w:szCs w:val="20"/>
          <w:color w:val="auto"/>
        </w:rPr>
      </w:pPr>
    </w:p>
    <w:p>
      <w:pPr>
        <w:ind w:right="220" w:firstLine="656"/>
        <w:spacing w:after="0" w:line="276" w:lineRule="auto"/>
        <w:tabs>
          <w:tab w:leader="none" w:pos="1090" w:val="left"/>
        </w:tabs>
        <w:numPr>
          <w:ilvl w:val="0"/>
          <w:numId w:val="124"/>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00" w:firstLine="656"/>
        <w:spacing w:after="0" w:line="266" w:lineRule="auto"/>
        <w:tabs>
          <w:tab w:leader="none" w:pos="1098" w:val="left"/>
        </w:tabs>
        <w:numPr>
          <w:ilvl w:val="0"/>
          <w:numId w:val="124"/>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right="180" w:firstLine="656"/>
        <w:spacing w:after="0" w:line="307" w:lineRule="auto"/>
        <w:tabs>
          <w:tab w:leader="none" w:pos="1098" w:val="left"/>
        </w:tabs>
        <w:numPr>
          <w:ilvl w:val="0"/>
          <w:numId w:val="124"/>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680" w:firstLine="656"/>
        <w:spacing w:after="0" w:line="260" w:lineRule="auto"/>
        <w:tabs>
          <w:tab w:leader="none" w:pos="1098" w:val="left"/>
        </w:tabs>
        <w:numPr>
          <w:ilvl w:val="0"/>
          <w:numId w:val="124"/>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pacing w:after="0" w:line="177" w:lineRule="exact"/>
        <w:rPr>
          <w:rFonts w:ascii="Arial" w:cs="Arial" w:eastAsia="Arial" w:hAnsi="Arial"/>
          <w:sz w:val="22"/>
          <w:szCs w:val="22"/>
          <w:color w:val="010000"/>
        </w:rPr>
      </w:pPr>
    </w:p>
    <w:p>
      <w:pPr>
        <w:ind w:firstLine="656"/>
        <w:spacing w:after="0" w:line="287" w:lineRule="auto"/>
        <w:tabs>
          <w:tab w:leader="none" w:pos="1098" w:val="left"/>
        </w:tabs>
        <w:numPr>
          <w:ilvl w:val="0"/>
          <w:numId w:val="124"/>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right="100" w:firstLine="656"/>
        <w:spacing w:after="0" w:line="276" w:lineRule="auto"/>
        <w:tabs>
          <w:tab w:leader="none" w:pos="1098" w:val="left"/>
        </w:tabs>
        <w:numPr>
          <w:ilvl w:val="0"/>
          <w:numId w:val="124"/>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0"/>
          <w:numId w:val="124"/>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124"/>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5" w:lineRule="exact"/>
        <w:rPr>
          <w:sz w:val="20"/>
          <w:szCs w:val="20"/>
          <w:color w:val="auto"/>
        </w:rPr>
      </w:pPr>
    </w:p>
    <w:p>
      <w:pPr>
        <w:ind w:firstLine="656"/>
        <w:spacing w:after="0" w:line="250" w:lineRule="auto"/>
        <w:tabs>
          <w:tab w:leader="none" w:pos="1122"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8" w:lineRule="exact"/>
        <w:rPr>
          <w:rFonts w:ascii="Arial" w:cs="Arial" w:eastAsia="Arial" w:hAnsi="Arial"/>
          <w:sz w:val="22"/>
          <w:szCs w:val="22"/>
          <w:color w:val="010000"/>
        </w:rPr>
      </w:pPr>
    </w:p>
    <w:p>
      <w:pPr>
        <w:ind w:right="220" w:firstLine="656"/>
        <w:spacing w:after="0" w:line="358" w:lineRule="auto"/>
        <w:tabs>
          <w:tab w:leader="none" w:pos="1134"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“Disability” shall mean that the Participant, by reason of any medically determinable physical or mental impairment that can be expected to result in death or can be expected to last for a continuous period of not less than 12 months, is receiving</w:t>
      </w:r>
    </w:p>
    <w:p>
      <w:pPr>
        <w:sectPr>
          <w:pgSz w:w="11900" w:h="16838" w:orient="portrait"/>
          <w:cols w:equalWidth="0" w:num="1">
            <w:col w:w="11400"/>
          </w:cols>
          <w:pgMar w:left="240" w:top="132" w:right="259" w:bottom="0" w:gutter="0" w:footer="0" w:header="0"/>
        </w:sectPr>
      </w:pPr>
    </w:p>
    <w:bookmarkStart w:id="109" w:name="page110"/>
    <w:bookmarkEnd w:id="109"/>
    <w:p>
      <w:pPr>
        <w:spacing w:after="0" w:line="34" w:lineRule="exact"/>
        <w:rPr>
          <w:sz w:val="20"/>
          <w:szCs w:val="20"/>
          <w:color w:val="auto"/>
        </w:rPr>
      </w:pPr>
    </w:p>
    <w:p>
      <w:pPr>
        <w:ind w:right="840"/>
        <w:spacing w:after="0" w:line="263" w:lineRule="auto"/>
        <w:rPr>
          <w:sz w:val="20"/>
          <w:szCs w:val="20"/>
          <w:color w:val="auto"/>
        </w:rPr>
      </w:pPr>
      <w:r>
        <w:rPr>
          <w:rFonts w:ascii="Arial" w:cs="Arial" w:eastAsia="Arial" w:hAnsi="Arial"/>
          <w:sz w:val="22"/>
          <w:szCs w:val="22"/>
          <w:color w:val="auto"/>
        </w:rPr>
        <w:t>income replacement benefits for a period of not less than three months under a long-term disability plan maintained by the Company or one of its Subsidiaries.</w:t>
      </w:r>
    </w:p>
    <w:p>
      <w:pPr>
        <w:spacing w:after="0" w:line="175" w:lineRule="exact"/>
        <w:rPr>
          <w:sz w:val="20"/>
          <w:szCs w:val="20"/>
          <w:color w:val="auto"/>
        </w:rPr>
      </w:pPr>
    </w:p>
    <w:p>
      <w:pPr>
        <w:ind w:firstLine="656"/>
        <w:spacing w:after="0" w:line="288" w:lineRule="auto"/>
        <w:tabs>
          <w:tab w:leader="none" w:pos="1122" w:val="left"/>
        </w:tabs>
        <w:numPr>
          <w:ilvl w:val="1"/>
          <w:numId w:val="126"/>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9"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IN WITNESS WHEREOF, the parties have executed this Performance Shares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4114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548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548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548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420" w:type="dxa"/>
            <w:vAlign w:val="bottom"/>
            <w:gridSpan w:val="2"/>
          </w:tcPr>
          <w:p>
            <w:pPr>
              <w:ind w:left="5260"/>
              <w:spacing w:after="0"/>
              <w:rPr>
                <w:sz w:val="20"/>
                <w:szCs w:val="20"/>
                <w:color w:val="auto"/>
              </w:rPr>
            </w:pPr>
            <w:r>
              <w:rPr>
                <w:rFonts w:ascii="Arial" w:cs="Arial" w:eastAsia="Arial" w:hAnsi="Arial"/>
                <w:sz w:val="22"/>
                <w:szCs w:val="22"/>
                <w:b w:val="1"/>
                <w:bCs w:val="1"/>
                <w:color w:val="auto"/>
              </w:rPr>
              <w:t>Exhibit A</w:t>
            </w:r>
          </w:p>
        </w:tc>
      </w:tr>
      <w:tr>
        <w:trPr>
          <w:trHeight w:val="729"/>
        </w:trPr>
        <w:tc>
          <w:tcPr>
            <w:tcW w:w="5660" w:type="dxa"/>
            <w:vAlign w:val="bottom"/>
          </w:tcPr>
          <w:p>
            <w:pPr>
              <w:spacing w:after="0"/>
              <w:rPr>
                <w:sz w:val="20"/>
                <w:szCs w:val="20"/>
                <w:color w:val="auto"/>
              </w:rPr>
            </w:pPr>
            <w:r>
              <w:rPr>
                <w:rFonts w:ascii="Arial" w:cs="Arial" w:eastAsia="Arial" w:hAnsi="Arial"/>
                <w:sz w:val="22"/>
                <w:szCs w:val="22"/>
                <w:color w:val="auto"/>
              </w:rPr>
              <w:t>Target Number of Performance Shares: ________</w:t>
            </w:r>
          </w:p>
        </w:tc>
        <w:tc>
          <w:tcPr>
            <w:tcW w:w="5760" w:type="dxa"/>
            <w:vAlign w:val="bottom"/>
          </w:tcPr>
          <w:p>
            <w:pPr>
              <w:spacing w:after="0"/>
              <w:rPr>
                <w:sz w:val="24"/>
                <w:szCs w:val="24"/>
                <w:color w:val="auto"/>
              </w:rPr>
            </w:pPr>
          </w:p>
        </w:tc>
      </w:tr>
      <w:tr>
        <w:trPr>
          <w:trHeight w:val="382"/>
        </w:trPr>
        <w:tc>
          <w:tcPr>
            <w:tcW w:w="566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97"/>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w w:val="92"/>
              </w:rPr>
              <w:t>Percentile Rank of Company’s TSR Performance Among</w:t>
            </w:r>
          </w:p>
        </w:tc>
        <w:tc>
          <w:tcPr>
            <w:tcW w:w="5760" w:type="dxa"/>
            <w:vAlign w:val="bottom"/>
            <w:shd w:val="clear" w:color="auto" w:fill="DE3B21"/>
          </w:tcPr>
          <w:p>
            <w:pPr>
              <w:ind w:left="220"/>
              <w:spacing w:after="0"/>
              <w:rPr>
                <w:sz w:val="20"/>
                <w:szCs w:val="20"/>
                <w:color w:val="auto"/>
              </w:rPr>
            </w:pPr>
            <w:r>
              <w:rPr>
                <w:rFonts w:ascii="Arial" w:cs="Arial" w:eastAsia="Arial" w:hAnsi="Arial"/>
                <w:sz w:val="22"/>
                <w:szCs w:val="22"/>
                <w:b w:val="1"/>
                <w:bCs w:val="1"/>
                <w:color w:val="auto"/>
              </w:rPr>
              <w:t>Payout as a Percentage of Target</w:t>
            </w:r>
          </w:p>
        </w:tc>
      </w:tr>
      <w:tr>
        <w:trPr>
          <w:trHeight w:val="281"/>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rPr>
              <w:t>TSR Comparator Group Over Performance Period</w:t>
            </w:r>
          </w:p>
        </w:tc>
        <w:tc>
          <w:tcPr>
            <w:tcW w:w="5760" w:type="dxa"/>
            <w:vAlign w:val="bottom"/>
            <w:shd w:val="clear" w:color="auto" w:fill="DE3B21"/>
          </w:tcPr>
          <w:p>
            <w:pPr>
              <w:spacing w:after="0"/>
              <w:rPr>
                <w:sz w:val="24"/>
                <w:szCs w:val="24"/>
                <w:color w:val="auto"/>
              </w:rPr>
            </w:pPr>
          </w:p>
        </w:tc>
      </w:tr>
      <w:tr>
        <w:trPr>
          <w:trHeight w:val="139"/>
        </w:trPr>
        <w:tc>
          <w:tcPr>
            <w:tcW w:w="5660" w:type="dxa"/>
            <w:vAlign w:val="bottom"/>
            <w:shd w:val="clear" w:color="auto" w:fill="DE3B21"/>
          </w:tcPr>
          <w:p>
            <w:pPr>
              <w:spacing w:after="0"/>
              <w:rPr>
                <w:sz w:val="12"/>
                <w:szCs w:val="12"/>
                <w:color w:val="auto"/>
              </w:rPr>
            </w:pPr>
          </w:p>
        </w:tc>
        <w:tc>
          <w:tcPr>
            <w:tcW w:w="5760" w:type="dxa"/>
            <w:vAlign w:val="bottom"/>
            <w:shd w:val="clear" w:color="auto" w:fill="DE3B21"/>
          </w:tcPr>
          <w:p>
            <w:pPr>
              <w:spacing w:after="0"/>
              <w:rPr>
                <w:sz w:val="12"/>
                <w:szCs w:val="12"/>
                <w:color w:val="auto"/>
              </w:rPr>
            </w:pPr>
          </w:p>
        </w:tc>
      </w:tr>
      <w:tr>
        <w:trPr>
          <w:trHeight w:val="473"/>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&lt;33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50%</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100%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125%</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70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150%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-2211705</wp:posOffset>
            </wp:positionV>
            <wp:extent cx="7254875" cy="2221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54875" cy="2221230"/>
                    </a:xfrm>
                    <a:prstGeom prst="rect">
                      <a:avLst/>
                    </a:prstGeom>
                    <a:noFill/>
                  </pic:spPr>
                </pic:pic>
              </a:graphicData>
            </a:graphic>
          </wp:anchor>
        </w:drawing>
      </w:r>
    </w:p>
    <w:p>
      <w:pPr>
        <w:spacing w:after="0" w:line="242" w:lineRule="exact"/>
        <w:rPr>
          <w:sz w:val="20"/>
          <w:szCs w:val="20"/>
          <w:color w:val="auto"/>
        </w:rPr>
      </w:pPr>
    </w:p>
    <w:p>
      <w:pPr>
        <w:jc w:val="both"/>
        <w:ind w:right="660"/>
        <w:spacing w:after="0" w:line="335" w:lineRule="auto"/>
        <w:rPr>
          <w:sz w:val="20"/>
          <w:szCs w:val="20"/>
          <w:color w:val="auto"/>
        </w:rPr>
      </w:pPr>
      <w:r>
        <w:rPr>
          <w:rFonts w:ascii="Arial" w:cs="Arial" w:eastAsia="Arial" w:hAnsi="Arial"/>
          <w:sz w:val="19"/>
          <w:szCs w:val="19"/>
          <w:color w:val="auto"/>
        </w:rPr>
        <w:t>The payout shall be interpolated on a linear basis between 50% and 200% of target to the extent the TSR Performance of the Company is greater than the 33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percentile and less than the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among the Company’s TSR Comparator Group.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Award:</w:t>
      </w:r>
    </w:p>
    <w:p>
      <w:pPr>
        <w:sectPr>
          <w:pgSz w:w="11900" w:h="16872" w:orient="portrait"/>
          <w:cols w:equalWidth="0" w:num="1">
            <w:col w:w="11420"/>
          </w:cols>
          <w:pgMar w:left="240" w:top="131" w:right="239" w:bottom="0" w:gutter="0" w:footer="0" w:header="0"/>
        </w:sectPr>
      </w:pPr>
    </w:p>
    <w:bookmarkStart w:id="110" w:name="page111"/>
    <w:bookmarkEnd w:id="110"/>
    <w:p>
      <w:pPr>
        <w:ind w:right="26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Price</w:t>
      </w:r>
      <w:r>
        <w:rPr>
          <w:rFonts w:ascii="Arial" w:cs="Arial" w:eastAsia="Arial" w:hAnsi="Arial"/>
          <w:sz w:val="21"/>
          <w:szCs w:val="21"/>
          <w:color w:val="auto"/>
        </w:rPr>
        <w:t>” means the closing transaction price of a share of common stock of a company, as reported on the principal national stock exchange on which such common stock is traded, for the day on which the Stock Price is being determined, or if no such shares are traded on such day, the most recent day on which such shares were traded.</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Comparator Group</w:t>
      </w:r>
      <w:r>
        <w:rPr>
          <w:rFonts w:ascii="Arial" w:cs="Arial" w:eastAsia="Arial" w:hAnsi="Arial"/>
          <w:sz w:val="21"/>
          <w:szCs w:val="21"/>
          <w:color w:val="auto"/>
        </w:rPr>
        <w:t>” means an index of restaurant companies approved by the Committee at the beginning of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adjusted in accordance with the guidelines set forth below:</w:t>
      </w:r>
    </w:p>
    <w:p>
      <w:pPr>
        <w:spacing w:after="0" w:line="242" w:lineRule="exact"/>
        <w:rPr>
          <w:sz w:val="20"/>
          <w:szCs w:val="20"/>
          <w:color w:val="auto"/>
        </w:rPr>
      </w:pPr>
    </w:p>
    <w:p>
      <w:pPr>
        <w:ind w:left="660" w:right="20" w:hanging="4"/>
        <w:spacing w:after="0" w:line="263" w:lineRule="auto"/>
        <w:tabs>
          <w:tab w:leader="none" w:pos="91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two indexed companies merge, the performance of the combined companies is tracked for balance of the Performance Period.</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an indexed company is acquired by a non-indexed company, the acquired company is excluded from the calculation.</w:t>
      </w:r>
    </w:p>
    <w:p>
      <w:pPr>
        <w:spacing w:after="0" w:line="294" w:lineRule="exact"/>
        <w:rPr>
          <w:rFonts w:ascii="Arial" w:cs="Arial" w:eastAsia="Arial" w:hAnsi="Arial"/>
          <w:sz w:val="19"/>
          <w:szCs w:val="19"/>
          <w:color w:val="auto"/>
        </w:rPr>
      </w:pPr>
    </w:p>
    <w:p>
      <w:pPr>
        <w:ind w:left="1040" w:hanging="384"/>
        <w:spacing w:after="0"/>
        <w:tabs>
          <w:tab w:leader="none" w:pos="10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an indexed company becomes insolvent, it is included as zero at the bottom of the ranking.</w:t>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Performance</w:t>
      </w:r>
      <w:r>
        <w:rPr>
          <w:rFonts w:ascii="Arial" w:cs="Arial" w:eastAsia="Arial" w:hAnsi="Arial"/>
          <w:sz w:val="22"/>
          <w:szCs w:val="22"/>
          <w:color w:val="auto"/>
        </w:rPr>
        <w:t>” means a company’s cumulative total shareholder return as measured by dividing (A) the sum of (i) the cumulative amount of dividends for the Performance Period and (ii) the increase or decrease in the Stock Price from the first day of the Performance Period to the last day of the Performance Period, by (B) the Stock Price determined as of the first day of the Performance Period.</w:t>
      </w:r>
    </w:p>
    <w:p>
      <w:pPr>
        <w:sectPr>
          <w:pgSz w:w="11900" w:h="16838" w:orient="portrait"/>
          <w:cols w:equalWidth="0" w:num="1">
            <w:col w:w="11420"/>
          </w:cols>
          <w:pgMar w:left="240" w:top="388" w:right="239" w:bottom="1440" w:gutter="0" w:footer="0" w:header="0"/>
        </w:sectPr>
      </w:pPr>
    </w:p>
    <w:bookmarkStart w:id="111" w:name="page112"/>
    <w:bookmarkEnd w:id="111"/>
    <w:p>
      <w:pPr>
        <w:spacing w:after="0" w:line="14" w:lineRule="exact"/>
        <w:rPr>
          <w:sz w:val="20"/>
          <w:szCs w:val="20"/>
          <w:color w:val="auto"/>
        </w:rPr>
      </w:pPr>
    </w:p>
    <w:p>
      <w:pPr>
        <w:ind w:left="10200"/>
        <w:spacing w:after="0"/>
        <w:rPr>
          <w:sz w:val="20"/>
          <w:szCs w:val="20"/>
          <w:color w:val="auto"/>
        </w:rPr>
      </w:pPr>
      <w:r>
        <w:rPr>
          <w:rFonts w:ascii="Arial" w:cs="Arial" w:eastAsia="Arial" w:hAnsi="Arial"/>
          <w:sz w:val="19"/>
          <w:szCs w:val="19"/>
          <w:b w:val="1"/>
          <w:bCs w:val="1"/>
          <w:color w:val="auto"/>
        </w:rPr>
        <w:t>Exhibit 10.14</w:t>
      </w:r>
    </w:p>
    <w:p>
      <w:pPr>
        <w:spacing w:after="0" w:line="254" w:lineRule="exact"/>
        <w:rPr>
          <w:sz w:val="20"/>
          <w:szCs w:val="20"/>
          <w:color w:val="auto"/>
        </w:rPr>
      </w:pPr>
    </w:p>
    <w:p>
      <w:pPr>
        <w:ind w:left="7200"/>
        <w:spacing w:after="0"/>
        <w:rPr>
          <w:sz w:val="20"/>
          <w:szCs w:val="20"/>
          <w:color w:val="auto"/>
        </w:rPr>
      </w:pPr>
      <w:r>
        <w:rPr>
          <w:rFonts w:ascii="Arial" w:cs="Arial" w:eastAsia="Arial" w:hAnsi="Arial"/>
          <w:sz w:val="19"/>
          <w:szCs w:val="19"/>
          <w:b w:val="1"/>
          <w:bCs w:val="1"/>
          <w:color w:val="auto"/>
        </w:rPr>
        <w:t>Performance Shares Agreement – Employees</w:t>
      </w:r>
    </w:p>
    <w:p>
      <w:pPr>
        <w:spacing w:after="0" w:line="62" w:lineRule="exact"/>
        <w:rPr>
          <w:sz w:val="20"/>
          <w:szCs w:val="20"/>
          <w:color w:val="auto"/>
        </w:rPr>
      </w:pPr>
    </w:p>
    <w:p>
      <w:pPr>
        <w:ind w:left="9300"/>
        <w:spacing w:after="0"/>
        <w:rPr>
          <w:sz w:val="20"/>
          <w:szCs w:val="20"/>
          <w:color w:val="auto"/>
        </w:rPr>
      </w:pPr>
      <w:r>
        <w:rPr>
          <w:rFonts w:ascii="Arial" w:cs="Arial" w:eastAsia="Arial" w:hAnsi="Arial"/>
          <w:sz w:val="19"/>
          <w:szCs w:val="19"/>
          <w:b w:val="1"/>
          <w:bCs w:val="1"/>
          <w:color w:val="auto"/>
        </w:rPr>
        <w:t>-- 50% stock/50% cash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SHARES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PERFORMANCE SHARES AWARD AGREEMENT </w:t>
      </w:r>
      <w:r>
        <w:rPr>
          <w:rFonts w:ascii="Arial" w:cs="Arial" w:eastAsia="Arial" w:hAnsi="Arial"/>
          <w:sz w:val="21"/>
          <w:szCs w:val="21"/>
          <w:color w:val="auto"/>
        </w:rPr>
        <w:t>(the “Agreement”) is entered into as of ___________, by</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and between </w:t>
      </w:r>
      <w:r>
        <w:rPr>
          <w:rFonts w:ascii="Arial" w:cs="Arial" w:eastAsia="Arial" w:hAnsi="Arial"/>
          <w:sz w:val="21"/>
          <w:szCs w:val="21"/>
          <w:b w:val="1"/>
          <w:bCs w:val="1"/>
          <w:color w:val="auto"/>
        </w:rPr>
        <w:t>DINE BRANDS GLOBAL, INC.</w:t>
      </w:r>
      <w:r>
        <w:rPr>
          <w:rFonts w:ascii="Arial" w:cs="Arial" w:eastAsia="Arial" w:hAnsi="Arial"/>
          <w:sz w:val="21"/>
          <w:szCs w:val="21"/>
          <w:color w:val="auto"/>
        </w:rPr>
        <w:t xml:space="preserve"> (formerly, DineEquity, Inc.), a Delaware corporation (the “Company”), and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___________, an employee of the 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Performance Shares Award (the “Award”) payable partially in the form of the common stock of the Company, par value $.01 per share (“Common Stock”) and partially in the form of cash. The Award is considered a performance-based Restricted Stock Unit Award under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140" w:firstLine="656"/>
        <w:spacing w:after="0" w:line="294" w:lineRule="auto"/>
        <w:tabs>
          <w:tab w:leader="none" w:pos="1459" w:val="left"/>
        </w:tabs>
        <w:numPr>
          <w:ilvl w:val="0"/>
          <w:numId w:val="129"/>
        </w:numPr>
        <w:rPr>
          <w:rFonts w:ascii="Arial" w:cs="Arial" w:eastAsia="Arial" w:hAnsi="Arial"/>
          <w:sz w:val="19"/>
          <w:szCs w:val="19"/>
          <w:color w:val="010000"/>
        </w:rPr>
      </w:pPr>
      <w:r>
        <w:rPr>
          <w:rFonts w:ascii="Arial" w:cs="Arial" w:eastAsia="Arial" w:hAnsi="Arial"/>
          <w:sz w:val="19"/>
          <w:szCs w:val="19"/>
          <w:u w:val="single" w:color="auto"/>
          <w:color w:val="auto"/>
        </w:rPr>
        <w:t>GRANT OF PERFORMANCE SHARES</w:t>
      </w:r>
      <w:r>
        <w:rPr>
          <w:rFonts w:ascii="Arial" w:cs="Arial" w:eastAsia="Arial" w:hAnsi="Arial"/>
          <w:sz w:val="19"/>
          <w:szCs w:val="19"/>
          <w:color w:val="auto"/>
        </w:rPr>
        <w:t xml:space="preserve">. Subject to the attainment of the performance goals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the Participant is entitled to a payment with respect to that number of shares of Common Stock (“</w:t>
      </w:r>
      <w:r>
        <w:rPr>
          <w:rFonts w:ascii="Arial" w:cs="Arial" w:eastAsia="Arial" w:hAnsi="Arial"/>
          <w:sz w:val="19"/>
          <w:szCs w:val="19"/>
          <w:u w:val="single" w:color="auto"/>
          <w:color w:val="auto"/>
        </w:rPr>
        <w:t>Performance Shares</w:t>
      </w:r>
      <w:r>
        <w:rPr>
          <w:rFonts w:ascii="Arial" w:cs="Arial" w:eastAsia="Arial" w:hAnsi="Arial"/>
          <w:sz w:val="19"/>
          <w:szCs w:val="19"/>
          <w:color w:val="auto"/>
        </w:rPr>
        <w:t xml:space="preserv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subject to the terms and conditions of this Agreement. At the end of the three-year performance period beginning on _____ and ending on ______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the Committee shall determine the total number of Performance Shares payable pursuant to the Award in accordance with the Performance Share Matrix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the Committee’s determination of the applicable performance levels.</w:t>
      </w:r>
    </w:p>
    <w:p>
      <w:pPr>
        <w:spacing w:after="0" w:line="149" w:lineRule="exact"/>
        <w:rPr>
          <w:rFonts w:ascii="Arial" w:cs="Arial" w:eastAsia="Arial" w:hAnsi="Arial"/>
          <w:sz w:val="19"/>
          <w:szCs w:val="19"/>
          <w:color w:val="010000"/>
        </w:rPr>
      </w:pPr>
    </w:p>
    <w:p>
      <w:pPr>
        <w:ind w:left="1000" w:hanging="344"/>
        <w:spacing w:after="0"/>
        <w:tabs>
          <w:tab w:leader="none" w:pos="1000" w:val="left"/>
        </w:tabs>
        <w:numPr>
          <w:ilvl w:val="0"/>
          <w:numId w:val="129"/>
        </w:numPr>
        <w:rPr>
          <w:rFonts w:ascii="Arial" w:cs="Arial" w:eastAsia="Arial" w:hAnsi="Arial"/>
          <w:sz w:val="22"/>
          <w:szCs w:val="22"/>
          <w:color w:val="010000"/>
        </w:rPr>
      </w:pPr>
      <w:r>
        <w:rPr>
          <w:rFonts w:ascii="Arial" w:cs="Arial" w:eastAsia="Arial" w:hAnsi="Arial"/>
          <w:sz w:val="22"/>
          <w:szCs w:val="22"/>
          <w:u w:val="single" w:color="auto"/>
          <w:color w:val="auto"/>
        </w:rPr>
        <w:t>VESTING AND SETTLEMENT OF PERFORMANCE SHARES</w:t>
      </w:r>
      <w:r>
        <w:rPr>
          <w:rFonts w:ascii="Arial" w:cs="Arial" w:eastAsia="Arial" w:hAnsi="Arial"/>
          <w:sz w:val="22"/>
          <w:szCs w:val="22"/>
          <w:color w:val="auto"/>
        </w:rPr>
        <w:t>.</w:t>
      </w:r>
    </w:p>
    <w:p>
      <w:pPr>
        <w:spacing w:after="0" w:line="233" w:lineRule="exact"/>
        <w:rPr>
          <w:sz w:val="20"/>
          <w:szCs w:val="20"/>
          <w:color w:val="auto"/>
        </w:rPr>
      </w:pPr>
    </w:p>
    <w:p>
      <w:pPr>
        <w:ind w:right="200" w:firstLine="656"/>
        <w:spacing w:after="0" w:line="251" w:lineRule="auto"/>
        <w:tabs>
          <w:tab w:leader="none" w:pos="1122" w:val="left"/>
        </w:tabs>
        <w:numPr>
          <w:ilvl w:val="0"/>
          <w:numId w:val="130"/>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xml:space="preserve">. Subject to the Participant’s continuous employment with the Company through the last day of the Performance Period and subject to the certification by the Committee of the performance level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Participant shall become vested in the number of Performance Shares that are earned. Performance Shares that have vested in accordance with this Section 2 are referred to herein as “Vested Shares.” Performance Shares that are not vested are referred to herein as “Unvested Shares.”</w:t>
      </w:r>
    </w:p>
    <w:p>
      <w:pPr>
        <w:spacing w:after="0" w:line="189" w:lineRule="exact"/>
        <w:rPr>
          <w:rFonts w:ascii="Arial" w:cs="Arial" w:eastAsia="Arial" w:hAnsi="Arial"/>
          <w:sz w:val="22"/>
          <w:szCs w:val="22"/>
          <w:color w:val="010000"/>
        </w:rPr>
      </w:pPr>
    </w:p>
    <w:p>
      <w:pPr>
        <w:ind w:right="160" w:firstLine="656"/>
        <w:spacing w:after="0" w:line="300" w:lineRule="auto"/>
        <w:tabs>
          <w:tab w:leader="none" w:pos="1134" w:val="left"/>
        </w:tabs>
        <w:numPr>
          <w:ilvl w:val="0"/>
          <w:numId w:val="130"/>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xml:space="preserve">. If the Participant’s employment with the Company terminates due to Disability or death, the Performance Shares shall become immediately vested on a prorated basis, based on the portion of the Performance Period that has elapsed prior to the date of termination, determined in accordance with the Company’s administrative practices, and thereafter be considered Vested Shares; provided that the number of Performance Shares earned shall be determined at the end of the Performance Period based on the actual performance level achieved, as set forth in </w:t>
      </w:r>
      <w:r>
        <w:rPr>
          <w:rFonts w:ascii="Arial" w:cs="Arial" w:eastAsia="Arial" w:hAnsi="Arial"/>
          <w:sz w:val="19"/>
          <w:szCs w:val="19"/>
          <w:u w:val="single" w:color="auto"/>
          <w:color w:val="auto"/>
        </w:rPr>
        <w:t>Exhibit A.</w:t>
      </w:r>
    </w:p>
    <w:p>
      <w:pPr>
        <w:spacing w:after="0" w:line="147" w:lineRule="exact"/>
        <w:rPr>
          <w:rFonts w:ascii="Arial" w:cs="Arial" w:eastAsia="Arial" w:hAnsi="Arial"/>
          <w:sz w:val="19"/>
          <w:szCs w:val="19"/>
          <w:color w:val="010000"/>
        </w:rPr>
      </w:pPr>
    </w:p>
    <w:p>
      <w:pPr>
        <w:ind w:right="60" w:firstLine="656"/>
        <w:spacing w:after="0" w:line="292" w:lineRule="auto"/>
        <w:tabs>
          <w:tab w:leader="none" w:pos="1122" w:val="left"/>
        </w:tabs>
        <w:numPr>
          <w:ilvl w:val="0"/>
          <w:numId w:val="130"/>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Upon the occurrence of a Change in Control, the Participant shall, with respect to all outstanding, unvested Performance Shares held by the Participant immediately prior to the Change in Control, be deemed to have satisfied the performance criteria,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based on actual performance through the date of the Change in Control, and following the Change in Control the Performance Shares shall continue to vest based upon the service vesting requirements of Sections 2(a) and 2(b). If the Participant’s employment with the Company is terminated within a period of twenty-four (24) months following the Change in Control (i) by the Company other than for Cause or (ii) by the Participant for Good Reason (as such terms are defined herein below or in the Plan), the Performance Shares shall become immediately and fully vested and thereafter be considered Vested Shares, and shall be paid to the Participant not later than thirty (30) days after the date of such termination.</w:t>
      </w:r>
    </w:p>
    <w:p>
      <w:pPr>
        <w:spacing w:after="0" w:line="155" w:lineRule="exact"/>
        <w:rPr>
          <w:rFonts w:ascii="Arial" w:cs="Arial" w:eastAsia="Arial" w:hAnsi="Arial"/>
          <w:sz w:val="19"/>
          <w:szCs w:val="19"/>
          <w:color w:val="010000"/>
        </w:rPr>
      </w:pPr>
    </w:p>
    <w:p>
      <w:pPr>
        <w:ind w:right="260" w:firstLine="656"/>
        <w:spacing w:after="0" w:line="260" w:lineRule="auto"/>
        <w:tabs>
          <w:tab w:leader="none" w:pos="1134" w:val="left"/>
        </w:tabs>
        <w:numPr>
          <w:ilvl w:val="0"/>
          <w:numId w:val="130"/>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Shares</w:t>
      </w:r>
      <w:r>
        <w:rPr>
          <w:rFonts w:ascii="Arial" w:cs="Arial" w:eastAsia="Arial" w:hAnsi="Arial"/>
          <w:sz w:val="22"/>
          <w:szCs w:val="22"/>
          <w:color w:val="auto"/>
        </w:rPr>
        <w:t>. Except as set forth in Sections 2(b) and 2(c), upon the termination of the Participant’s employment, any then Unvested Shares held by the Participant shall be forfeited and canceled as of the date of such termination.</w:t>
      </w:r>
    </w:p>
    <w:p>
      <w:pPr>
        <w:spacing w:after="0" w:line="177" w:lineRule="exact"/>
        <w:rPr>
          <w:rFonts w:ascii="Arial" w:cs="Arial" w:eastAsia="Arial" w:hAnsi="Arial"/>
          <w:sz w:val="22"/>
          <w:szCs w:val="22"/>
          <w:color w:val="010000"/>
        </w:rPr>
      </w:pPr>
    </w:p>
    <w:p>
      <w:pPr>
        <w:jc w:val="both"/>
        <w:ind w:firstLine="656"/>
        <w:spacing w:after="0" w:line="358" w:lineRule="auto"/>
        <w:tabs>
          <w:tab w:leader="none" w:pos="1122" w:val="left"/>
        </w:tabs>
        <w:numPr>
          <w:ilvl w:val="0"/>
          <w:numId w:val="130"/>
        </w:numPr>
        <w:rPr>
          <w:rFonts w:ascii="Arial" w:cs="Arial" w:eastAsia="Arial" w:hAnsi="Arial"/>
          <w:sz w:val="19"/>
          <w:szCs w:val="19"/>
          <w:color w:val="010000"/>
        </w:rPr>
      </w:pPr>
      <w:r>
        <w:rPr>
          <w:rFonts w:ascii="Arial" w:cs="Arial" w:eastAsia="Arial" w:hAnsi="Arial"/>
          <w:sz w:val="19"/>
          <w:szCs w:val="19"/>
          <w:u w:val="single" w:color="auto"/>
          <w:color w:val="auto"/>
        </w:rPr>
        <w:t>Settlement of Vested Shares</w:t>
      </w:r>
      <w:r>
        <w:rPr>
          <w:rFonts w:ascii="Arial" w:cs="Arial" w:eastAsia="Arial" w:hAnsi="Arial"/>
          <w:sz w:val="19"/>
          <w:szCs w:val="19"/>
          <w:color w:val="auto"/>
        </w:rPr>
        <w:t>. Fifty percent of the Vested Shares, rounded up to the nearest whole share, shall be settled by the delivery to the Participant or a designated brokerage firm of one share of Common Stock per Vested Share within 2½ months</w:t>
      </w:r>
    </w:p>
    <w:p>
      <w:pPr>
        <w:sectPr>
          <w:pgSz w:w="11900" w:h="16853" w:orient="portrait"/>
          <w:cols w:equalWidth="0" w:num="1">
            <w:col w:w="11420"/>
          </w:cols>
          <w:pgMar w:left="240" w:top="126" w:right="239" w:bottom="0" w:gutter="0" w:footer="0" w:header="0"/>
        </w:sectPr>
      </w:pPr>
    </w:p>
    <w:bookmarkStart w:id="112" w:name="page113"/>
    <w:bookmarkEnd w:id="112"/>
    <w:p>
      <w:pPr>
        <w:spacing w:after="0" w:line="82"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after the last day of the Performance Period or, if earlier, in accordance with Section 2(c). The remainder of the Vested Shares shall be settled by the payment to the Participant, within 2½ months after the last day of the Performance Period or, if earlier, in accordance with Section 2(c), of a cash payment equal to the Fair Market Value of such Vested Shares, determined as of an administratively practical date preceding the settlement date. No fractional shares will be issued under this Agreement.</w:t>
      </w:r>
    </w:p>
    <w:p>
      <w:pPr>
        <w:spacing w:after="0" w:line="143" w:lineRule="exact"/>
        <w:rPr>
          <w:sz w:val="20"/>
          <w:szCs w:val="20"/>
          <w:color w:val="auto"/>
        </w:rPr>
      </w:pPr>
    </w:p>
    <w:p>
      <w:pPr>
        <w:ind w:firstLine="656"/>
        <w:spacing w:after="0" w:line="248" w:lineRule="auto"/>
        <w:tabs>
          <w:tab w:leader="none" w:pos="990"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REQUIREMENTS OF LAW AND OF STOCK EXCHANGES</w:t>
      </w:r>
      <w:r>
        <w:rPr>
          <w:rFonts w:ascii="Arial" w:cs="Arial" w:eastAsia="Arial" w:hAnsi="Arial"/>
          <w:sz w:val="22"/>
          <w:szCs w:val="22"/>
          <w:color w:val="auto"/>
        </w:rPr>
        <w:t>. Notwithstanding anything in this Agreement to the contrary, no certificate or certificates for shares of Common Stock shall be issued and delivered prior to the admission of such shares to listing on notice of issuance on any stock exchange on which shares of that class are then listed, nor unless or until, in the opinion of counsel for the Company, such securities may be issued and delivered without causing the Company to be in violation of or incur any liability under any federal, state or other securities law, any requirement of any securities exchange listing agreement to which the Company may be a party, or any other requirement of law or of any regulatory body having jurisdiction over the Company.</w:t>
      </w:r>
    </w:p>
    <w:p>
      <w:pPr>
        <w:spacing w:after="0" w:line="195" w:lineRule="exact"/>
        <w:rPr>
          <w:rFonts w:ascii="Arial" w:cs="Arial" w:eastAsia="Arial" w:hAnsi="Arial"/>
          <w:sz w:val="22"/>
          <w:szCs w:val="22"/>
          <w:color w:val="010000"/>
        </w:rPr>
      </w:pPr>
    </w:p>
    <w:p>
      <w:pPr>
        <w:ind w:firstLine="656"/>
        <w:spacing w:after="0" w:line="264" w:lineRule="auto"/>
        <w:tabs>
          <w:tab w:leader="none" w:pos="990" w:val="left"/>
        </w:tabs>
        <w:numPr>
          <w:ilvl w:val="0"/>
          <w:numId w:val="131"/>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60" w:firstLine="656"/>
        <w:spacing w:after="0" w:line="260" w:lineRule="auto"/>
        <w:tabs>
          <w:tab w:leader="none" w:pos="990" w:val="left"/>
        </w:tabs>
        <w:numPr>
          <w:ilvl w:val="0"/>
          <w:numId w:val="131"/>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5, the Award may be exercised or settled during the Participant’s lifetime only by the Participant or the Participant’s legal representative or similar person. Except as permitted by this Section 5,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firstLine="656"/>
        <w:spacing w:after="0" w:line="287" w:lineRule="auto"/>
        <w:tabs>
          <w:tab w:leader="none" w:pos="990" w:val="left"/>
        </w:tabs>
        <w:numPr>
          <w:ilvl w:val="0"/>
          <w:numId w:val="131"/>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right="40" w:firstLine="656"/>
        <w:spacing w:after="0" w:line="251" w:lineRule="auto"/>
        <w:tabs>
          <w:tab w:leader="none" w:pos="990"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right="160" w:firstLine="656"/>
        <w:spacing w:after="0" w:line="266" w:lineRule="auto"/>
        <w:tabs>
          <w:tab w:leader="none" w:pos="990" w:val="left"/>
        </w:tabs>
        <w:numPr>
          <w:ilvl w:val="0"/>
          <w:numId w:val="131"/>
        </w:numPr>
        <w:rPr>
          <w:rFonts w:ascii="Arial" w:cs="Arial" w:eastAsia="Arial" w:hAnsi="Arial"/>
          <w:sz w:val="21"/>
          <w:szCs w:val="21"/>
          <w:color w:val="010000"/>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Prior to any issuance of shares of Common Stock in settlement of the Award, no Common Stock will be reserved or earmarked for the Participant or the Participant’s account. Except as set forth in this Section 8, the Participant will not be entitled to any privileges of ownership of the shares of Common Stock subject to the Award (including, without limitation, any voting rights) underlying Vested Shares and/or Unvested Shares unless and until such shares of Common Stock are actually delivered to the Participant hereunder.</w:t>
      </w:r>
    </w:p>
    <w:p>
      <w:pPr>
        <w:spacing w:after="0" w:line="174" w:lineRule="exact"/>
        <w:rPr>
          <w:rFonts w:ascii="Arial" w:cs="Arial" w:eastAsia="Arial" w:hAnsi="Arial"/>
          <w:sz w:val="21"/>
          <w:szCs w:val="21"/>
          <w:color w:val="010000"/>
        </w:rPr>
      </w:pPr>
    </w:p>
    <w:p>
      <w:pPr>
        <w:ind w:right="240" w:firstLine="656"/>
        <w:spacing w:after="0" w:line="301" w:lineRule="auto"/>
        <w:tabs>
          <w:tab w:leader="none" w:pos="990" w:val="left"/>
        </w:tabs>
        <w:numPr>
          <w:ilvl w:val="0"/>
          <w:numId w:val="131"/>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100" w:firstLine="656"/>
        <w:spacing w:after="0" w:line="358" w:lineRule="auto"/>
        <w:tabs>
          <w:tab w:leader="none" w:pos="1098" w:val="left"/>
        </w:tabs>
        <w:numPr>
          <w:ilvl w:val="0"/>
          <w:numId w:val="131"/>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w:t>
      </w:r>
    </w:p>
    <w:p>
      <w:pPr>
        <w:sectPr>
          <w:pgSz w:w="11900" w:h="16920" w:orient="portrait"/>
          <w:cols w:equalWidth="0" w:num="1">
            <w:col w:w="11400"/>
          </w:cols>
          <w:pgMar w:left="240" w:top="132" w:right="259" w:bottom="0" w:gutter="0" w:footer="0" w:header="0"/>
        </w:sectPr>
      </w:pPr>
    </w:p>
    <w:bookmarkStart w:id="113" w:name="page114"/>
    <w:bookmarkEnd w:id="113"/>
    <w:p>
      <w:pPr>
        <w:spacing w:after="0" w:line="286" w:lineRule="auto"/>
        <w:rPr>
          <w:sz w:val="20"/>
          <w:szCs w:val="20"/>
          <w:color w:val="auto"/>
        </w:rPr>
      </w:pPr>
      <w:r>
        <w:rPr>
          <w:rFonts w:ascii="Arial" w:cs="Arial" w:eastAsia="Arial" w:hAnsi="Arial"/>
          <w:sz w:val="19"/>
          <w:szCs w:val="19"/>
          <w:color w:val="auto"/>
        </w:rPr>
        <w:t>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pacing w:after="0" w:line="163" w:lineRule="exact"/>
        <w:rPr>
          <w:sz w:val="20"/>
          <w:szCs w:val="20"/>
          <w:color w:val="auto"/>
        </w:rPr>
      </w:pPr>
    </w:p>
    <w:p>
      <w:pPr>
        <w:ind w:right="220" w:firstLine="656"/>
        <w:spacing w:after="0" w:line="276" w:lineRule="auto"/>
        <w:tabs>
          <w:tab w:leader="none" w:pos="1090" w:val="left"/>
        </w:tabs>
        <w:numPr>
          <w:ilvl w:val="0"/>
          <w:numId w:val="132"/>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00" w:firstLine="656"/>
        <w:spacing w:after="0" w:line="266" w:lineRule="auto"/>
        <w:tabs>
          <w:tab w:leader="none" w:pos="1098" w:val="left"/>
        </w:tabs>
        <w:numPr>
          <w:ilvl w:val="0"/>
          <w:numId w:val="132"/>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right="180" w:firstLine="656"/>
        <w:spacing w:after="0" w:line="307" w:lineRule="auto"/>
        <w:tabs>
          <w:tab w:leader="none" w:pos="1098" w:val="left"/>
        </w:tabs>
        <w:numPr>
          <w:ilvl w:val="0"/>
          <w:numId w:val="132"/>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680" w:firstLine="656"/>
        <w:spacing w:after="0" w:line="260" w:lineRule="auto"/>
        <w:tabs>
          <w:tab w:leader="none" w:pos="1098" w:val="left"/>
        </w:tabs>
        <w:numPr>
          <w:ilvl w:val="0"/>
          <w:numId w:val="132"/>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pacing w:after="0" w:line="177" w:lineRule="exact"/>
        <w:rPr>
          <w:rFonts w:ascii="Arial" w:cs="Arial" w:eastAsia="Arial" w:hAnsi="Arial"/>
          <w:sz w:val="22"/>
          <w:szCs w:val="22"/>
          <w:color w:val="010000"/>
        </w:rPr>
      </w:pPr>
    </w:p>
    <w:p>
      <w:pPr>
        <w:ind w:firstLine="656"/>
        <w:spacing w:after="0" w:line="287" w:lineRule="auto"/>
        <w:tabs>
          <w:tab w:leader="none" w:pos="1098" w:val="left"/>
        </w:tabs>
        <w:numPr>
          <w:ilvl w:val="0"/>
          <w:numId w:val="132"/>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right="100" w:firstLine="656"/>
        <w:spacing w:after="0" w:line="276" w:lineRule="auto"/>
        <w:tabs>
          <w:tab w:leader="none" w:pos="1098" w:val="left"/>
        </w:tabs>
        <w:numPr>
          <w:ilvl w:val="0"/>
          <w:numId w:val="132"/>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0"/>
          <w:numId w:val="132"/>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132"/>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5" w:lineRule="exact"/>
        <w:rPr>
          <w:sz w:val="20"/>
          <w:szCs w:val="20"/>
          <w:color w:val="auto"/>
        </w:rPr>
      </w:pPr>
    </w:p>
    <w:p>
      <w:pPr>
        <w:ind w:firstLine="656"/>
        <w:spacing w:after="0" w:line="307" w:lineRule="auto"/>
        <w:tabs>
          <w:tab w:leader="none" w:pos="1122"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w:t>
      </w:r>
    </w:p>
    <w:p>
      <w:pPr>
        <w:sectPr>
          <w:pgSz w:w="11900" w:h="16838" w:orient="portrait"/>
          <w:cols w:equalWidth="0" w:num="1">
            <w:col w:w="11400"/>
          </w:cols>
          <w:pgMar w:left="240" w:top="131" w:right="259" w:bottom="0" w:gutter="0" w:footer="0" w:header="0"/>
        </w:sectPr>
      </w:pPr>
    </w:p>
    <w:bookmarkStart w:id="114" w:name="page115"/>
    <w:bookmarkEnd w:id="114"/>
    <w:p>
      <w:pPr>
        <w:ind w:right="380"/>
        <w:spacing w:after="0" w:line="263" w:lineRule="auto"/>
        <w:rPr>
          <w:sz w:val="20"/>
          <w:szCs w:val="20"/>
          <w:color w:val="auto"/>
        </w:rPr>
      </w:pPr>
      <w:r>
        <w:rPr>
          <w:rFonts w:ascii="Arial" w:cs="Arial" w:eastAsia="Arial" w:hAnsi="Arial"/>
          <w:sz w:val="22"/>
          <w:szCs w:val="22"/>
          <w:color w:val="auto"/>
        </w:rPr>
        <w:t>would prevent the effective performance of the Participant’s duties; or (iv) the Participant’s conviction or plea of no contest to a felony or a crime of moral turpitude.</w:t>
      </w:r>
    </w:p>
    <w:p>
      <w:pPr>
        <w:spacing w:after="0" w:line="175" w:lineRule="exact"/>
        <w:rPr>
          <w:sz w:val="20"/>
          <w:szCs w:val="20"/>
          <w:color w:val="auto"/>
        </w:rPr>
      </w:pPr>
    </w:p>
    <w:p>
      <w:pPr>
        <w:ind w:right="240" w:firstLine="656"/>
        <w:spacing w:after="0" w:line="254" w:lineRule="auto"/>
        <w:tabs>
          <w:tab w:leader="none" w:pos="1134" w:val="left"/>
        </w:tabs>
        <w:numPr>
          <w:ilvl w:val="1"/>
          <w:numId w:val="134"/>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656"/>
        <w:spacing w:after="0" w:line="288" w:lineRule="auto"/>
        <w:tabs>
          <w:tab w:leader="none" w:pos="1122" w:val="left"/>
        </w:tabs>
        <w:numPr>
          <w:ilvl w:val="1"/>
          <w:numId w:val="134"/>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9"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IN WITNESS WHEREOF, the parties have executed this Performance Shares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411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548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548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548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420" w:type="dxa"/>
            <w:vAlign w:val="bottom"/>
            <w:gridSpan w:val="2"/>
          </w:tcPr>
          <w:p>
            <w:pPr>
              <w:ind w:left="5260"/>
              <w:spacing w:after="0"/>
              <w:rPr>
                <w:sz w:val="20"/>
                <w:szCs w:val="20"/>
                <w:color w:val="auto"/>
              </w:rPr>
            </w:pPr>
            <w:r>
              <w:rPr>
                <w:rFonts w:ascii="Arial" w:cs="Arial" w:eastAsia="Arial" w:hAnsi="Arial"/>
                <w:sz w:val="22"/>
                <w:szCs w:val="22"/>
                <w:b w:val="1"/>
                <w:bCs w:val="1"/>
                <w:color w:val="auto"/>
              </w:rPr>
              <w:t>Exhibit A</w:t>
            </w:r>
          </w:p>
        </w:tc>
      </w:tr>
      <w:tr>
        <w:trPr>
          <w:trHeight w:val="729"/>
        </w:trPr>
        <w:tc>
          <w:tcPr>
            <w:tcW w:w="5660" w:type="dxa"/>
            <w:vAlign w:val="bottom"/>
          </w:tcPr>
          <w:p>
            <w:pPr>
              <w:spacing w:after="0"/>
              <w:rPr>
                <w:sz w:val="20"/>
                <w:szCs w:val="20"/>
                <w:color w:val="auto"/>
              </w:rPr>
            </w:pPr>
            <w:r>
              <w:rPr>
                <w:rFonts w:ascii="Arial" w:cs="Arial" w:eastAsia="Arial" w:hAnsi="Arial"/>
                <w:sz w:val="22"/>
                <w:szCs w:val="22"/>
                <w:color w:val="auto"/>
              </w:rPr>
              <w:t>Target Number of Performance Shares: ________</w:t>
            </w:r>
          </w:p>
        </w:tc>
        <w:tc>
          <w:tcPr>
            <w:tcW w:w="5760" w:type="dxa"/>
            <w:vAlign w:val="bottom"/>
          </w:tcPr>
          <w:p>
            <w:pPr>
              <w:spacing w:after="0"/>
              <w:rPr>
                <w:sz w:val="24"/>
                <w:szCs w:val="24"/>
                <w:color w:val="auto"/>
              </w:rPr>
            </w:pPr>
          </w:p>
        </w:tc>
      </w:tr>
      <w:tr>
        <w:trPr>
          <w:trHeight w:val="382"/>
        </w:trPr>
        <w:tc>
          <w:tcPr>
            <w:tcW w:w="566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97"/>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w w:val="92"/>
              </w:rPr>
              <w:t>Percentile Rank of Company’s TSR Performance Among</w:t>
            </w:r>
          </w:p>
        </w:tc>
        <w:tc>
          <w:tcPr>
            <w:tcW w:w="5760" w:type="dxa"/>
            <w:vAlign w:val="bottom"/>
            <w:shd w:val="clear" w:color="auto" w:fill="DE3B21"/>
          </w:tcPr>
          <w:p>
            <w:pPr>
              <w:ind w:left="220"/>
              <w:spacing w:after="0"/>
              <w:rPr>
                <w:sz w:val="20"/>
                <w:szCs w:val="20"/>
                <w:color w:val="auto"/>
              </w:rPr>
            </w:pPr>
            <w:r>
              <w:rPr>
                <w:rFonts w:ascii="Arial" w:cs="Arial" w:eastAsia="Arial" w:hAnsi="Arial"/>
                <w:sz w:val="22"/>
                <w:szCs w:val="22"/>
                <w:b w:val="1"/>
                <w:bCs w:val="1"/>
                <w:color w:val="auto"/>
              </w:rPr>
              <w:t>Payout as a Percentage of Target</w:t>
            </w:r>
          </w:p>
        </w:tc>
      </w:tr>
      <w:tr>
        <w:trPr>
          <w:trHeight w:val="281"/>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rPr>
              <w:t>TSR Comparator Group Over Performance Period</w:t>
            </w:r>
          </w:p>
        </w:tc>
        <w:tc>
          <w:tcPr>
            <w:tcW w:w="5760" w:type="dxa"/>
            <w:vAlign w:val="bottom"/>
            <w:shd w:val="clear" w:color="auto" w:fill="DE3B21"/>
          </w:tcPr>
          <w:p>
            <w:pPr>
              <w:spacing w:after="0"/>
              <w:rPr>
                <w:sz w:val="24"/>
                <w:szCs w:val="24"/>
                <w:color w:val="auto"/>
              </w:rPr>
            </w:pPr>
          </w:p>
        </w:tc>
      </w:tr>
      <w:tr>
        <w:trPr>
          <w:trHeight w:val="139"/>
        </w:trPr>
        <w:tc>
          <w:tcPr>
            <w:tcW w:w="5660" w:type="dxa"/>
            <w:vAlign w:val="bottom"/>
            <w:shd w:val="clear" w:color="auto" w:fill="DE3B21"/>
          </w:tcPr>
          <w:p>
            <w:pPr>
              <w:spacing w:after="0"/>
              <w:rPr>
                <w:sz w:val="12"/>
                <w:szCs w:val="12"/>
                <w:color w:val="auto"/>
              </w:rPr>
            </w:pPr>
          </w:p>
        </w:tc>
        <w:tc>
          <w:tcPr>
            <w:tcW w:w="5760" w:type="dxa"/>
            <w:vAlign w:val="bottom"/>
            <w:shd w:val="clear" w:color="auto" w:fill="DE3B21"/>
          </w:tcPr>
          <w:p>
            <w:pPr>
              <w:spacing w:after="0"/>
              <w:rPr>
                <w:sz w:val="12"/>
                <w:szCs w:val="12"/>
                <w:color w:val="auto"/>
              </w:rPr>
            </w:pPr>
          </w:p>
        </w:tc>
      </w:tr>
      <w:tr>
        <w:trPr>
          <w:trHeight w:val="473"/>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&lt;33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50%</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100%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125%</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70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150%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-2211705</wp:posOffset>
            </wp:positionV>
            <wp:extent cx="7254875" cy="2221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54875" cy="2221230"/>
                    </a:xfrm>
                    <a:prstGeom prst="rect">
                      <a:avLst/>
                    </a:prstGeom>
                    <a:noFill/>
                  </pic:spPr>
                </pic:pic>
              </a:graphicData>
            </a:graphic>
          </wp:anchor>
        </w:drawing>
      </w:r>
    </w:p>
    <w:p>
      <w:pPr>
        <w:sectPr>
          <w:pgSz w:w="11900" w:h="16838" w:orient="portrait"/>
          <w:cols w:equalWidth="0" w:num="1">
            <w:col w:w="11420"/>
          </w:cols>
          <w:pgMar w:left="240" w:top="132" w:right="239" w:bottom="0" w:gutter="0" w:footer="0" w:header="0"/>
        </w:sectPr>
      </w:pPr>
    </w:p>
    <w:bookmarkStart w:id="115" w:name="page116"/>
    <w:bookmarkEnd w:id="115"/>
    <w:p>
      <w:pPr>
        <w:jc w:val="both"/>
        <w:ind w:right="660"/>
        <w:spacing w:after="0" w:line="335" w:lineRule="auto"/>
        <w:rPr>
          <w:sz w:val="20"/>
          <w:szCs w:val="20"/>
          <w:color w:val="auto"/>
        </w:rPr>
      </w:pPr>
      <w:r>
        <w:rPr>
          <w:rFonts w:ascii="Arial" w:cs="Arial" w:eastAsia="Arial" w:hAnsi="Arial"/>
          <w:sz w:val="19"/>
          <w:szCs w:val="19"/>
          <w:color w:val="auto"/>
        </w:rPr>
        <w:t>The payout shall be interpolated on a linear basis between 50% and 200% of target to the extent the TSR Performance of the Company is greater than the 33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percentile and less than the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among the Company’s TSR Comparator Group.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Award:</w:t>
      </w:r>
    </w:p>
    <w:p>
      <w:pPr>
        <w:spacing w:after="0" w:line="260" w:lineRule="exact"/>
        <w:rPr>
          <w:sz w:val="20"/>
          <w:szCs w:val="20"/>
          <w:color w:val="auto"/>
        </w:rPr>
      </w:pPr>
    </w:p>
    <w:p>
      <w:pPr>
        <w:ind w:right="26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Price</w:t>
      </w:r>
      <w:r>
        <w:rPr>
          <w:rFonts w:ascii="Arial" w:cs="Arial" w:eastAsia="Arial" w:hAnsi="Arial"/>
          <w:sz w:val="21"/>
          <w:szCs w:val="21"/>
          <w:color w:val="auto"/>
        </w:rPr>
        <w:t>” means the closing transaction price of a share of common stock of a company, as reported on the principal national stock exchange on which such common stock is traded, for the day on which the Stock Price is being determined, or if no such shares are traded on such day, the most recent day on which such shares were traded.</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Comparator Group</w:t>
      </w:r>
      <w:r>
        <w:rPr>
          <w:rFonts w:ascii="Arial" w:cs="Arial" w:eastAsia="Arial" w:hAnsi="Arial"/>
          <w:sz w:val="21"/>
          <w:szCs w:val="21"/>
          <w:color w:val="auto"/>
        </w:rPr>
        <w:t>” means an index of restaurant companies approved by the Committee at the beginning of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adjusted in accordance with the guidelines set forth below:</w:t>
      </w:r>
    </w:p>
    <w:p>
      <w:pPr>
        <w:spacing w:after="0" w:line="242" w:lineRule="exact"/>
        <w:rPr>
          <w:sz w:val="20"/>
          <w:szCs w:val="20"/>
          <w:color w:val="auto"/>
        </w:rPr>
      </w:pPr>
    </w:p>
    <w:p>
      <w:pPr>
        <w:ind w:left="660" w:right="20" w:hanging="4"/>
        <w:spacing w:after="0" w:line="263" w:lineRule="auto"/>
        <w:tabs>
          <w:tab w:leader="none" w:pos="91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two indexed companies merge, the performance of the combined companies is tracked for balance of the Performance Period.</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If an indexed company is acquired by a non-indexed company, the acquired company is excluded from the calculation.</w:t>
      </w:r>
    </w:p>
    <w:p>
      <w:pPr>
        <w:spacing w:after="0" w:line="294" w:lineRule="exact"/>
        <w:rPr>
          <w:rFonts w:ascii="Arial" w:cs="Arial" w:eastAsia="Arial" w:hAnsi="Arial"/>
          <w:sz w:val="19"/>
          <w:szCs w:val="19"/>
          <w:color w:val="auto"/>
        </w:rPr>
      </w:pPr>
    </w:p>
    <w:p>
      <w:pPr>
        <w:ind w:left="1040" w:hanging="384"/>
        <w:spacing w:after="0"/>
        <w:tabs>
          <w:tab w:leader="none" w:pos="104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an indexed company becomes insolvent, it is included as zero at the bottom of the ranking.</w:t>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Performance</w:t>
      </w:r>
      <w:r>
        <w:rPr>
          <w:rFonts w:ascii="Arial" w:cs="Arial" w:eastAsia="Arial" w:hAnsi="Arial"/>
          <w:sz w:val="22"/>
          <w:szCs w:val="22"/>
          <w:color w:val="auto"/>
        </w:rPr>
        <w:t>” means a company’s cumulative total shareholder return as measured by dividing (A) the sum of (i) the cumulative amount of dividends for the Performance Period and (ii) the increase or decrease in the Stock Price from the first day of the Performance Period to the last day of the Performance Period, by (B) the Stock Price determined as of the first day of the Performance Period.</w:t>
      </w:r>
    </w:p>
    <w:p>
      <w:pPr>
        <w:sectPr>
          <w:pgSz w:w="11900" w:h="16838" w:orient="portrait"/>
          <w:cols w:equalWidth="0" w:num="1">
            <w:col w:w="11420"/>
          </w:cols>
          <w:pgMar w:left="240" w:top="38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10.15</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Award Agreement – Employees – Single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PERFORMANCE AWARD AGREEMENT </w:t>
      </w:r>
      <w:r>
        <w:rPr>
          <w:rFonts w:ascii="Arial" w:cs="Arial" w:eastAsia="Arial" w:hAnsi="Arial"/>
          <w:sz w:val="19"/>
          <w:szCs w:val="19"/>
          <w:color w:val="auto"/>
        </w:rPr>
        <w:t>(the “Agreement”) is entered into as of ___________, by and between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DINE BRANDS GLOBAL, INC. </w:t>
      </w:r>
      <w:r>
        <w:rPr>
          <w:rFonts w:ascii="Arial" w:cs="Arial" w:eastAsia="Arial" w:hAnsi="Arial"/>
          <w:sz w:val="19"/>
          <w:szCs w:val="19"/>
          <w:color w:val="auto"/>
        </w:rPr>
        <w:t>(formerly, DineEquity, Inc.), a Delaware corporation (the “Company”), and ___________, an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employee of the 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Participant is to be granted a Performance Award (the “Award”) payable in the form of cash on the terms and conditions set forth herein.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94" w:lineRule="auto"/>
        <w:tabs>
          <w:tab w:leader="none" w:pos="1459" w:val="left"/>
        </w:tabs>
        <w:numPr>
          <w:ilvl w:val="0"/>
          <w:numId w:val="137"/>
        </w:numPr>
        <w:rPr>
          <w:rFonts w:ascii="Arial" w:cs="Arial" w:eastAsia="Arial" w:hAnsi="Arial"/>
          <w:sz w:val="19"/>
          <w:szCs w:val="19"/>
          <w:color w:val="010000"/>
        </w:rPr>
      </w:pPr>
      <w:r>
        <w:rPr>
          <w:rFonts w:ascii="Arial" w:cs="Arial" w:eastAsia="Arial" w:hAnsi="Arial"/>
          <w:sz w:val="19"/>
          <w:szCs w:val="19"/>
          <w:u w:val="single" w:color="auto"/>
          <w:color w:val="auto"/>
        </w:rPr>
        <w:t>GRANT OF PERFORMANCE UNITS</w:t>
      </w:r>
      <w:r>
        <w:rPr>
          <w:rFonts w:ascii="Arial" w:cs="Arial" w:eastAsia="Arial" w:hAnsi="Arial"/>
          <w:sz w:val="19"/>
          <w:szCs w:val="19"/>
          <w:color w:val="auto"/>
        </w:rPr>
        <w:t xml:space="preserve">. Subject to the attainment of the performance goals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Participant is entitled to that number of performance units (“Performance Units”)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subject to the terms and conditions of this Agreement. Each Performance Unit shall have a value of $1.00. At the end of the three-year performance period beginning on [______] and ending on [______] (the “Performance Period”), the Committee shall determine the total number of Performance Units payable pursuant to the Award in accordance with the Performance Unit Matrix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the Committee’s determination of the applicable performance levels.</w:t>
      </w:r>
    </w:p>
    <w:p>
      <w:pPr>
        <w:spacing w:after="0" w:line="149" w:lineRule="exact"/>
        <w:rPr>
          <w:rFonts w:ascii="Arial" w:cs="Arial" w:eastAsia="Arial" w:hAnsi="Arial"/>
          <w:sz w:val="19"/>
          <w:szCs w:val="19"/>
          <w:color w:val="010000"/>
        </w:rPr>
      </w:pPr>
    </w:p>
    <w:p>
      <w:pPr>
        <w:ind w:left="1000" w:hanging="344"/>
        <w:spacing w:after="0"/>
        <w:tabs>
          <w:tab w:leader="none" w:pos="1000" w:val="left"/>
        </w:tabs>
        <w:numPr>
          <w:ilvl w:val="0"/>
          <w:numId w:val="137"/>
        </w:numPr>
        <w:rPr>
          <w:rFonts w:ascii="Arial" w:cs="Arial" w:eastAsia="Arial" w:hAnsi="Arial"/>
          <w:sz w:val="22"/>
          <w:szCs w:val="22"/>
          <w:color w:val="010000"/>
        </w:rPr>
      </w:pPr>
      <w:r>
        <w:rPr>
          <w:rFonts w:ascii="Arial" w:cs="Arial" w:eastAsia="Arial" w:hAnsi="Arial"/>
          <w:sz w:val="22"/>
          <w:szCs w:val="22"/>
          <w:u w:val="single" w:color="auto"/>
          <w:color w:val="auto"/>
        </w:rPr>
        <w:t>VESTING AND SETTLEMENT OF PERFORMANCE UNITS</w:t>
      </w:r>
      <w:r>
        <w:rPr>
          <w:rFonts w:ascii="Arial" w:cs="Arial" w:eastAsia="Arial" w:hAnsi="Arial"/>
          <w:sz w:val="22"/>
          <w:szCs w:val="22"/>
          <w:color w:val="auto"/>
        </w:rPr>
        <w:t>.</w:t>
      </w:r>
    </w:p>
    <w:p>
      <w:pPr>
        <w:spacing w:after="0" w:line="233" w:lineRule="exact"/>
        <w:rPr>
          <w:sz w:val="20"/>
          <w:szCs w:val="20"/>
          <w:color w:val="auto"/>
        </w:rPr>
      </w:pPr>
    </w:p>
    <w:p>
      <w:pPr>
        <w:ind w:right="80" w:firstLine="656"/>
        <w:spacing w:after="0" w:line="251" w:lineRule="auto"/>
        <w:tabs>
          <w:tab w:leader="none" w:pos="1122" w:val="left"/>
        </w:tabs>
        <w:numPr>
          <w:ilvl w:val="0"/>
          <w:numId w:val="138"/>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xml:space="preserve">. Subject to the Participant’s continuous employment with the Company through the last day of the Performance Period and subject to the certification by the Committee of the performance level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Participant shall become vested in the number of Performance Units that are earned. Performance Units that have vested in accordance with this Section 2 are referred to herein as “Vested Units.” Performance Units that are not vested are referred to herein as “Unvested Units.”</w:t>
      </w:r>
    </w:p>
    <w:p>
      <w:pPr>
        <w:spacing w:after="0" w:line="189" w:lineRule="exact"/>
        <w:rPr>
          <w:rFonts w:ascii="Arial" w:cs="Arial" w:eastAsia="Arial" w:hAnsi="Arial"/>
          <w:sz w:val="22"/>
          <w:szCs w:val="22"/>
          <w:color w:val="010000"/>
        </w:rPr>
      </w:pPr>
    </w:p>
    <w:p>
      <w:pPr>
        <w:ind w:right="140" w:firstLine="656"/>
        <w:spacing w:after="0" w:line="300" w:lineRule="auto"/>
        <w:tabs>
          <w:tab w:leader="none" w:pos="1134" w:val="left"/>
        </w:tabs>
        <w:numPr>
          <w:ilvl w:val="0"/>
          <w:numId w:val="138"/>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xml:space="preserve">. If the Participant’s employment with the Company terminates due to Disability or death, the Performance Units shall become immediately vested on a prorated basis, based on the portion of the Performance Period that has elapsed prior to the date of termination, determined in accordance with the Company’s administrative practices, and thereafter be considered Vested Units; provided that the number of Performance Units earned shall be determined at the end of the Performance Period based on the actual performance level achieved,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7" w:lineRule="exact"/>
        <w:rPr>
          <w:rFonts w:ascii="Arial" w:cs="Arial" w:eastAsia="Arial" w:hAnsi="Arial"/>
          <w:sz w:val="19"/>
          <w:szCs w:val="19"/>
          <w:color w:val="010000"/>
        </w:rPr>
      </w:pPr>
    </w:p>
    <w:p>
      <w:pPr>
        <w:ind w:right="60" w:firstLine="656"/>
        <w:spacing w:after="0" w:line="292" w:lineRule="auto"/>
        <w:tabs>
          <w:tab w:leader="none" w:pos="1122" w:val="left"/>
        </w:tabs>
        <w:numPr>
          <w:ilvl w:val="0"/>
          <w:numId w:val="138"/>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occurrence of a Change in Control, the Participant shall, with respect to all outstanding, unvested Performance Units held by the Participant immediately prior to the Change in Control, be deemed to have satisfied the performance criteria, as set forth in Exhibit A, based on actual performance through the date of the Change in Control, and following the Change in Control the Performance Units shall continue to vest based upon the service vesting requirements of Sections 2(a) and 2(b). If the Participant’s employment with the Company is terminated within a period of twenty-four (24) months following the Change in Control (i) by the Company other than for Cause or (ii) by the Participant for Good Reason (as such terms are defined herein below or in the Plan), the Performance Units shall become immediately and fully vested and thereafter be considered Vested Units, and shall be paid to the Participant not later than thirty (30) days after the date of such termination.</w:t>
      </w:r>
    </w:p>
    <w:p>
      <w:pPr>
        <w:spacing w:after="0" w:line="155" w:lineRule="exact"/>
        <w:rPr>
          <w:rFonts w:ascii="Arial" w:cs="Arial" w:eastAsia="Arial" w:hAnsi="Arial"/>
          <w:sz w:val="19"/>
          <w:szCs w:val="19"/>
          <w:color w:val="010000"/>
        </w:rPr>
      </w:pPr>
    </w:p>
    <w:p>
      <w:pPr>
        <w:ind w:right="100" w:firstLine="656"/>
        <w:spacing w:after="0" w:line="358" w:lineRule="auto"/>
        <w:tabs>
          <w:tab w:leader="none" w:pos="1134" w:val="left"/>
        </w:tabs>
        <w:numPr>
          <w:ilvl w:val="0"/>
          <w:numId w:val="138"/>
        </w:numPr>
        <w:rPr>
          <w:rFonts w:ascii="Arial" w:cs="Arial" w:eastAsia="Arial" w:hAnsi="Arial"/>
          <w:sz w:val="19"/>
          <w:szCs w:val="19"/>
          <w:color w:val="010000"/>
        </w:rPr>
      </w:pPr>
      <w:r>
        <w:rPr>
          <w:rFonts w:ascii="Arial" w:cs="Arial" w:eastAsia="Arial" w:hAnsi="Arial"/>
          <w:sz w:val="19"/>
          <w:szCs w:val="19"/>
          <w:u w:val="single" w:color="auto"/>
          <w:color w:val="auto"/>
        </w:rPr>
        <w:t>Termination of Unvested Units</w:t>
      </w:r>
      <w:r>
        <w:rPr>
          <w:rFonts w:ascii="Arial" w:cs="Arial" w:eastAsia="Arial" w:hAnsi="Arial"/>
          <w:sz w:val="19"/>
          <w:szCs w:val="19"/>
          <w:color w:val="auto"/>
        </w:rPr>
        <w:t>. Except as set forth in Sections 2(b) and 2(c), upon the termination of the Participant’s employment, any then Unvested Units held by the Participant shall be forfeited and canceled as of the date of such termination.</w:t>
      </w:r>
    </w:p>
    <w:p>
      <w:pPr>
        <w:spacing w:after="0" w:line="90" w:lineRule="exact"/>
        <w:rPr>
          <w:rFonts w:ascii="Arial" w:cs="Arial" w:eastAsia="Arial" w:hAnsi="Arial"/>
          <w:sz w:val="19"/>
          <w:szCs w:val="19"/>
          <w:color w:val="010000"/>
        </w:rPr>
      </w:pPr>
    </w:p>
    <w:p>
      <w:pPr>
        <w:ind w:right="260" w:firstLine="656"/>
        <w:spacing w:after="0" w:line="260" w:lineRule="auto"/>
        <w:tabs>
          <w:tab w:leader="none" w:pos="1122" w:val="left"/>
        </w:tabs>
        <w:numPr>
          <w:ilvl w:val="0"/>
          <w:numId w:val="138"/>
        </w:numPr>
        <w:rPr>
          <w:rFonts w:ascii="Arial" w:cs="Arial" w:eastAsia="Arial" w:hAnsi="Arial"/>
          <w:sz w:val="22"/>
          <w:szCs w:val="22"/>
          <w:color w:val="010000"/>
        </w:rPr>
      </w:pPr>
      <w:r>
        <w:rPr>
          <w:rFonts w:ascii="Arial" w:cs="Arial" w:eastAsia="Arial" w:hAnsi="Arial"/>
          <w:sz w:val="22"/>
          <w:szCs w:val="22"/>
          <w:u w:val="single" w:color="auto"/>
          <w:color w:val="auto"/>
        </w:rPr>
        <w:t>Settlement of Vested Units</w:t>
      </w:r>
      <w:r>
        <w:rPr>
          <w:rFonts w:ascii="Arial" w:cs="Arial" w:eastAsia="Arial" w:hAnsi="Arial"/>
          <w:sz w:val="22"/>
          <w:szCs w:val="22"/>
          <w:color w:val="auto"/>
        </w:rPr>
        <w:t>. The Vested Units shall be settled by the delivery of a cash payment equal to $1.00 times the number of Vested Units to the Participant or a designated brokerage firm within 2½ months after the last day of the Performance Period or, if earlier, in accordance with Section 2(b).</w:t>
      </w:r>
    </w:p>
    <w:p>
      <w:pPr>
        <w:sectPr>
          <w:pgSz w:w="11900" w:h="16838" w:orient="portrait"/>
          <w:cols w:equalWidth="0" w:num="1">
            <w:col w:w="11420"/>
          </w:cols>
          <w:pgMar w:left="240" w:top="126" w:right="239" w:bottom="261" w:gutter="0" w:footer="0" w:header="0"/>
        </w:sectPr>
      </w:pPr>
    </w:p>
    <w:bookmarkStart w:id="117" w:name="page118"/>
    <w:bookmarkEnd w:id="117"/>
    <w:p>
      <w:pPr>
        <w:ind w:left="-656" w:right="60" w:firstLine="656"/>
        <w:spacing w:after="0" w:line="260" w:lineRule="auto"/>
        <w:tabs>
          <w:tab w:leader="none" w:pos="334" w:val="left"/>
        </w:tabs>
        <w:numPr>
          <w:ilvl w:val="0"/>
          <w:numId w:val="139"/>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3, the Award may be exercised or settled during the Participant’s lifetime only by the Participant or the Participant’s legal representative or similar person. Except as permitted by this Section 3,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left="-656" w:firstLine="656"/>
        <w:spacing w:after="0" w:line="287" w:lineRule="auto"/>
        <w:tabs>
          <w:tab w:leader="none" w:pos="334" w:val="left"/>
        </w:tabs>
        <w:numPr>
          <w:ilvl w:val="0"/>
          <w:numId w:val="139"/>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left="-656" w:right="40" w:firstLine="656"/>
        <w:spacing w:after="0" w:line="251" w:lineRule="auto"/>
        <w:tabs>
          <w:tab w:leader="none" w:pos="334" w:val="left"/>
        </w:tabs>
        <w:numPr>
          <w:ilvl w:val="0"/>
          <w:numId w:val="139"/>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656" w:right="120" w:firstLine="656"/>
        <w:spacing w:after="0" w:line="276" w:lineRule="auto"/>
        <w:tabs>
          <w:tab w:leader="none" w:pos="334" w:val="left"/>
        </w:tabs>
        <w:numPr>
          <w:ilvl w:val="0"/>
          <w:numId w:val="139"/>
        </w:numPr>
        <w:rPr>
          <w:rFonts w:ascii="Arial" w:cs="Arial" w:eastAsia="Arial" w:hAnsi="Arial"/>
          <w:sz w:val="22"/>
          <w:szCs w:val="22"/>
          <w:color w:val="010000"/>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This Award shall not entitle the Participant to any privileges of ownership of shares of Common Stock.</w:t>
      </w:r>
    </w:p>
    <w:p>
      <w:pPr>
        <w:spacing w:after="0" w:line="160" w:lineRule="exact"/>
        <w:rPr>
          <w:rFonts w:ascii="Arial" w:cs="Arial" w:eastAsia="Arial" w:hAnsi="Arial"/>
          <w:sz w:val="22"/>
          <w:szCs w:val="22"/>
          <w:color w:val="010000"/>
        </w:rPr>
      </w:pPr>
    </w:p>
    <w:p>
      <w:pPr>
        <w:ind w:left="-656" w:right="240" w:firstLine="656"/>
        <w:spacing w:after="0" w:line="301" w:lineRule="auto"/>
        <w:tabs>
          <w:tab w:leader="none" w:pos="334" w:val="left"/>
        </w:tabs>
        <w:numPr>
          <w:ilvl w:val="0"/>
          <w:numId w:val="139"/>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656" w:right="60" w:firstLine="656"/>
        <w:spacing w:after="0" w:line="358" w:lineRule="auto"/>
        <w:tabs>
          <w:tab w:leader="none" w:pos="334" w:val="left"/>
        </w:tabs>
        <w:numPr>
          <w:ilvl w:val="0"/>
          <w:numId w:val="139"/>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withhold from any payment to the Participant under this Agreement, the amount necessary to satisfy any federal, state, local or other taxes that may be required to be withheld in connection with the Award.</w:t>
      </w:r>
    </w:p>
    <w:p>
      <w:pPr>
        <w:spacing w:after="0" w:line="90" w:lineRule="exact"/>
        <w:rPr>
          <w:rFonts w:ascii="Arial" w:cs="Arial" w:eastAsia="Arial" w:hAnsi="Arial"/>
          <w:sz w:val="19"/>
          <w:szCs w:val="19"/>
          <w:color w:val="010000"/>
        </w:rPr>
      </w:pPr>
    </w:p>
    <w:p>
      <w:pPr>
        <w:ind w:left="-656" w:right="320" w:firstLine="656"/>
        <w:spacing w:after="0" w:line="276" w:lineRule="auto"/>
        <w:tabs>
          <w:tab w:leader="none" w:pos="334" w:val="left"/>
        </w:tabs>
        <w:numPr>
          <w:ilvl w:val="0"/>
          <w:numId w:val="139"/>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656" w:right="200" w:firstLine="656"/>
        <w:spacing w:after="0" w:line="266" w:lineRule="auto"/>
        <w:tabs>
          <w:tab w:leader="none" w:pos="442" w:val="left"/>
        </w:tabs>
        <w:numPr>
          <w:ilvl w:val="0"/>
          <w:numId w:val="139"/>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left="-656" w:right="40" w:firstLine="656"/>
        <w:spacing w:after="0" w:line="320" w:lineRule="auto"/>
        <w:tabs>
          <w:tab w:leader="none" w:pos="434" w:val="left"/>
        </w:tabs>
        <w:numPr>
          <w:ilvl w:val="0"/>
          <w:numId w:val="139"/>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25" w:lineRule="exact"/>
        <w:rPr>
          <w:rFonts w:ascii="Arial" w:cs="Arial" w:eastAsia="Arial" w:hAnsi="Arial"/>
          <w:sz w:val="19"/>
          <w:szCs w:val="19"/>
          <w:color w:val="010000"/>
        </w:rPr>
      </w:pPr>
    </w:p>
    <w:p>
      <w:pPr>
        <w:ind w:left="-656" w:right="680" w:firstLine="656"/>
        <w:spacing w:after="0" w:line="260" w:lineRule="auto"/>
        <w:tabs>
          <w:tab w:leader="none" w:pos="442" w:val="left"/>
        </w:tabs>
        <w:numPr>
          <w:ilvl w:val="0"/>
          <w:numId w:val="139"/>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pacing w:after="0" w:line="177" w:lineRule="exact"/>
        <w:rPr>
          <w:rFonts w:ascii="Arial" w:cs="Arial" w:eastAsia="Arial" w:hAnsi="Arial"/>
          <w:sz w:val="22"/>
          <w:szCs w:val="22"/>
          <w:color w:val="010000"/>
        </w:rPr>
      </w:pPr>
    </w:p>
    <w:p>
      <w:pPr>
        <w:ind w:left="-656" w:right="60" w:firstLine="656"/>
        <w:spacing w:after="0" w:line="300" w:lineRule="auto"/>
        <w:tabs>
          <w:tab w:leader="none" w:pos="442" w:val="left"/>
        </w:tabs>
        <w:numPr>
          <w:ilvl w:val="0"/>
          <w:numId w:val="139"/>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w:t>
      </w:r>
    </w:p>
    <w:p>
      <w:pPr>
        <w:sectPr>
          <w:pgSz w:w="11900" w:h="16838" w:orient="portrait"/>
          <w:cols w:equalWidth="0" w:num="1">
            <w:col w:w="10744"/>
          </w:cols>
          <w:pgMar w:left="896" w:top="131" w:right="259" w:bottom="0" w:gutter="0" w:footer="0" w:header="0"/>
        </w:sectPr>
      </w:pPr>
    </w:p>
    <w:bookmarkStart w:id="118" w:name="page119"/>
    <w:bookmarkEnd w:id="118"/>
    <w:p>
      <w:pPr>
        <w:ind w:right="20"/>
        <w:spacing w:after="0" w:line="288" w:lineRule="auto"/>
        <w:rPr>
          <w:sz w:val="20"/>
          <w:szCs w:val="20"/>
          <w:color w:val="auto"/>
        </w:rPr>
      </w:pPr>
      <w:r>
        <w:rPr>
          <w:rFonts w:ascii="Arial" w:cs="Arial" w:eastAsia="Arial" w:hAnsi="Arial"/>
          <w:sz w:val="19"/>
          <w:szCs w:val="19"/>
          <w:color w:val="auto"/>
        </w:rPr>
        <w:t>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60" w:lineRule="exact"/>
        <w:rPr>
          <w:sz w:val="20"/>
          <w:szCs w:val="20"/>
          <w:color w:val="auto"/>
        </w:rPr>
      </w:pPr>
    </w:p>
    <w:p>
      <w:pPr>
        <w:ind w:right="120" w:firstLine="656"/>
        <w:spacing w:after="0" w:line="276" w:lineRule="auto"/>
        <w:tabs>
          <w:tab w:leader="none" w:pos="1098" w:val="left"/>
        </w:tabs>
        <w:numPr>
          <w:ilvl w:val="0"/>
          <w:numId w:val="140"/>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0"/>
          <w:numId w:val="140"/>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140"/>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5" w:lineRule="exact"/>
        <w:rPr>
          <w:sz w:val="20"/>
          <w:szCs w:val="20"/>
          <w:color w:val="auto"/>
        </w:rPr>
      </w:pPr>
    </w:p>
    <w:p>
      <w:pPr>
        <w:ind w:right="20" w:firstLine="656"/>
        <w:spacing w:after="0" w:line="250" w:lineRule="auto"/>
        <w:tabs>
          <w:tab w:leader="none" w:pos="1122" w:val="left"/>
        </w:tabs>
        <w:numPr>
          <w:ilvl w:val="1"/>
          <w:numId w:val="141"/>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8" w:lineRule="exact"/>
        <w:rPr>
          <w:rFonts w:ascii="Arial" w:cs="Arial" w:eastAsia="Arial" w:hAnsi="Arial"/>
          <w:sz w:val="22"/>
          <w:szCs w:val="22"/>
          <w:color w:val="010000"/>
        </w:rPr>
      </w:pPr>
    </w:p>
    <w:p>
      <w:pPr>
        <w:ind w:right="240" w:firstLine="656"/>
        <w:spacing w:after="0" w:line="254" w:lineRule="auto"/>
        <w:tabs>
          <w:tab w:leader="none" w:pos="1134" w:val="left"/>
        </w:tabs>
        <w:numPr>
          <w:ilvl w:val="1"/>
          <w:numId w:val="141"/>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656"/>
        <w:spacing w:after="0" w:line="288" w:lineRule="auto"/>
        <w:tabs>
          <w:tab w:leader="none" w:pos="1122" w:val="left"/>
        </w:tabs>
        <w:numPr>
          <w:ilvl w:val="1"/>
          <w:numId w:val="141"/>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Performance Award Agreement on the day and year first above written.</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4114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5486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w:t>
      </w:r>
    </w:p>
    <w:p>
      <w:pPr>
        <w:sectPr>
          <w:pgSz w:w="11900" w:h="16838" w:orient="portrait"/>
          <w:cols w:equalWidth="0" w:num="1">
            <w:col w:w="11420"/>
          </w:cols>
          <w:pgMar w:left="240" w:top="131" w:right="239" w:bottom="0" w:gutter="0" w:footer="0" w:header="0"/>
          <w:type w:val="continuous"/>
        </w:sectPr>
      </w:pPr>
    </w:p>
    <w:bookmarkStart w:id="119" w:name="page120"/>
    <w:bookmarkEnd w:id="119"/>
    <w:p>
      <w:pPr>
        <w:ind w:left="39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2627630</wp:posOffset>
            </wp:positionH>
            <wp:positionV relativeFrom="page">
              <wp:posOffset>389255</wp:posOffset>
            </wp:positionV>
            <wp:extent cx="5486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48640" cy="8890"/>
                    </a:xfrm>
                    <a:prstGeom prst="rect">
                      <a:avLst/>
                    </a:prstGeom>
                    <a:noFill/>
                  </pic:spPr>
                </pic:pic>
              </a:graphicData>
            </a:graphic>
          </wp:anchor>
        </w:drawing>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5486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420" w:type="dxa"/>
            <w:vAlign w:val="bottom"/>
            <w:gridSpan w:val="2"/>
          </w:tcPr>
          <w:p>
            <w:pPr>
              <w:ind w:left="5260"/>
              <w:spacing w:after="0"/>
              <w:rPr>
                <w:sz w:val="20"/>
                <w:szCs w:val="20"/>
                <w:color w:val="auto"/>
              </w:rPr>
            </w:pPr>
            <w:r>
              <w:rPr>
                <w:rFonts w:ascii="Arial" w:cs="Arial" w:eastAsia="Arial" w:hAnsi="Arial"/>
                <w:sz w:val="22"/>
                <w:szCs w:val="22"/>
                <w:b w:val="1"/>
                <w:bCs w:val="1"/>
                <w:color w:val="auto"/>
              </w:rPr>
              <w:t>Exhibit A</w:t>
            </w:r>
          </w:p>
        </w:tc>
      </w:tr>
      <w:tr>
        <w:trPr>
          <w:trHeight w:val="986"/>
        </w:trPr>
        <w:tc>
          <w:tcPr>
            <w:tcW w:w="5660" w:type="dxa"/>
            <w:vAlign w:val="bottom"/>
          </w:tcPr>
          <w:p>
            <w:pPr>
              <w:spacing w:after="0"/>
              <w:rPr>
                <w:sz w:val="20"/>
                <w:szCs w:val="20"/>
                <w:color w:val="auto"/>
              </w:rPr>
            </w:pPr>
            <w:r>
              <w:rPr>
                <w:rFonts w:ascii="Arial" w:cs="Arial" w:eastAsia="Arial" w:hAnsi="Arial"/>
                <w:sz w:val="22"/>
                <w:szCs w:val="22"/>
                <w:color w:val="auto"/>
              </w:rPr>
              <w:t>Target Number of Performance Awards: ________</w:t>
            </w:r>
          </w:p>
        </w:tc>
        <w:tc>
          <w:tcPr>
            <w:tcW w:w="5760" w:type="dxa"/>
            <w:vAlign w:val="bottom"/>
          </w:tcPr>
          <w:p>
            <w:pPr>
              <w:spacing w:after="0"/>
              <w:rPr>
                <w:sz w:val="24"/>
                <w:szCs w:val="24"/>
                <w:color w:val="auto"/>
              </w:rPr>
            </w:pPr>
          </w:p>
        </w:tc>
      </w:tr>
      <w:tr>
        <w:trPr>
          <w:trHeight w:val="382"/>
        </w:trPr>
        <w:tc>
          <w:tcPr>
            <w:tcW w:w="566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97"/>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w w:val="92"/>
              </w:rPr>
              <w:t>Percentile Rank of Company’s TSR Performance Among</w:t>
            </w:r>
          </w:p>
        </w:tc>
        <w:tc>
          <w:tcPr>
            <w:tcW w:w="5760" w:type="dxa"/>
            <w:vAlign w:val="bottom"/>
            <w:shd w:val="clear" w:color="auto" w:fill="DE3B21"/>
          </w:tcPr>
          <w:p>
            <w:pPr>
              <w:ind w:left="220"/>
              <w:spacing w:after="0"/>
              <w:rPr>
                <w:sz w:val="20"/>
                <w:szCs w:val="20"/>
                <w:color w:val="auto"/>
              </w:rPr>
            </w:pPr>
            <w:r>
              <w:rPr>
                <w:rFonts w:ascii="Arial" w:cs="Arial" w:eastAsia="Arial" w:hAnsi="Arial"/>
                <w:sz w:val="22"/>
                <w:szCs w:val="22"/>
                <w:b w:val="1"/>
                <w:bCs w:val="1"/>
                <w:color w:val="auto"/>
              </w:rPr>
              <w:t>Payout as a Percentage of Target</w:t>
            </w:r>
          </w:p>
        </w:tc>
      </w:tr>
      <w:tr>
        <w:trPr>
          <w:trHeight w:val="281"/>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rPr>
              <w:t>TSR Comparator Group Over Performance Period</w:t>
            </w:r>
          </w:p>
        </w:tc>
        <w:tc>
          <w:tcPr>
            <w:tcW w:w="5760" w:type="dxa"/>
            <w:vAlign w:val="bottom"/>
            <w:shd w:val="clear" w:color="auto" w:fill="DE3B21"/>
          </w:tcPr>
          <w:p>
            <w:pPr>
              <w:spacing w:after="0"/>
              <w:rPr>
                <w:sz w:val="24"/>
                <w:szCs w:val="24"/>
                <w:color w:val="auto"/>
              </w:rPr>
            </w:pPr>
          </w:p>
        </w:tc>
      </w:tr>
      <w:tr>
        <w:trPr>
          <w:trHeight w:val="139"/>
        </w:trPr>
        <w:tc>
          <w:tcPr>
            <w:tcW w:w="5660" w:type="dxa"/>
            <w:vAlign w:val="bottom"/>
            <w:shd w:val="clear" w:color="auto" w:fill="DE3B21"/>
          </w:tcPr>
          <w:p>
            <w:pPr>
              <w:spacing w:after="0"/>
              <w:rPr>
                <w:sz w:val="12"/>
                <w:szCs w:val="12"/>
                <w:color w:val="auto"/>
              </w:rPr>
            </w:pPr>
          </w:p>
        </w:tc>
        <w:tc>
          <w:tcPr>
            <w:tcW w:w="5760" w:type="dxa"/>
            <w:vAlign w:val="bottom"/>
            <w:shd w:val="clear" w:color="auto" w:fill="DE3B21"/>
          </w:tcPr>
          <w:p>
            <w:pPr>
              <w:spacing w:after="0"/>
              <w:rPr>
                <w:sz w:val="12"/>
                <w:szCs w:val="12"/>
                <w:color w:val="auto"/>
              </w:rPr>
            </w:pPr>
          </w:p>
        </w:tc>
      </w:tr>
      <w:tr>
        <w:trPr>
          <w:trHeight w:val="473"/>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&lt;33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50%</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100%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125%</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70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150%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-2211705</wp:posOffset>
            </wp:positionV>
            <wp:extent cx="7254875" cy="2221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54875" cy="2221230"/>
                    </a:xfrm>
                    <a:prstGeom prst="rect">
                      <a:avLst/>
                    </a:prstGeom>
                    <a:noFill/>
                  </pic:spPr>
                </pic:pic>
              </a:graphicData>
            </a:graphic>
          </wp:anchor>
        </w:drawing>
      </w:r>
    </w:p>
    <w:p>
      <w:pPr>
        <w:spacing w:after="0" w:line="242" w:lineRule="exact"/>
        <w:rPr>
          <w:sz w:val="20"/>
          <w:szCs w:val="20"/>
          <w:color w:val="auto"/>
        </w:rPr>
      </w:pPr>
    </w:p>
    <w:p>
      <w:pPr>
        <w:jc w:val="both"/>
        <w:ind w:right="660"/>
        <w:spacing w:after="0" w:line="335" w:lineRule="auto"/>
        <w:rPr>
          <w:sz w:val="20"/>
          <w:szCs w:val="20"/>
          <w:color w:val="auto"/>
        </w:rPr>
      </w:pPr>
      <w:r>
        <w:rPr>
          <w:rFonts w:ascii="Arial" w:cs="Arial" w:eastAsia="Arial" w:hAnsi="Arial"/>
          <w:sz w:val="19"/>
          <w:szCs w:val="19"/>
          <w:color w:val="auto"/>
        </w:rPr>
        <w:t>The payout shall be interpolated on a linear basis between 50% and 200% of target to the extent the TSR Performance of the Company is greater than the 33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percentile and less than the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among the Company’s TSR Comparator Group.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Award:</w:t>
      </w:r>
    </w:p>
    <w:p>
      <w:pPr>
        <w:spacing w:after="0" w:line="260" w:lineRule="exact"/>
        <w:rPr>
          <w:sz w:val="20"/>
          <w:szCs w:val="20"/>
          <w:color w:val="auto"/>
        </w:rPr>
      </w:pPr>
    </w:p>
    <w:p>
      <w:pPr>
        <w:ind w:right="26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Price</w:t>
      </w:r>
      <w:r>
        <w:rPr>
          <w:rFonts w:ascii="Arial" w:cs="Arial" w:eastAsia="Arial" w:hAnsi="Arial"/>
          <w:sz w:val="21"/>
          <w:szCs w:val="21"/>
          <w:color w:val="auto"/>
        </w:rPr>
        <w:t>” means the closing transaction price of a share of common stock of a company, as reported on the principal national stock exchange on which such common stock is traded, for the day on which the Stock Price is being determined, or if no such shares are traded on such day, the most recent day on which such shares were traded.</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Comparator Group</w:t>
      </w:r>
      <w:r>
        <w:rPr>
          <w:rFonts w:ascii="Arial" w:cs="Arial" w:eastAsia="Arial" w:hAnsi="Arial"/>
          <w:sz w:val="21"/>
          <w:szCs w:val="21"/>
          <w:color w:val="auto"/>
        </w:rPr>
        <w:t>” means an index of restaurant companies approved by the Committee at the beginning of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adjusted in accordance with the guidelines set forth below:</w:t>
      </w:r>
    </w:p>
    <w:p>
      <w:pPr>
        <w:spacing w:after="0" w:line="242" w:lineRule="exact"/>
        <w:rPr>
          <w:sz w:val="20"/>
          <w:szCs w:val="20"/>
          <w:color w:val="auto"/>
        </w:rPr>
      </w:pPr>
    </w:p>
    <w:p>
      <w:pPr>
        <w:ind w:left="660" w:right="20" w:hanging="4"/>
        <w:spacing w:after="0" w:line="263" w:lineRule="auto"/>
        <w:tabs>
          <w:tab w:leader="none" w:pos="91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If two indexed companies merge, the performance of the combined companies is tracked for balance of the Performance Period.</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an indexed company is acquired by a non-indexed company, the acquired company is excluded from the calculation.</w:t>
      </w:r>
    </w:p>
    <w:p>
      <w:pPr>
        <w:spacing w:after="0" w:line="294" w:lineRule="exact"/>
        <w:rPr>
          <w:rFonts w:ascii="Arial" w:cs="Arial" w:eastAsia="Arial" w:hAnsi="Arial"/>
          <w:sz w:val="19"/>
          <w:szCs w:val="19"/>
          <w:color w:val="auto"/>
        </w:rPr>
      </w:pPr>
    </w:p>
    <w:p>
      <w:pPr>
        <w:ind w:left="1040" w:hanging="384"/>
        <w:spacing w:after="0"/>
        <w:tabs>
          <w:tab w:leader="none" w:pos="10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If an indexed company becomes insolvent, it is included as zero at the bottom of the ranking.</w:t>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Performance</w:t>
      </w:r>
      <w:r>
        <w:rPr>
          <w:rFonts w:ascii="Arial" w:cs="Arial" w:eastAsia="Arial" w:hAnsi="Arial"/>
          <w:sz w:val="22"/>
          <w:szCs w:val="22"/>
          <w:color w:val="auto"/>
        </w:rPr>
        <w:t>” means a company’s cumulative total shareholder return as measured by dividing (A) the sum of (i) the cumulative amount of dividends for the Performance Period and (ii) the increase or decrease in the Stock Price from the first day of the Performance Period to the last day of the Performance Period, by (B) the Stock Price determined as of the first day of the Performance Period.</w:t>
      </w:r>
    </w:p>
    <w:p>
      <w:pPr>
        <w:sectPr>
          <w:pgSz w:w="11900" w:h="16838" w:orient="portrait"/>
          <w:cols w:equalWidth="0" w:num="1">
            <w:col w:w="11420"/>
          </w:cols>
          <w:pgMar w:left="240" w:top="65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10.16</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Award Agreement – Employees – Double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PERFORMANCE AWARD AGREEMENT </w:t>
      </w:r>
      <w:r>
        <w:rPr>
          <w:rFonts w:ascii="Arial" w:cs="Arial" w:eastAsia="Arial" w:hAnsi="Arial"/>
          <w:sz w:val="19"/>
          <w:szCs w:val="19"/>
          <w:color w:val="auto"/>
        </w:rPr>
        <w:t>(the “Agreement”) is entered into as of ___________, by and between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DINE BRANDS GLOBAL, INC. </w:t>
      </w:r>
      <w:r>
        <w:rPr>
          <w:rFonts w:ascii="Arial" w:cs="Arial" w:eastAsia="Arial" w:hAnsi="Arial"/>
          <w:sz w:val="19"/>
          <w:szCs w:val="19"/>
          <w:color w:val="auto"/>
        </w:rPr>
        <w:t>(formerly, DineEquity, Inc.), a Delaware corporation (the “Company”), and ___________, an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employee of the 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Participant is to be granted a Performance Award (the “Award”) payable in the form of cash on the terms and conditions set forth herein.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94" w:lineRule="auto"/>
        <w:tabs>
          <w:tab w:leader="none" w:pos="1459"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GRANT OF PERFORMANCE UNITS</w:t>
      </w:r>
      <w:r>
        <w:rPr>
          <w:rFonts w:ascii="Arial" w:cs="Arial" w:eastAsia="Arial" w:hAnsi="Arial"/>
          <w:sz w:val="19"/>
          <w:szCs w:val="19"/>
          <w:color w:val="auto"/>
        </w:rPr>
        <w:t xml:space="preserve">. Subject to the attainment of the performance goals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Participant is entitled to that number of performance units (“Performance Units”)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subject to the terms and conditions of this Agreement. Each Performance Unit shall have a value of $1.00. At the end of the three-year performance period beginning on [______] and ending on [______] (the “Performance Period”), the Committee shall determine the total number of Performance Units payable pursuant to the Award in accordance with the two Performance Unit matrices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the Committee’s determination of the applicable performance levels.</w:t>
      </w:r>
    </w:p>
    <w:p>
      <w:pPr>
        <w:spacing w:after="0" w:line="149" w:lineRule="exact"/>
        <w:rPr>
          <w:rFonts w:ascii="Arial" w:cs="Arial" w:eastAsia="Arial" w:hAnsi="Arial"/>
          <w:sz w:val="19"/>
          <w:szCs w:val="19"/>
          <w:color w:val="010000"/>
        </w:rPr>
      </w:pPr>
    </w:p>
    <w:p>
      <w:pPr>
        <w:ind w:left="1000" w:hanging="344"/>
        <w:spacing w:after="0"/>
        <w:tabs>
          <w:tab w:leader="none" w:pos="1000" w:val="left"/>
        </w:tabs>
        <w:numPr>
          <w:ilvl w:val="0"/>
          <w:numId w:val="144"/>
        </w:numPr>
        <w:rPr>
          <w:rFonts w:ascii="Arial" w:cs="Arial" w:eastAsia="Arial" w:hAnsi="Arial"/>
          <w:sz w:val="22"/>
          <w:szCs w:val="22"/>
          <w:color w:val="010000"/>
        </w:rPr>
      </w:pPr>
      <w:r>
        <w:rPr>
          <w:rFonts w:ascii="Arial" w:cs="Arial" w:eastAsia="Arial" w:hAnsi="Arial"/>
          <w:sz w:val="22"/>
          <w:szCs w:val="22"/>
          <w:u w:val="single" w:color="auto"/>
          <w:color w:val="auto"/>
        </w:rPr>
        <w:t>VESTING AND SETTLEMENT OF PERFORMANCE UNITS</w:t>
      </w:r>
      <w:r>
        <w:rPr>
          <w:rFonts w:ascii="Arial" w:cs="Arial" w:eastAsia="Arial" w:hAnsi="Arial"/>
          <w:sz w:val="22"/>
          <w:szCs w:val="22"/>
          <w:color w:val="auto"/>
        </w:rPr>
        <w:t>.</w:t>
      </w:r>
    </w:p>
    <w:p>
      <w:pPr>
        <w:spacing w:after="0" w:line="233" w:lineRule="exact"/>
        <w:rPr>
          <w:sz w:val="20"/>
          <w:szCs w:val="20"/>
          <w:color w:val="auto"/>
        </w:rPr>
      </w:pPr>
    </w:p>
    <w:p>
      <w:pPr>
        <w:ind w:right="80" w:firstLine="656"/>
        <w:spacing w:after="0" w:line="251" w:lineRule="auto"/>
        <w:tabs>
          <w:tab w:leader="none" w:pos="1122" w:val="left"/>
        </w:tabs>
        <w:numPr>
          <w:ilvl w:val="0"/>
          <w:numId w:val="145"/>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xml:space="preserve">. Subject to the Participant’s continuous employment with the Company through the last day of the Performance Period and subject to the certification by the Committee of the performance levels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Participant shall become vested in the number of Performance Units that are earned. Performance Units that have vested in accordance with this Section 2 are referred to herein as “Vested Units.” Performance Units that are not vested are referred to herein as “Unvested Units.”</w:t>
      </w:r>
    </w:p>
    <w:p>
      <w:pPr>
        <w:spacing w:after="0" w:line="189" w:lineRule="exact"/>
        <w:rPr>
          <w:rFonts w:ascii="Arial" w:cs="Arial" w:eastAsia="Arial" w:hAnsi="Arial"/>
          <w:sz w:val="22"/>
          <w:szCs w:val="22"/>
          <w:color w:val="010000"/>
        </w:rPr>
      </w:pPr>
    </w:p>
    <w:p>
      <w:pPr>
        <w:ind w:right="140" w:firstLine="656"/>
        <w:spacing w:after="0" w:line="300" w:lineRule="auto"/>
        <w:tabs>
          <w:tab w:leader="none" w:pos="1134" w:val="left"/>
        </w:tabs>
        <w:numPr>
          <w:ilvl w:val="0"/>
          <w:numId w:val="145"/>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xml:space="preserve">. If the Participant’s employment with the Company terminates due to Disability or death, the Performance Units shall become immediately vested on a prorated basis, based on the portion of the Performance Period that has elapsed prior to the date of termination, determined in accordance with the Company’s administrative practices, and thereafter be considered Vested Units; provided that the number of Performance Units earned shall be determined at the end of the Performance Period based on the actual performance levels achieved,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7" w:lineRule="exact"/>
        <w:rPr>
          <w:rFonts w:ascii="Arial" w:cs="Arial" w:eastAsia="Arial" w:hAnsi="Arial"/>
          <w:sz w:val="19"/>
          <w:szCs w:val="19"/>
          <w:color w:val="010000"/>
        </w:rPr>
      </w:pPr>
    </w:p>
    <w:p>
      <w:pPr>
        <w:ind w:right="60" w:firstLine="656"/>
        <w:spacing w:after="0" w:line="292" w:lineRule="auto"/>
        <w:tabs>
          <w:tab w:leader="none" w:pos="1122" w:val="left"/>
        </w:tabs>
        <w:numPr>
          <w:ilvl w:val="0"/>
          <w:numId w:val="145"/>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occurrence of a Change in Control, the Participant shall, with respect to all outstanding, unvested Performance Units held by the Participant immediately prior to the Change in Control, be deemed to have satisfied the performance criteria, as set forth in Exhibit A, based on actual performance through the date of the Change in Control, and following the Change in Control the Performance Units shall continue to vest based upon the service vesting requirements of Sections 2(a) and 2(b). If the Participant’s employment with the Company is terminated within a period of twenty-four (24) months following the Change in Control (i) by the Company other than for Cause or (ii) by the Participant for Good Reason (as such terms are defined herein below or in the Plan), the Performance Units shall become immediately and fully vested and thereafter be considered Vested Units, and shall be paid to the Participant not later than thirty (30) days after the date of such termination.</w:t>
      </w:r>
    </w:p>
    <w:p>
      <w:pPr>
        <w:spacing w:after="0" w:line="155" w:lineRule="exact"/>
        <w:rPr>
          <w:rFonts w:ascii="Arial" w:cs="Arial" w:eastAsia="Arial" w:hAnsi="Arial"/>
          <w:sz w:val="19"/>
          <w:szCs w:val="19"/>
          <w:color w:val="010000"/>
        </w:rPr>
      </w:pPr>
    </w:p>
    <w:p>
      <w:pPr>
        <w:ind w:right="100" w:firstLine="656"/>
        <w:spacing w:after="0" w:line="358" w:lineRule="auto"/>
        <w:tabs>
          <w:tab w:leader="none" w:pos="1134" w:val="left"/>
        </w:tabs>
        <w:numPr>
          <w:ilvl w:val="0"/>
          <w:numId w:val="145"/>
        </w:numPr>
        <w:rPr>
          <w:rFonts w:ascii="Arial" w:cs="Arial" w:eastAsia="Arial" w:hAnsi="Arial"/>
          <w:sz w:val="19"/>
          <w:szCs w:val="19"/>
          <w:color w:val="010000"/>
        </w:rPr>
      </w:pPr>
      <w:r>
        <w:rPr>
          <w:rFonts w:ascii="Arial" w:cs="Arial" w:eastAsia="Arial" w:hAnsi="Arial"/>
          <w:sz w:val="19"/>
          <w:szCs w:val="19"/>
          <w:u w:val="single" w:color="auto"/>
          <w:color w:val="auto"/>
        </w:rPr>
        <w:t>Termination of Unvested Units</w:t>
      </w:r>
      <w:r>
        <w:rPr>
          <w:rFonts w:ascii="Arial" w:cs="Arial" w:eastAsia="Arial" w:hAnsi="Arial"/>
          <w:sz w:val="19"/>
          <w:szCs w:val="19"/>
          <w:color w:val="auto"/>
        </w:rPr>
        <w:t>. Except as set forth in Sections 2(b) and 2(c), upon the termination of the Participant’s employment, any then Unvested Units held by the Participant shall be forfeited and canceled as of the date of such termination.</w:t>
      </w:r>
    </w:p>
    <w:p>
      <w:pPr>
        <w:spacing w:after="0" w:line="90" w:lineRule="exact"/>
        <w:rPr>
          <w:rFonts w:ascii="Arial" w:cs="Arial" w:eastAsia="Arial" w:hAnsi="Arial"/>
          <w:sz w:val="19"/>
          <w:szCs w:val="19"/>
          <w:color w:val="010000"/>
        </w:rPr>
      </w:pPr>
    </w:p>
    <w:p>
      <w:pPr>
        <w:ind w:right="260" w:firstLine="656"/>
        <w:spacing w:after="0" w:line="260" w:lineRule="auto"/>
        <w:tabs>
          <w:tab w:leader="none" w:pos="1122" w:val="left"/>
        </w:tabs>
        <w:numPr>
          <w:ilvl w:val="0"/>
          <w:numId w:val="145"/>
        </w:numPr>
        <w:rPr>
          <w:rFonts w:ascii="Arial" w:cs="Arial" w:eastAsia="Arial" w:hAnsi="Arial"/>
          <w:sz w:val="22"/>
          <w:szCs w:val="22"/>
          <w:color w:val="010000"/>
        </w:rPr>
      </w:pPr>
      <w:r>
        <w:rPr>
          <w:rFonts w:ascii="Arial" w:cs="Arial" w:eastAsia="Arial" w:hAnsi="Arial"/>
          <w:sz w:val="22"/>
          <w:szCs w:val="22"/>
          <w:u w:val="single" w:color="auto"/>
          <w:color w:val="auto"/>
        </w:rPr>
        <w:t>Settlement of Vested Units</w:t>
      </w:r>
      <w:r>
        <w:rPr>
          <w:rFonts w:ascii="Arial" w:cs="Arial" w:eastAsia="Arial" w:hAnsi="Arial"/>
          <w:sz w:val="22"/>
          <w:szCs w:val="22"/>
          <w:color w:val="auto"/>
        </w:rPr>
        <w:t>. The Vested Units shall be settled by the delivery of a cash payment equal to $1.00 times the number of Vested Units to the Participant or a designated brokerage firm within 2½ months after the last day of the Performance Period or, if earlier, in accordance with Section 2(b).</w:t>
      </w:r>
    </w:p>
    <w:p>
      <w:pPr>
        <w:sectPr>
          <w:pgSz w:w="11900" w:h="16838" w:orient="portrait"/>
          <w:cols w:equalWidth="0" w:num="1">
            <w:col w:w="11420"/>
          </w:cols>
          <w:pgMar w:left="240" w:top="125" w:right="239" w:bottom="221" w:gutter="0" w:footer="0" w:header="0"/>
        </w:sectPr>
      </w:pPr>
    </w:p>
    <w:bookmarkStart w:id="121" w:name="page122"/>
    <w:bookmarkEnd w:id="121"/>
    <w:p>
      <w:pPr>
        <w:ind w:left="-656" w:right="60" w:firstLine="656"/>
        <w:spacing w:after="0" w:line="260" w:lineRule="auto"/>
        <w:tabs>
          <w:tab w:leader="none" w:pos="334" w:val="left"/>
        </w:tabs>
        <w:numPr>
          <w:ilvl w:val="0"/>
          <w:numId w:val="146"/>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3, the Award may be exercised or settled during the Participant’s lifetime only by the Participant or the Participant’s legal representative or similar person. Except as permitted by this Section 3,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left="-656" w:firstLine="656"/>
        <w:spacing w:after="0" w:line="287" w:lineRule="auto"/>
        <w:tabs>
          <w:tab w:leader="none" w:pos="334" w:val="left"/>
        </w:tabs>
        <w:numPr>
          <w:ilvl w:val="0"/>
          <w:numId w:val="146"/>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left="-656" w:right="40" w:firstLine="656"/>
        <w:spacing w:after="0" w:line="251" w:lineRule="auto"/>
        <w:tabs>
          <w:tab w:leader="none" w:pos="334" w:val="left"/>
        </w:tabs>
        <w:numPr>
          <w:ilvl w:val="0"/>
          <w:numId w:val="146"/>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656" w:right="120" w:firstLine="656"/>
        <w:spacing w:after="0" w:line="276" w:lineRule="auto"/>
        <w:tabs>
          <w:tab w:leader="none" w:pos="334" w:val="left"/>
        </w:tabs>
        <w:numPr>
          <w:ilvl w:val="0"/>
          <w:numId w:val="146"/>
        </w:numPr>
        <w:rPr>
          <w:rFonts w:ascii="Arial" w:cs="Arial" w:eastAsia="Arial" w:hAnsi="Arial"/>
          <w:sz w:val="22"/>
          <w:szCs w:val="22"/>
          <w:color w:val="010000"/>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This Award shall not entitle the Participant to any privileges of ownership of shares of Common Stock.</w:t>
      </w:r>
    </w:p>
    <w:p>
      <w:pPr>
        <w:spacing w:after="0" w:line="160" w:lineRule="exact"/>
        <w:rPr>
          <w:rFonts w:ascii="Arial" w:cs="Arial" w:eastAsia="Arial" w:hAnsi="Arial"/>
          <w:sz w:val="22"/>
          <w:szCs w:val="22"/>
          <w:color w:val="010000"/>
        </w:rPr>
      </w:pPr>
    </w:p>
    <w:p>
      <w:pPr>
        <w:ind w:left="-656" w:right="240" w:firstLine="656"/>
        <w:spacing w:after="0" w:line="301" w:lineRule="auto"/>
        <w:tabs>
          <w:tab w:leader="none" w:pos="334" w:val="left"/>
        </w:tabs>
        <w:numPr>
          <w:ilvl w:val="0"/>
          <w:numId w:val="146"/>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656" w:right="60" w:firstLine="656"/>
        <w:spacing w:after="0" w:line="358" w:lineRule="auto"/>
        <w:tabs>
          <w:tab w:leader="none" w:pos="334" w:val="left"/>
        </w:tabs>
        <w:numPr>
          <w:ilvl w:val="0"/>
          <w:numId w:val="146"/>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withhold from any payment to the Participant under this Agreement, the amount necessary to satisfy any federal, state, local or other taxes that may be required to be withheld in connection with the Award.</w:t>
      </w:r>
    </w:p>
    <w:p>
      <w:pPr>
        <w:spacing w:after="0" w:line="90" w:lineRule="exact"/>
        <w:rPr>
          <w:rFonts w:ascii="Arial" w:cs="Arial" w:eastAsia="Arial" w:hAnsi="Arial"/>
          <w:sz w:val="19"/>
          <w:szCs w:val="19"/>
          <w:color w:val="010000"/>
        </w:rPr>
      </w:pPr>
    </w:p>
    <w:p>
      <w:pPr>
        <w:ind w:left="-656" w:right="320" w:firstLine="656"/>
        <w:spacing w:after="0" w:line="276" w:lineRule="auto"/>
        <w:tabs>
          <w:tab w:leader="none" w:pos="334" w:val="left"/>
        </w:tabs>
        <w:numPr>
          <w:ilvl w:val="0"/>
          <w:numId w:val="146"/>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656" w:right="200" w:firstLine="656"/>
        <w:spacing w:after="0" w:line="266" w:lineRule="auto"/>
        <w:tabs>
          <w:tab w:leader="none" w:pos="442" w:val="left"/>
        </w:tabs>
        <w:numPr>
          <w:ilvl w:val="0"/>
          <w:numId w:val="146"/>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left="-656" w:right="40" w:firstLine="656"/>
        <w:spacing w:after="0" w:line="320" w:lineRule="auto"/>
        <w:tabs>
          <w:tab w:leader="none" w:pos="434" w:val="left"/>
        </w:tabs>
        <w:numPr>
          <w:ilvl w:val="0"/>
          <w:numId w:val="146"/>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25" w:lineRule="exact"/>
        <w:rPr>
          <w:rFonts w:ascii="Arial" w:cs="Arial" w:eastAsia="Arial" w:hAnsi="Arial"/>
          <w:sz w:val="19"/>
          <w:szCs w:val="19"/>
          <w:color w:val="010000"/>
        </w:rPr>
      </w:pPr>
    </w:p>
    <w:p>
      <w:pPr>
        <w:ind w:left="-656" w:right="680" w:firstLine="656"/>
        <w:spacing w:after="0" w:line="260" w:lineRule="auto"/>
        <w:tabs>
          <w:tab w:leader="none" w:pos="442" w:val="left"/>
        </w:tabs>
        <w:numPr>
          <w:ilvl w:val="0"/>
          <w:numId w:val="146"/>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pacing w:after="0" w:line="177" w:lineRule="exact"/>
        <w:rPr>
          <w:rFonts w:ascii="Arial" w:cs="Arial" w:eastAsia="Arial" w:hAnsi="Arial"/>
          <w:sz w:val="22"/>
          <w:szCs w:val="22"/>
          <w:color w:val="010000"/>
        </w:rPr>
      </w:pPr>
    </w:p>
    <w:p>
      <w:pPr>
        <w:ind w:left="-656" w:right="60" w:firstLine="656"/>
        <w:spacing w:after="0" w:line="300" w:lineRule="auto"/>
        <w:tabs>
          <w:tab w:leader="none" w:pos="442" w:val="left"/>
        </w:tabs>
        <w:numPr>
          <w:ilvl w:val="0"/>
          <w:numId w:val="146"/>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w:t>
      </w:r>
    </w:p>
    <w:p>
      <w:pPr>
        <w:sectPr>
          <w:pgSz w:w="11900" w:h="16838" w:orient="portrait"/>
          <w:cols w:equalWidth="0" w:num="1">
            <w:col w:w="10744"/>
          </w:cols>
          <w:pgMar w:left="896" w:top="132" w:right="259" w:bottom="0" w:gutter="0" w:footer="0" w:header="0"/>
        </w:sectPr>
      </w:pPr>
    </w:p>
    <w:bookmarkStart w:id="122" w:name="page123"/>
    <w:bookmarkEnd w:id="122"/>
    <w:p>
      <w:pPr>
        <w:ind w:right="20"/>
        <w:spacing w:after="0" w:line="288" w:lineRule="auto"/>
        <w:rPr>
          <w:sz w:val="20"/>
          <w:szCs w:val="20"/>
          <w:color w:val="auto"/>
        </w:rPr>
      </w:pPr>
      <w:r>
        <w:rPr>
          <w:rFonts w:ascii="Arial" w:cs="Arial" w:eastAsia="Arial" w:hAnsi="Arial"/>
          <w:sz w:val="19"/>
          <w:szCs w:val="19"/>
          <w:color w:val="auto"/>
        </w:rPr>
        <w:t>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60" w:lineRule="exact"/>
        <w:rPr>
          <w:sz w:val="20"/>
          <w:szCs w:val="20"/>
          <w:color w:val="auto"/>
        </w:rPr>
      </w:pPr>
    </w:p>
    <w:p>
      <w:pPr>
        <w:ind w:right="120" w:firstLine="656"/>
        <w:spacing w:after="0" w:line="276" w:lineRule="auto"/>
        <w:tabs>
          <w:tab w:leader="none" w:pos="1098" w:val="left"/>
        </w:tabs>
        <w:numPr>
          <w:ilvl w:val="0"/>
          <w:numId w:val="14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0"/>
          <w:numId w:val="147"/>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147"/>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5" w:lineRule="exact"/>
        <w:rPr>
          <w:sz w:val="20"/>
          <w:szCs w:val="20"/>
          <w:color w:val="auto"/>
        </w:rPr>
      </w:pPr>
    </w:p>
    <w:p>
      <w:pPr>
        <w:ind w:right="20" w:firstLine="656"/>
        <w:spacing w:after="0" w:line="250" w:lineRule="auto"/>
        <w:tabs>
          <w:tab w:leader="none" w:pos="1122" w:val="left"/>
        </w:tabs>
        <w:numPr>
          <w:ilvl w:val="1"/>
          <w:numId w:val="148"/>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8" w:lineRule="exact"/>
        <w:rPr>
          <w:rFonts w:ascii="Arial" w:cs="Arial" w:eastAsia="Arial" w:hAnsi="Arial"/>
          <w:sz w:val="22"/>
          <w:szCs w:val="22"/>
          <w:color w:val="010000"/>
        </w:rPr>
      </w:pPr>
    </w:p>
    <w:p>
      <w:pPr>
        <w:ind w:right="240" w:firstLine="656"/>
        <w:spacing w:after="0" w:line="254" w:lineRule="auto"/>
        <w:tabs>
          <w:tab w:leader="none" w:pos="1134" w:val="left"/>
        </w:tabs>
        <w:numPr>
          <w:ilvl w:val="1"/>
          <w:numId w:val="148"/>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656"/>
        <w:spacing w:after="0" w:line="288" w:lineRule="auto"/>
        <w:tabs>
          <w:tab w:leader="none" w:pos="1122" w:val="left"/>
        </w:tabs>
        <w:numPr>
          <w:ilvl w:val="1"/>
          <w:numId w:val="148"/>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Performance Award Agreement on the day and year first above written.</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4114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5486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1420"/>
          </w:cols>
          <w:pgMar w:left="240" w:top="132" w:right="23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w:t>
      </w:r>
    </w:p>
    <w:p>
      <w:pPr>
        <w:sectPr>
          <w:pgSz w:w="11900" w:h="16838" w:orient="portrait"/>
          <w:cols w:equalWidth="0" w:num="1">
            <w:col w:w="11420"/>
          </w:cols>
          <w:pgMar w:left="240" w:top="132" w:right="239" w:bottom="0" w:gutter="0" w:footer="0" w:header="0"/>
          <w:type w:val="continuous"/>
        </w:sectPr>
      </w:pPr>
    </w:p>
    <w:bookmarkStart w:id="123" w:name="page124"/>
    <w:bookmarkEnd w:id="123"/>
    <w:p>
      <w:pPr>
        <w:ind w:left="39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2627630</wp:posOffset>
            </wp:positionH>
            <wp:positionV relativeFrom="page">
              <wp:posOffset>389255</wp:posOffset>
            </wp:positionV>
            <wp:extent cx="5486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48640" cy="8890"/>
                    </a:xfrm>
                    <a:prstGeom prst="rect">
                      <a:avLst/>
                    </a:prstGeom>
                    <a:noFill/>
                  </pic:spPr>
                </pic:pic>
              </a:graphicData>
            </a:graphic>
          </wp:anchor>
        </w:drawing>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5486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Target Number of Performance Units (the “Target Award”): ________</w:t>
      </w:r>
    </w:p>
    <w:p>
      <w:pPr>
        <w:spacing w:after="0" w:line="260" w:lineRule="exact"/>
        <w:rPr>
          <w:sz w:val="20"/>
          <w:szCs w:val="20"/>
          <w:color w:val="auto"/>
        </w:rPr>
      </w:pPr>
    </w:p>
    <w:p>
      <w:pPr>
        <w:ind w:left="660" w:right="280" w:hanging="328"/>
        <w:spacing w:after="0" w:line="253" w:lineRule="auto"/>
        <w:tabs>
          <w:tab w:leader="none" w:pos="66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Performance Criteria</w:t>
      </w:r>
      <w:r>
        <w:rPr>
          <w:rFonts w:ascii="Arial" w:cs="Arial" w:eastAsia="Arial" w:hAnsi="Arial"/>
          <w:sz w:val="22"/>
          <w:szCs w:val="22"/>
          <w:color w:val="auto"/>
        </w:rPr>
        <w:t>. Fifty percent (50%) of the Performance Units shall be earned based on Average Annual AEPS Growth and fifty percent (50%) of the Performance Units shall be earned based on TSR Performance, in accordance with the matrices below.</w:t>
      </w:r>
    </w:p>
    <w:p>
      <w:pPr>
        <w:spacing w:after="0" w:line="186" w:lineRule="exact"/>
        <w:rPr>
          <w:sz w:val="20"/>
          <w:szCs w:val="20"/>
          <w:color w:val="auto"/>
        </w:rPr>
      </w:pPr>
    </w:p>
    <w:p>
      <w:pPr>
        <w:ind w:left="660" w:right="320" w:hanging="328"/>
        <w:spacing w:after="0" w:line="287" w:lineRule="auto"/>
        <w:tabs>
          <w:tab w:leader="none" w:pos="66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Average Annual AEPS Growth</w:t>
      </w:r>
      <w:r>
        <w:rPr>
          <w:rFonts w:ascii="Arial" w:cs="Arial" w:eastAsia="Arial" w:hAnsi="Arial"/>
          <w:sz w:val="21"/>
          <w:szCs w:val="21"/>
          <w:color w:val="auto"/>
        </w:rPr>
        <w:t>. The target number of Performance Units subject to attainment of Average Annual AEPS Growth goals shall be fifty percent (50%) of the Target Award (the “Target AEPS Growth Units”).</w:t>
      </w:r>
    </w:p>
    <w:p>
      <w:pPr>
        <w:spacing w:after="0" w:line="389" w:lineRule="exact"/>
        <w:rPr>
          <w:sz w:val="20"/>
          <w:szCs w:val="20"/>
          <w:color w:val="auto"/>
        </w:rPr>
      </w:pPr>
    </w:p>
    <w:tbl>
      <w:tblPr>
        <w:tblLayout w:type="fixed"/>
        <w:tblInd w:w="180" w:type="dxa"/>
        <w:tblCellMar>
          <w:top w:w="0" w:type="dxa"/>
          <w:left w:w="0" w:type="dxa"/>
          <w:bottom w:w="0" w:type="dxa"/>
          <w:right w:w="0" w:type="dxa"/>
        </w:tblCellMar>
      </w:tblPr>
      <w:tr>
        <w:trPr>
          <w:trHeight w:val="281"/>
        </w:trPr>
        <w:tc>
          <w:tcPr>
            <w:tcW w:w="4280" w:type="dxa"/>
            <w:vAlign w:val="bottom"/>
          </w:tcPr>
          <w:p>
            <w:pPr>
              <w:spacing w:after="0"/>
              <w:rPr>
                <w:sz w:val="20"/>
                <w:szCs w:val="20"/>
                <w:color w:val="auto"/>
              </w:rPr>
            </w:pPr>
            <w:r>
              <w:rPr>
                <w:rFonts w:ascii="Arial" w:cs="Arial" w:eastAsia="Arial" w:hAnsi="Arial"/>
                <w:sz w:val="22"/>
                <w:szCs w:val="22"/>
                <w:b w:val="1"/>
                <w:bCs w:val="1"/>
                <w:color w:val="auto"/>
              </w:rPr>
              <w:t>Average Annual AEPS Growth</w:t>
            </w:r>
          </w:p>
        </w:tc>
        <w:tc>
          <w:tcPr>
            <w:tcW w:w="6000" w:type="dxa"/>
            <w:vAlign w:val="bottom"/>
          </w:tcPr>
          <w:p>
            <w:pPr>
              <w:ind w:left="1420"/>
              <w:spacing w:after="0"/>
              <w:rPr>
                <w:sz w:val="20"/>
                <w:szCs w:val="20"/>
                <w:color w:val="auto"/>
              </w:rPr>
            </w:pPr>
            <w:r>
              <w:rPr>
                <w:rFonts w:ascii="Arial" w:cs="Arial" w:eastAsia="Arial" w:hAnsi="Arial"/>
                <w:sz w:val="22"/>
                <w:szCs w:val="22"/>
                <w:b w:val="1"/>
                <w:bCs w:val="1"/>
                <w:color w:val="auto"/>
                <w:w w:val="89"/>
              </w:rPr>
              <w:t>Percentage of Target AEPS Growth Units Earned</w:t>
            </w:r>
          </w:p>
        </w:tc>
      </w:tr>
      <w:tr>
        <w:trPr>
          <w:trHeight w:val="486"/>
        </w:trPr>
        <w:tc>
          <w:tcPr>
            <w:tcW w:w="4280" w:type="dxa"/>
            <w:vAlign w:val="bottom"/>
          </w:tcPr>
          <w:p>
            <w:pPr>
              <w:spacing w:after="0"/>
              <w:rPr>
                <w:sz w:val="20"/>
                <w:szCs w:val="20"/>
                <w:color w:val="auto"/>
              </w:rPr>
            </w:pPr>
            <w:r>
              <w:rPr>
                <w:rFonts w:ascii="Arial" w:cs="Arial" w:eastAsia="Arial" w:hAnsi="Arial"/>
                <w:sz w:val="22"/>
                <w:szCs w:val="22"/>
                <w:color w:val="auto"/>
              </w:rPr>
              <w:t>&lt;10%</w:t>
            </w:r>
          </w:p>
        </w:tc>
        <w:tc>
          <w:tcPr>
            <w:tcW w:w="6000" w:type="dxa"/>
            <w:vAlign w:val="bottom"/>
          </w:tcPr>
          <w:p>
            <w:pPr>
              <w:ind w:left="1420"/>
              <w:spacing w:after="0"/>
              <w:rPr>
                <w:sz w:val="20"/>
                <w:szCs w:val="20"/>
                <w:color w:val="auto"/>
              </w:rPr>
            </w:pPr>
            <w:r>
              <w:rPr>
                <w:rFonts w:ascii="Arial" w:cs="Arial" w:eastAsia="Arial" w:hAnsi="Arial"/>
                <w:sz w:val="22"/>
                <w:szCs w:val="22"/>
                <w:color w:val="auto"/>
              </w:rPr>
              <w:t>0%</w:t>
            </w:r>
          </w:p>
        </w:tc>
      </w:tr>
      <w:tr>
        <w:trPr>
          <w:trHeight w:val="486"/>
        </w:trPr>
        <w:tc>
          <w:tcPr>
            <w:tcW w:w="4280" w:type="dxa"/>
            <w:vAlign w:val="bottom"/>
          </w:tcPr>
          <w:p>
            <w:pPr>
              <w:spacing w:after="0"/>
              <w:rPr>
                <w:sz w:val="20"/>
                <w:szCs w:val="20"/>
                <w:color w:val="auto"/>
              </w:rPr>
            </w:pPr>
            <w:r>
              <w:rPr>
                <w:rFonts w:ascii="Arial" w:cs="Arial" w:eastAsia="Arial" w:hAnsi="Arial"/>
                <w:sz w:val="22"/>
                <w:szCs w:val="22"/>
                <w:color w:val="auto"/>
              </w:rPr>
              <w:t>10%</w:t>
            </w:r>
          </w:p>
        </w:tc>
        <w:tc>
          <w:tcPr>
            <w:tcW w:w="6000" w:type="dxa"/>
            <w:vAlign w:val="bottom"/>
          </w:tcPr>
          <w:p>
            <w:pPr>
              <w:ind w:left="1420"/>
              <w:spacing w:after="0"/>
              <w:rPr>
                <w:sz w:val="20"/>
                <w:szCs w:val="20"/>
                <w:color w:val="auto"/>
              </w:rPr>
            </w:pPr>
            <w:r>
              <w:rPr>
                <w:rFonts w:ascii="Arial" w:cs="Arial" w:eastAsia="Arial" w:hAnsi="Arial"/>
                <w:sz w:val="22"/>
                <w:szCs w:val="22"/>
                <w:color w:val="auto"/>
              </w:rPr>
              <w:t>50%</w:t>
            </w:r>
          </w:p>
        </w:tc>
      </w:tr>
      <w:tr>
        <w:trPr>
          <w:trHeight w:val="459"/>
        </w:trPr>
        <w:tc>
          <w:tcPr>
            <w:tcW w:w="4280" w:type="dxa"/>
            <w:vAlign w:val="bottom"/>
          </w:tcPr>
          <w:p>
            <w:pPr>
              <w:spacing w:after="0"/>
              <w:rPr>
                <w:sz w:val="20"/>
                <w:szCs w:val="20"/>
                <w:color w:val="auto"/>
              </w:rPr>
            </w:pPr>
            <w:r>
              <w:rPr>
                <w:rFonts w:ascii="Arial" w:cs="Arial" w:eastAsia="Arial" w:hAnsi="Arial"/>
                <w:sz w:val="22"/>
                <w:szCs w:val="22"/>
                <w:color w:val="auto"/>
              </w:rPr>
              <w:t>20%</w:t>
            </w:r>
          </w:p>
        </w:tc>
        <w:tc>
          <w:tcPr>
            <w:tcW w:w="6000" w:type="dxa"/>
            <w:vAlign w:val="bottom"/>
          </w:tcPr>
          <w:p>
            <w:pPr>
              <w:ind w:left="1420"/>
              <w:spacing w:after="0"/>
              <w:rPr>
                <w:sz w:val="20"/>
                <w:szCs w:val="20"/>
                <w:color w:val="auto"/>
              </w:rPr>
            </w:pPr>
            <w:r>
              <w:rPr>
                <w:rFonts w:ascii="Arial" w:cs="Arial" w:eastAsia="Arial" w:hAnsi="Arial"/>
                <w:sz w:val="22"/>
                <w:szCs w:val="22"/>
                <w:color w:val="auto"/>
              </w:rPr>
              <w:t>100%</w:t>
            </w:r>
          </w:p>
        </w:tc>
      </w:tr>
      <w:tr>
        <w:trPr>
          <w:trHeight w:val="459"/>
        </w:trPr>
        <w:tc>
          <w:tcPr>
            <w:tcW w:w="4280" w:type="dxa"/>
            <w:vAlign w:val="bottom"/>
          </w:tcPr>
          <w:p>
            <w:pPr>
              <w:spacing w:after="0"/>
              <w:rPr>
                <w:sz w:val="20"/>
                <w:szCs w:val="20"/>
                <w:color w:val="auto"/>
              </w:rPr>
            </w:pPr>
            <w:r>
              <w:rPr>
                <w:rFonts w:ascii="Arial" w:cs="Arial" w:eastAsia="Arial" w:hAnsi="Arial"/>
                <w:sz w:val="22"/>
                <w:szCs w:val="22"/>
                <w:color w:val="auto"/>
              </w:rPr>
              <w:t>≥30%</w:t>
            </w:r>
          </w:p>
        </w:tc>
        <w:tc>
          <w:tcPr>
            <w:tcW w:w="6000" w:type="dxa"/>
            <w:vAlign w:val="bottom"/>
          </w:tcPr>
          <w:p>
            <w:pPr>
              <w:ind w:left="1420"/>
              <w:spacing w:after="0"/>
              <w:rPr>
                <w:sz w:val="20"/>
                <w:szCs w:val="20"/>
                <w:color w:val="auto"/>
              </w:rPr>
            </w:pPr>
            <w:r>
              <w:rPr>
                <w:rFonts w:ascii="Arial" w:cs="Arial" w:eastAsia="Arial" w:hAnsi="Arial"/>
                <w:sz w:val="22"/>
                <w:szCs w:val="22"/>
                <w:color w:val="auto"/>
              </w:rPr>
              <w:t>200%</w:t>
            </w:r>
          </w:p>
        </w:tc>
      </w:tr>
    </w:tbl>
    <w:p>
      <w:pPr>
        <w:spacing w:after="0" w:line="387"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The payout shall be interpolated on a linear basis between 50% and 200% of the Target AEPS Growth Units to the extent the Average Annual AEPS Growth of the Company is greater than 10% and less than 30%.</w:t>
      </w:r>
    </w:p>
    <w:p>
      <w:pPr>
        <w:spacing w:after="0" w:line="215" w:lineRule="exact"/>
        <w:rPr>
          <w:sz w:val="20"/>
          <w:szCs w:val="20"/>
          <w:color w:val="auto"/>
        </w:rPr>
      </w:pPr>
    </w:p>
    <w:p>
      <w:pPr>
        <w:ind w:left="660" w:right="120" w:hanging="328"/>
        <w:spacing w:after="0" w:line="263" w:lineRule="auto"/>
        <w:tabs>
          <w:tab w:leader="none" w:pos="66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TSR Performance</w:t>
      </w:r>
      <w:r>
        <w:rPr>
          <w:rFonts w:ascii="Arial" w:cs="Arial" w:eastAsia="Arial" w:hAnsi="Arial"/>
          <w:sz w:val="22"/>
          <w:szCs w:val="22"/>
          <w:color w:val="auto"/>
        </w:rPr>
        <w:t>. The target number of Performance Units subject to attainment of TSR goals shall be fifty percent (50%) of the Target Award (the “Target TSR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54875" cy="2221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54875" cy="222123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w w:val="92"/>
              </w:rPr>
              <w:t>Percentile Rank of Company’s TSR Performance Among</w:t>
            </w:r>
          </w:p>
        </w:tc>
        <w:tc>
          <w:tcPr>
            <w:tcW w:w="5760" w:type="dxa"/>
            <w:vAlign w:val="bottom"/>
            <w:shd w:val="clear" w:color="auto" w:fill="DE3B21"/>
          </w:tcPr>
          <w:p>
            <w:pPr>
              <w:ind w:left="220"/>
              <w:spacing w:after="0"/>
              <w:rPr>
                <w:sz w:val="20"/>
                <w:szCs w:val="20"/>
                <w:color w:val="auto"/>
              </w:rPr>
            </w:pPr>
            <w:r>
              <w:rPr>
                <w:rFonts w:ascii="Arial" w:cs="Arial" w:eastAsia="Arial" w:hAnsi="Arial"/>
                <w:sz w:val="22"/>
                <w:szCs w:val="22"/>
                <w:b w:val="1"/>
                <w:bCs w:val="1"/>
                <w:color w:val="auto"/>
              </w:rPr>
              <w:t>Percentage of Target TSR Units Earned</w:t>
            </w:r>
          </w:p>
        </w:tc>
      </w:tr>
      <w:tr>
        <w:trPr>
          <w:trHeight w:val="281"/>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rPr>
              <w:t>TSR Comparator Group Over Performance Period</w:t>
            </w:r>
          </w:p>
        </w:tc>
        <w:tc>
          <w:tcPr>
            <w:tcW w:w="5760" w:type="dxa"/>
            <w:vAlign w:val="bottom"/>
            <w:shd w:val="clear" w:color="auto" w:fill="DE3B21"/>
          </w:tcPr>
          <w:p>
            <w:pPr>
              <w:spacing w:after="0"/>
              <w:rPr>
                <w:sz w:val="24"/>
                <w:szCs w:val="24"/>
                <w:color w:val="auto"/>
              </w:rPr>
            </w:pPr>
          </w:p>
        </w:tc>
      </w:tr>
      <w:tr>
        <w:trPr>
          <w:trHeight w:val="139"/>
        </w:trPr>
        <w:tc>
          <w:tcPr>
            <w:tcW w:w="5660" w:type="dxa"/>
            <w:vAlign w:val="bottom"/>
            <w:shd w:val="clear" w:color="auto" w:fill="DE3B21"/>
          </w:tcPr>
          <w:p>
            <w:pPr>
              <w:spacing w:after="0"/>
              <w:rPr>
                <w:sz w:val="12"/>
                <w:szCs w:val="12"/>
                <w:color w:val="auto"/>
              </w:rPr>
            </w:pPr>
          </w:p>
        </w:tc>
        <w:tc>
          <w:tcPr>
            <w:tcW w:w="5760" w:type="dxa"/>
            <w:vAlign w:val="bottom"/>
            <w:shd w:val="clear" w:color="auto" w:fill="DE3B21"/>
          </w:tcPr>
          <w:p>
            <w:pPr>
              <w:spacing w:after="0"/>
              <w:rPr>
                <w:sz w:val="12"/>
                <w:szCs w:val="12"/>
                <w:color w:val="auto"/>
              </w:rPr>
            </w:pPr>
          </w:p>
        </w:tc>
      </w:tr>
      <w:tr>
        <w:trPr>
          <w:trHeight w:val="473"/>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&lt;33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50%</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100%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125%</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70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150%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200%</w:t>
            </w:r>
          </w:p>
        </w:tc>
      </w:tr>
    </w:tbl>
    <w:p>
      <w:pPr>
        <w:spacing w:after="0" w:line="262" w:lineRule="exact"/>
        <w:rPr>
          <w:sz w:val="20"/>
          <w:szCs w:val="20"/>
          <w:color w:val="auto"/>
        </w:rPr>
      </w:pPr>
    </w:p>
    <w:p>
      <w:pPr>
        <w:jc w:val="both"/>
        <w:ind w:right="160"/>
        <w:spacing w:after="0" w:line="335" w:lineRule="auto"/>
        <w:rPr>
          <w:sz w:val="20"/>
          <w:szCs w:val="20"/>
          <w:color w:val="auto"/>
        </w:rPr>
      </w:pPr>
      <w:r>
        <w:rPr>
          <w:rFonts w:ascii="Arial" w:cs="Arial" w:eastAsia="Arial" w:hAnsi="Arial"/>
          <w:sz w:val="19"/>
          <w:szCs w:val="19"/>
          <w:color w:val="auto"/>
        </w:rPr>
        <w:t>The payout shall be interpolated on a linear basis between 50% and 200% of Target TSR Units to the extent the TSR Performance of the Company is greater than the 33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percentile and less than the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among the Company’s TSR Comparator Group.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Award:</w:t>
      </w:r>
    </w:p>
    <w:p>
      <w:pPr>
        <w:spacing w:after="0" w:line="260" w:lineRule="exact"/>
        <w:rPr>
          <w:sz w:val="20"/>
          <w:szCs w:val="20"/>
          <w:color w:val="auto"/>
        </w:rPr>
      </w:pPr>
    </w:p>
    <w:p>
      <w:pPr>
        <w:ind w:right="74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AEPS Growth</w:t>
      </w:r>
      <w:r>
        <w:rPr>
          <w:rFonts w:ascii="Arial" w:cs="Arial" w:eastAsia="Arial" w:hAnsi="Arial"/>
          <w:sz w:val="21"/>
          <w:szCs w:val="21"/>
          <w:color w:val="auto"/>
        </w:rPr>
        <w:t>” means, for each year in the Performance Period, the percentage change in the Company’s adjusted earnings per share as determined by the Board and reported on the Company’s financial statements.</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Annual AEPS Growth</w:t>
      </w:r>
      <w:r>
        <w:rPr>
          <w:rFonts w:ascii="Arial" w:cs="Arial" w:eastAsia="Arial" w:hAnsi="Arial"/>
          <w:sz w:val="22"/>
          <w:szCs w:val="22"/>
          <w:color w:val="auto"/>
        </w:rPr>
        <w:t>” means the sum of the Annual AEPS Growth with respect to each year in the Performance Period, divided by three.</w:t>
      </w:r>
    </w:p>
    <w:p>
      <w:pPr>
        <w:sectPr>
          <w:pgSz w:w="11900" w:h="16838" w:orient="portrait"/>
          <w:cols w:equalWidth="0" w:num="1">
            <w:col w:w="11420"/>
          </w:cols>
          <w:pgMar w:left="240" w:top="658" w:right="239" w:bottom="124" w:gutter="0" w:footer="0" w:header="0"/>
        </w:sectPr>
      </w:pPr>
    </w:p>
    <w:bookmarkStart w:id="124" w:name="page125"/>
    <w:bookmarkEnd w:id="124"/>
    <w:p>
      <w:pPr>
        <w:ind w:right="26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Price</w:t>
      </w:r>
      <w:r>
        <w:rPr>
          <w:rFonts w:ascii="Arial" w:cs="Arial" w:eastAsia="Arial" w:hAnsi="Arial"/>
          <w:sz w:val="21"/>
          <w:szCs w:val="21"/>
          <w:color w:val="auto"/>
        </w:rPr>
        <w:t>” means the closing transaction price of a share of common stock of a company, as reported on the principal national stock exchange on which such common stock is traded, for the day on which the Stock Price is being determined, or if no such shares are traded on such day, the most recent day on which such shares were traded.</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Comparator Group</w:t>
      </w:r>
      <w:r>
        <w:rPr>
          <w:rFonts w:ascii="Arial" w:cs="Arial" w:eastAsia="Arial" w:hAnsi="Arial"/>
          <w:sz w:val="21"/>
          <w:szCs w:val="21"/>
          <w:color w:val="auto"/>
        </w:rPr>
        <w:t>” means an index of restaurant companies approved by the Committee at the beginning of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adjusted in accordance with the guidelines set forth below:</w:t>
      </w:r>
    </w:p>
    <w:p>
      <w:pPr>
        <w:spacing w:after="0" w:line="242" w:lineRule="exact"/>
        <w:rPr>
          <w:sz w:val="20"/>
          <w:szCs w:val="20"/>
          <w:color w:val="auto"/>
        </w:rPr>
      </w:pPr>
    </w:p>
    <w:p>
      <w:pPr>
        <w:ind w:left="660" w:right="20" w:hanging="4"/>
        <w:spacing w:after="0" w:line="263" w:lineRule="auto"/>
        <w:tabs>
          <w:tab w:leader="none" w:pos="91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If two indexed companies merge, the performance of the combined companies is tracked for balance of the Performance Period.</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If an indexed company is acquired by a non-indexed company, the acquired company is excluded from the calculation.</w:t>
      </w:r>
    </w:p>
    <w:p>
      <w:pPr>
        <w:spacing w:after="0" w:line="294" w:lineRule="exact"/>
        <w:rPr>
          <w:rFonts w:ascii="Arial" w:cs="Arial" w:eastAsia="Arial" w:hAnsi="Arial"/>
          <w:sz w:val="19"/>
          <w:szCs w:val="19"/>
          <w:color w:val="auto"/>
        </w:rPr>
      </w:pPr>
    </w:p>
    <w:p>
      <w:pPr>
        <w:ind w:left="1040" w:hanging="384"/>
        <w:spacing w:after="0"/>
        <w:tabs>
          <w:tab w:leader="none" w:pos="10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If an indexed company becomes insolvent, it is included as zero at the bottom of the ranking.</w:t>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Performance</w:t>
      </w:r>
      <w:r>
        <w:rPr>
          <w:rFonts w:ascii="Arial" w:cs="Arial" w:eastAsia="Arial" w:hAnsi="Arial"/>
          <w:sz w:val="22"/>
          <w:szCs w:val="22"/>
          <w:color w:val="auto"/>
        </w:rPr>
        <w:t>” means a company’s cumulative total shareholder return as measured by dividing (A) the sum of (i) the cumulative amount of dividends for the Performance Period and (ii) the increase or decrease in the Stock Price from the first day of the Performance Period to the last day of the Performance Period, by (B) the Stock Price determined as of the first day of the Performance Period.</w:t>
      </w:r>
    </w:p>
    <w:p>
      <w:pPr>
        <w:sectPr>
          <w:pgSz w:w="11900" w:h="16838" w:orient="portrait"/>
          <w:cols w:equalWidth="0" w:num="1">
            <w:col w:w="11420"/>
          </w:cols>
          <w:pgMar w:left="240" w:top="132"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10.17</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25/25/50% Annual Vesting – Employees</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of Grant”), by and 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 (the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6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66" w:lineRule="exact"/>
        <w:rPr>
          <w:sz w:val="20"/>
          <w:szCs w:val="20"/>
          <w:color w:val="auto"/>
        </w:rPr>
      </w:pPr>
    </w:p>
    <w:p>
      <w:pPr>
        <w:ind w:right="300" w:firstLine="648"/>
        <w:spacing w:after="0" w:line="302"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4" w:lineRule="exact"/>
        <w:rPr>
          <w:sz w:val="20"/>
          <w:szCs w:val="20"/>
          <w:color w:val="auto"/>
        </w:rPr>
      </w:pPr>
    </w:p>
    <w:p>
      <w:pPr>
        <w:ind w:right="80" w:firstLine="656"/>
        <w:spacing w:after="0" w:line="292" w:lineRule="auto"/>
        <w:tabs>
          <w:tab w:leader="none" w:pos="1459" w:val="left"/>
        </w:tabs>
        <w:numPr>
          <w:ilvl w:val="0"/>
          <w:numId w:val="154"/>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4" w:lineRule="exact"/>
        <w:rPr>
          <w:rFonts w:ascii="Arial" w:cs="Arial" w:eastAsia="Arial" w:hAnsi="Arial"/>
          <w:sz w:val="22"/>
          <w:szCs w:val="22"/>
          <w:color w:val="010000"/>
        </w:rPr>
      </w:pPr>
    </w:p>
    <w:p>
      <w:pPr>
        <w:ind w:left="1000" w:hanging="344"/>
        <w:spacing w:after="0"/>
        <w:tabs>
          <w:tab w:leader="none" w:pos="1000" w:val="left"/>
        </w:tabs>
        <w:numPr>
          <w:ilvl w:val="0"/>
          <w:numId w:val="154"/>
        </w:numPr>
        <w:rPr>
          <w:rFonts w:ascii="Arial" w:cs="Arial" w:eastAsia="Arial" w:hAnsi="Arial"/>
          <w:sz w:val="19"/>
          <w:szCs w:val="19"/>
          <w:color w:val="010000"/>
        </w:rPr>
      </w:pPr>
      <w:r>
        <w:rPr>
          <w:rFonts w:ascii="Arial" w:cs="Arial" w:eastAsia="Arial" w:hAnsi="Arial"/>
          <w:sz w:val="19"/>
          <w:szCs w:val="19"/>
          <w:u w:val="single" w:color="auto"/>
          <w:color w:val="auto"/>
        </w:rPr>
        <w:t>RESTRICTIONS AND CONDITIONS</w:t>
      </w:r>
      <w:r>
        <w:rPr>
          <w:rFonts w:ascii="Arial" w:cs="Arial" w:eastAsia="Arial" w:hAnsi="Arial"/>
          <w:sz w:val="19"/>
          <w:szCs w:val="19"/>
          <w:color w:val="auto"/>
        </w:rPr>
        <w:t>. Subject to the Participant’s continuous employment with the Company, the</w:t>
      </w:r>
    </w:p>
    <w:p>
      <w:pPr>
        <w:spacing w:after="0" w:line="92" w:lineRule="exact"/>
        <w:rPr>
          <w:rFonts w:ascii="Arial" w:cs="Arial" w:eastAsia="Arial" w:hAnsi="Arial"/>
          <w:sz w:val="19"/>
          <w:szCs w:val="19"/>
          <w:color w:val="010000"/>
        </w:rPr>
      </w:pPr>
    </w:p>
    <w:p>
      <w:pPr>
        <w:ind w:right="20"/>
        <w:spacing w:after="0" w:line="301" w:lineRule="auto"/>
        <w:rPr>
          <w:rFonts w:ascii="Arial" w:cs="Arial" w:eastAsia="Arial" w:hAnsi="Arial"/>
          <w:sz w:val="19"/>
          <w:szCs w:val="19"/>
          <w:color w:val="010000"/>
        </w:rPr>
      </w:pPr>
      <w:r>
        <w:rPr>
          <w:rFonts w:ascii="Arial" w:cs="Arial" w:eastAsia="Arial" w:hAnsi="Arial"/>
          <w:sz w:val="21"/>
          <w:szCs w:val="21"/>
          <w:color w:val="auto"/>
        </w:rPr>
        <w:t>Restriction Period applicable to the Restricted Shares shall lapse, and the Restricted Shares shall become vested as to one-fourth of the Restricted Shares subject to the Award on each of the first and second anniversaries of the Date of Grant and one-half of the Restricted Shares subject to the Award on the third anniversary of the Date of Grant. Except as provided in Section 3, the Restricted Shares will be forfeited as to the unvested portion of the Award if the Participant does not remain continuously in the employment of the Company through the specified lapsing dates set forth above. So long as the shares of Common Stock are subject to restrictions imposed under the Plan and the Agreement:</w:t>
      </w:r>
    </w:p>
    <w:p>
      <w:pPr>
        <w:spacing w:after="0" w:line="181" w:lineRule="exact"/>
        <w:rPr>
          <w:rFonts w:ascii="Arial" w:cs="Arial" w:eastAsia="Arial" w:hAnsi="Arial"/>
          <w:sz w:val="19"/>
          <w:szCs w:val="19"/>
          <w:color w:val="010000"/>
        </w:rPr>
      </w:pPr>
    </w:p>
    <w:p>
      <w:pPr>
        <w:ind w:right="700" w:firstLine="1305"/>
        <w:spacing w:after="0" w:line="402" w:lineRule="auto"/>
        <w:tabs>
          <w:tab w:leader="none" w:pos="1716" w:val="left"/>
        </w:tabs>
        <w:numPr>
          <w:ilvl w:val="1"/>
          <w:numId w:val="154"/>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1" w:lineRule="exact"/>
        <w:rPr>
          <w:rFonts w:ascii="Arial" w:cs="Arial" w:eastAsia="Arial" w:hAnsi="Arial"/>
          <w:sz w:val="19"/>
          <w:szCs w:val="19"/>
          <w:color w:val="010000"/>
        </w:rPr>
      </w:pPr>
    </w:p>
    <w:p>
      <w:pPr>
        <w:ind w:left="1740" w:hanging="435"/>
        <w:spacing w:after="0"/>
        <w:tabs>
          <w:tab w:leader="none" w:pos="1740" w:val="left"/>
        </w:tabs>
        <w:numPr>
          <w:ilvl w:val="1"/>
          <w:numId w:val="154"/>
        </w:numPr>
        <w:rPr>
          <w:rFonts w:ascii="Arial" w:cs="Arial" w:eastAsia="Arial" w:hAnsi="Arial"/>
          <w:sz w:val="19"/>
          <w:szCs w:val="19"/>
          <w:color w:val="010000"/>
        </w:rPr>
      </w:pPr>
      <w:r>
        <w:rPr>
          <w:rFonts w:ascii="Arial" w:cs="Arial" w:eastAsia="Arial" w:hAnsi="Arial"/>
          <w:sz w:val="19"/>
          <w:szCs w:val="19"/>
          <w:color w:val="auto"/>
        </w:rPr>
        <w:t>all such certificates shall be deposited with the Company, together with stock powers or other instruments of</w:t>
      </w:r>
    </w:p>
    <w:p>
      <w:pPr>
        <w:spacing w:after="0" w:line="92" w:lineRule="exact"/>
        <w:rPr>
          <w:rFonts w:ascii="Arial" w:cs="Arial" w:eastAsia="Arial" w:hAnsi="Arial"/>
          <w:sz w:val="19"/>
          <w:szCs w:val="19"/>
          <w:color w:val="010000"/>
        </w:rPr>
      </w:pPr>
    </w:p>
    <w:p>
      <w:pPr>
        <w:ind w:right="20"/>
        <w:spacing w:after="0" w:line="292" w:lineRule="auto"/>
        <w:rPr>
          <w:rFonts w:ascii="Arial" w:cs="Arial" w:eastAsia="Arial" w:hAnsi="Arial"/>
          <w:sz w:val="19"/>
          <w:szCs w:val="19"/>
          <w:color w:val="010000"/>
        </w:rPr>
      </w:pPr>
      <w:r>
        <w:rPr>
          <w:rFonts w:ascii="Arial" w:cs="Arial" w:eastAsia="Arial" w:hAnsi="Arial"/>
          <w:sz w:val="22"/>
          <w:szCs w:val="22"/>
          <w:color w:val="auto"/>
        </w:rPr>
        <w:t>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4" w:lineRule="exact"/>
        <w:rPr>
          <w:rFonts w:ascii="Arial" w:cs="Arial" w:eastAsia="Arial" w:hAnsi="Arial"/>
          <w:sz w:val="19"/>
          <w:szCs w:val="19"/>
          <w:color w:val="010000"/>
        </w:rPr>
      </w:pPr>
    </w:p>
    <w:p>
      <w:pPr>
        <w:ind w:right="320" w:firstLine="1305"/>
        <w:spacing w:after="0" w:line="315" w:lineRule="auto"/>
        <w:tabs>
          <w:tab w:leader="none" w:pos="1716" w:val="left"/>
        </w:tabs>
        <w:numPr>
          <w:ilvl w:val="1"/>
          <w:numId w:val="154"/>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59" w:lineRule="exact"/>
        <w:rPr>
          <w:rFonts w:ascii="Arial" w:cs="Arial" w:eastAsia="Arial" w:hAnsi="Arial"/>
          <w:sz w:val="22"/>
          <w:szCs w:val="22"/>
          <w:color w:val="010000"/>
        </w:rPr>
      </w:pPr>
    </w:p>
    <w:p>
      <w:pPr>
        <w:ind w:left="1740" w:hanging="435"/>
        <w:spacing w:after="0"/>
        <w:tabs>
          <w:tab w:leader="none" w:pos="1740" w:val="left"/>
        </w:tabs>
        <w:numPr>
          <w:ilvl w:val="1"/>
          <w:numId w:val="154"/>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74" w:lineRule="exact"/>
        <w:rPr>
          <w:sz w:val="20"/>
          <w:szCs w:val="20"/>
          <w:color w:val="auto"/>
        </w:rPr>
      </w:pPr>
    </w:p>
    <w:p>
      <w:pPr>
        <w:ind w:left="1300" w:right="140"/>
        <w:spacing w:after="0" w:line="288"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2016 Stock Incentive Plan and a Restricted Stock Award Agreement entered into between the registered owner and Dine Brands Global, Inc. Copies of such Plan and Agreement are on file in the offices of Dine Brands Global, Inc.”;</w:t>
      </w:r>
    </w:p>
    <w:p>
      <w:pPr>
        <w:spacing w:after="0" w:line="190" w:lineRule="exact"/>
        <w:rPr>
          <w:sz w:val="20"/>
          <w:szCs w:val="20"/>
          <w:color w:val="auto"/>
        </w:rPr>
      </w:pPr>
    </w:p>
    <w:p>
      <w:pPr>
        <w:ind w:left="1720" w:hanging="415"/>
        <w:spacing w:after="0"/>
        <w:tabs>
          <w:tab w:leader="none" w:pos="1720" w:val="left"/>
        </w:tabs>
        <w:numPr>
          <w:ilvl w:val="0"/>
          <w:numId w:val="155"/>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ectPr>
          <w:pgSz w:w="11900" w:h="16838" w:orient="portrait"/>
          <w:cols w:equalWidth="0" w:num="1">
            <w:col w:w="11420"/>
          </w:cols>
          <w:pgMar w:left="240" w:top="139" w:right="239" w:bottom="257" w:gutter="0" w:footer="0" w:header="0"/>
        </w:sectPr>
      </w:pPr>
    </w:p>
    <w:bookmarkStart w:id="126" w:name="page127"/>
    <w:bookmarkEnd w:id="126"/>
    <w:p>
      <w:pPr>
        <w:ind w:left="1700" w:hanging="395"/>
        <w:spacing w:after="0"/>
        <w:tabs>
          <w:tab w:leader="none" w:pos="1700"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9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60" w:lineRule="exact"/>
        <w:rPr>
          <w:sz w:val="20"/>
          <w:szCs w:val="20"/>
          <w:color w:val="auto"/>
        </w:rPr>
      </w:pPr>
    </w:p>
    <w:p>
      <w:pPr>
        <w:ind w:right="180" w:firstLine="648"/>
        <w:spacing w:after="0" w:line="288"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90" w:lineRule="exact"/>
        <w:rPr>
          <w:sz w:val="20"/>
          <w:szCs w:val="20"/>
          <w:color w:val="auto"/>
        </w:rPr>
      </w:pPr>
    </w:p>
    <w:p>
      <w:pPr>
        <w:ind w:left="1000" w:hanging="344"/>
        <w:spacing w:after="0"/>
        <w:tabs>
          <w:tab w:leader="none" w:pos="1000" w:val="left"/>
        </w:tabs>
        <w:numPr>
          <w:ilvl w:val="1"/>
          <w:numId w:val="157"/>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73" w:lineRule="exact"/>
        <w:rPr>
          <w:rFonts w:ascii="Arial" w:cs="Arial" w:eastAsia="Arial" w:hAnsi="Arial"/>
          <w:sz w:val="22"/>
          <w:szCs w:val="22"/>
          <w:color w:val="010000"/>
        </w:rPr>
      </w:pPr>
    </w:p>
    <w:p>
      <w:pPr>
        <w:ind w:left="1720" w:hanging="415"/>
        <w:spacing w:after="0"/>
        <w:tabs>
          <w:tab w:leader="none" w:pos="1720" w:val="left"/>
        </w:tabs>
        <w:numPr>
          <w:ilvl w:val="2"/>
          <w:numId w:val="157"/>
        </w:numPr>
        <w:rPr>
          <w:rFonts w:ascii="Arial" w:cs="Arial" w:eastAsia="Arial" w:hAnsi="Arial"/>
          <w:sz w:val="19"/>
          <w:szCs w:val="19"/>
          <w:color w:val="010000"/>
        </w:rPr>
      </w:pPr>
      <w:r>
        <w:rPr>
          <w:rFonts w:ascii="Arial" w:cs="Arial" w:eastAsia="Arial" w:hAnsi="Arial"/>
          <w:sz w:val="19"/>
          <w:szCs w:val="19"/>
          <w:u w:val="single" w:color="auto"/>
          <w:color w:val="auto"/>
        </w:rPr>
        <w:t>Service Vesting</w:t>
      </w:r>
      <w:r>
        <w:rPr>
          <w:rFonts w:ascii="Arial" w:cs="Arial" w:eastAsia="Arial" w:hAnsi="Arial"/>
          <w:sz w:val="19"/>
          <w:szCs w:val="19"/>
          <w:color w:val="auto"/>
        </w:rPr>
        <w:t>. Except as otherwise provided in this Section 3, the Restricted Shares will be forfeited as to the</w:t>
      </w:r>
    </w:p>
    <w:p>
      <w:pPr>
        <w:spacing w:after="0" w:line="92" w:lineRule="exact"/>
        <w:rPr>
          <w:rFonts w:ascii="Arial" w:cs="Arial" w:eastAsia="Arial" w:hAnsi="Arial"/>
          <w:sz w:val="19"/>
          <w:szCs w:val="19"/>
          <w:color w:val="010000"/>
        </w:rPr>
      </w:pPr>
    </w:p>
    <w:p>
      <w:pPr>
        <w:ind w:right="520"/>
        <w:spacing w:after="0" w:line="302" w:lineRule="auto"/>
        <w:rPr>
          <w:rFonts w:ascii="Arial" w:cs="Arial" w:eastAsia="Arial" w:hAnsi="Arial"/>
          <w:sz w:val="19"/>
          <w:szCs w:val="19"/>
          <w:color w:val="010000"/>
        </w:rPr>
      </w:pPr>
      <w:r>
        <w:rPr>
          <w:rFonts w:ascii="Arial" w:cs="Arial" w:eastAsia="Arial" w:hAnsi="Arial"/>
          <w:sz w:val="22"/>
          <w:szCs w:val="22"/>
          <w:color w:val="auto"/>
        </w:rPr>
        <w:t>unvested portion of the Award if the Participant does not remain continuously in the employment of the Company through the specified lapsing dates set forth in Section 2 above.</w:t>
      </w:r>
    </w:p>
    <w:p>
      <w:pPr>
        <w:spacing w:after="0" w:line="173" w:lineRule="exact"/>
        <w:rPr>
          <w:rFonts w:ascii="Arial" w:cs="Arial" w:eastAsia="Arial" w:hAnsi="Arial"/>
          <w:sz w:val="19"/>
          <w:szCs w:val="19"/>
          <w:color w:val="010000"/>
        </w:rPr>
      </w:pPr>
    </w:p>
    <w:p>
      <w:pPr>
        <w:ind w:right="280" w:firstLine="1305"/>
        <w:spacing w:after="0" w:line="402" w:lineRule="auto"/>
        <w:tabs>
          <w:tab w:leader="none" w:pos="1728" w:val="left"/>
        </w:tabs>
        <w:numPr>
          <w:ilvl w:val="2"/>
          <w:numId w:val="157"/>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91" w:lineRule="exact"/>
        <w:rPr>
          <w:rFonts w:ascii="Arial" w:cs="Arial" w:eastAsia="Arial" w:hAnsi="Arial"/>
          <w:sz w:val="19"/>
          <w:szCs w:val="19"/>
          <w:color w:val="010000"/>
        </w:rPr>
      </w:pPr>
    </w:p>
    <w:p>
      <w:pPr>
        <w:ind w:left="1720" w:hanging="415"/>
        <w:spacing w:after="0"/>
        <w:tabs>
          <w:tab w:leader="none" w:pos="1720" w:val="left"/>
        </w:tabs>
        <w:numPr>
          <w:ilvl w:val="2"/>
          <w:numId w:val="157"/>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 Participant’s employment with the Company is terminated within a period of twenty-</w:t>
      </w:r>
    </w:p>
    <w:p>
      <w:pPr>
        <w:spacing w:after="0" w:line="92" w:lineRule="exact"/>
        <w:rPr>
          <w:rFonts w:ascii="Arial" w:cs="Arial" w:eastAsia="Arial" w:hAnsi="Arial"/>
          <w:sz w:val="19"/>
          <w:szCs w:val="19"/>
          <w:color w:val="010000"/>
        </w:rPr>
      </w:pPr>
    </w:p>
    <w:p>
      <w:pPr>
        <w:ind w:right="40"/>
        <w:spacing w:after="0" w:line="292" w:lineRule="auto"/>
        <w:rPr>
          <w:rFonts w:ascii="Arial" w:cs="Arial" w:eastAsia="Arial" w:hAnsi="Arial"/>
          <w:sz w:val="19"/>
          <w:szCs w:val="19"/>
          <w:color w:val="010000"/>
        </w:rPr>
      </w:pPr>
      <w:r>
        <w:rPr>
          <w:rFonts w:ascii="Arial" w:cs="Arial" w:eastAsia="Arial" w:hAnsi="Arial"/>
          <w:sz w:val="22"/>
          <w:szCs w:val="22"/>
          <w:color w:val="auto"/>
        </w:rPr>
        <w:t>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4" w:lineRule="exact"/>
        <w:rPr>
          <w:rFonts w:ascii="Arial" w:cs="Arial" w:eastAsia="Arial" w:hAnsi="Arial"/>
          <w:sz w:val="19"/>
          <w:szCs w:val="19"/>
          <w:color w:val="010000"/>
        </w:rPr>
      </w:pPr>
    </w:p>
    <w:p>
      <w:pPr>
        <w:ind w:left="1000" w:hanging="344"/>
        <w:spacing w:after="0"/>
        <w:tabs>
          <w:tab w:leader="none" w:pos="1000" w:val="left"/>
        </w:tabs>
        <w:numPr>
          <w:ilvl w:val="1"/>
          <w:numId w:val="157"/>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w:t>
      </w:r>
    </w:p>
    <w:p>
      <w:pPr>
        <w:spacing w:after="0" w:line="92" w:lineRule="exact"/>
        <w:rPr>
          <w:rFonts w:ascii="Arial" w:cs="Arial" w:eastAsia="Arial" w:hAnsi="Arial"/>
          <w:sz w:val="19"/>
          <w:szCs w:val="19"/>
          <w:color w:val="010000"/>
        </w:rPr>
      </w:pPr>
    </w:p>
    <w:p>
      <w:pPr>
        <w:ind w:right="40"/>
        <w:spacing w:after="0" w:line="336" w:lineRule="auto"/>
        <w:rPr>
          <w:rFonts w:ascii="Arial" w:cs="Arial" w:eastAsia="Arial" w:hAnsi="Arial"/>
          <w:sz w:val="19"/>
          <w:szCs w:val="19"/>
          <w:color w:val="010000"/>
        </w:rPr>
      </w:pPr>
      <w:r>
        <w:rPr>
          <w:rFonts w:ascii="Arial" w:cs="Arial" w:eastAsia="Arial" w:hAnsi="Arial"/>
          <w:sz w:val="19"/>
          <w:szCs w:val="19"/>
          <w:color w:val="auto"/>
        </w:rPr>
        <w:t>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4" w:lineRule="exact"/>
        <w:rPr>
          <w:rFonts w:ascii="Arial" w:cs="Arial" w:eastAsia="Arial" w:hAnsi="Arial"/>
          <w:sz w:val="19"/>
          <w:szCs w:val="19"/>
          <w:color w:val="010000"/>
        </w:rPr>
      </w:pPr>
    </w:p>
    <w:p>
      <w:pPr>
        <w:ind w:left="1000" w:hanging="344"/>
        <w:spacing w:after="0"/>
        <w:tabs>
          <w:tab w:leader="none" w:pos="1000" w:val="left"/>
        </w:tabs>
        <w:numPr>
          <w:ilvl w:val="1"/>
          <w:numId w:val="157"/>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w:t>
      </w:r>
    </w:p>
    <w:p>
      <w:pPr>
        <w:spacing w:after="0" w:line="92" w:lineRule="exact"/>
        <w:rPr>
          <w:rFonts w:ascii="Arial" w:cs="Arial" w:eastAsia="Arial" w:hAnsi="Arial"/>
          <w:sz w:val="19"/>
          <w:szCs w:val="19"/>
          <w:color w:val="010000"/>
        </w:rPr>
      </w:pPr>
    </w:p>
    <w:p>
      <w:pPr>
        <w:ind w:right="20"/>
        <w:spacing w:after="0" w:line="326" w:lineRule="auto"/>
        <w:rPr>
          <w:rFonts w:ascii="Arial" w:cs="Arial" w:eastAsia="Arial" w:hAnsi="Arial"/>
          <w:sz w:val="19"/>
          <w:szCs w:val="19"/>
          <w:color w:val="010000"/>
        </w:rPr>
      </w:pPr>
      <w:r>
        <w:rPr>
          <w:rFonts w:ascii="Arial" w:cs="Arial" w:eastAsia="Arial" w:hAnsi="Arial"/>
          <w:sz w:val="19"/>
          <w:szCs w:val="19"/>
          <w:color w:val="auto"/>
        </w:rPr>
        <w:t>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98" w:lineRule="auto"/>
        <w:tabs>
          <w:tab w:leader="none" w:pos="414"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3" w:lineRule="exact"/>
        <w:rPr>
          <w:rFonts w:ascii="Arial" w:cs="Arial" w:eastAsia="Arial" w:hAnsi="Arial"/>
          <w:sz w:val="21"/>
          <w:szCs w:val="21"/>
          <w:color w:val="auto"/>
        </w:rPr>
      </w:pPr>
    </w:p>
    <w:p>
      <w:pPr>
        <w:ind w:left="1000" w:hanging="344"/>
        <w:spacing w:after="0"/>
        <w:tabs>
          <w:tab w:leader="none" w:pos="1000" w:val="left"/>
        </w:tabs>
        <w:numPr>
          <w:ilvl w:val="1"/>
          <w:numId w:val="158"/>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w:t>
      </w:r>
    </w:p>
    <w:p>
      <w:pPr>
        <w:spacing w:after="0" w:line="69" w:lineRule="exact"/>
        <w:rPr>
          <w:rFonts w:ascii="Arial" w:cs="Arial" w:eastAsia="Arial" w:hAnsi="Arial"/>
          <w:sz w:val="21"/>
          <w:szCs w:val="21"/>
          <w:color w:val="010000"/>
        </w:rPr>
      </w:pPr>
    </w:p>
    <w:p>
      <w:pPr>
        <w:ind w:right="60"/>
        <w:spacing w:after="0" w:line="288" w:lineRule="auto"/>
        <w:rPr>
          <w:rFonts w:ascii="Arial" w:cs="Arial" w:eastAsia="Arial" w:hAnsi="Arial"/>
          <w:sz w:val="21"/>
          <w:szCs w:val="21"/>
          <w:color w:val="010000"/>
        </w:rPr>
      </w:pPr>
      <w:r>
        <w:rPr>
          <w:rFonts w:ascii="Arial" w:cs="Arial" w:eastAsia="Arial" w:hAnsi="Arial"/>
          <w:sz w:val="22"/>
          <w:szCs w:val="22"/>
          <w:color w:val="auto"/>
        </w:rPr>
        <w:t>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90" w:lineRule="exact"/>
        <w:rPr>
          <w:rFonts w:ascii="Arial" w:cs="Arial" w:eastAsia="Arial" w:hAnsi="Arial"/>
          <w:sz w:val="21"/>
          <w:szCs w:val="21"/>
          <w:color w:val="010000"/>
        </w:rPr>
      </w:pPr>
    </w:p>
    <w:p>
      <w:pPr>
        <w:ind w:right="260" w:firstLine="656"/>
        <w:spacing w:after="0" w:line="341" w:lineRule="auto"/>
        <w:tabs>
          <w:tab w:leader="none" w:pos="990" w:val="left"/>
        </w:tabs>
        <w:numPr>
          <w:ilvl w:val="1"/>
          <w:numId w:val="158"/>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ectPr>
          <w:pgSz w:w="11900" w:h="16838" w:orient="portrait"/>
          <w:cols w:equalWidth="0" w:num="1">
            <w:col w:w="11420"/>
          </w:cols>
          <w:pgMar w:left="240" w:top="145" w:right="239" w:bottom="19" w:gutter="0" w:footer="0" w:header="0"/>
        </w:sectPr>
      </w:pPr>
    </w:p>
    <w:bookmarkStart w:id="127" w:name="page128"/>
    <w:bookmarkEnd w:id="127"/>
    <w:p>
      <w:pPr>
        <w:ind w:left="1000" w:hanging="344"/>
        <w:spacing w:after="0"/>
        <w:tabs>
          <w:tab w:leader="none" w:pos="1000" w:val="left"/>
        </w:tabs>
        <w:numPr>
          <w:ilvl w:val="0"/>
          <w:numId w:val="159"/>
        </w:numPr>
        <w:rPr>
          <w:rFonts w:ascii="Arial" w:cs="Arial" w:eastAsia="Arial" w:hAnsi="Arial"/>
          <w:sz w:val="21"/>
          <w:szCs w:val="21"/>
          <w:color w:val="010000"/>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shall have the right to require, prior to the issuance or delivery of any shares of</w:t>
      </w:r>
    </w:p>
    <w:p>
      <w:pPr>
        <w:spacing w:after="0" w:line="69" w:lineRule="exact"/>
        <w:rPr>
          <w:rFonts w:ascii="Arial" w:cs="Arial" w:eastAsia="Arial" w:hAnsi="Arial"/>
          <w:sz w:val="21"/>
          <w:szCs w:val="21"/>
          <w:color w:val="010000"/>
        </w:rPr>
      </w:pPr>
    </w:p>
    <w:p>
      <w:pPr>
        <w:spacing w:after="0" w:line="330" w:lineRule="auto"/>
        <w:rPr>
          <w:rFonts w:ascii="Arial" w:cs="Arial" w:eastAsia="Arial" w:hAnsi="Arial"/>
          <w:sz w:val="21"/>
          <w:szCs w:val="21"/>
          <w:color w:val="010000"/>
        </w:rPr>
      </w:pPr>
      <w:r>
        <w:rPr>
          <w:rFonts w:ascii="Arial" w:cs="Arial" w:eastAsia="Arial" w:hAnsi="Arial"/>
          <w:sz w:val="19"/>
          <w:szCs w:val="19"/>
          <w:color w:val="auto"/>
        </w:rPr>
        <w:t>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pacing w:after="0" w:line="166" w:lineRule="exact"/>
        <w:rPr>
          <w:rFonts w:ascii="Arial" w:cs="Arial" w:eastAsia="Arial" w:hAnsi="Arial"/>
          <w:sz w:val="21"/>
          <w:szCs w:val="21"/>
          <w:color w:val="010000"/>
        </w:rPr>
      </w:pPr>
    </w:p>
    <w:p>
      <w:pPr>
        <w:ind w:right="320" w:firstLine="656"/>
        <w:spacing w:after="0" w:line="315" w:lineRule="auto"/>
        <w:tabs>
          <w:tab w:leader="none" w:pos="990" w:val="left"/>
        </w:tabs>
        <w:numPr>
          <w:ilvl w:val="0"/>
          <w:numId w:val="159"/>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59" w:lineRule="exact"/>
        <w:rPr>
          <w:rFonts w:ascii="Arial" w:cs="Arial" w:eastAsia="Arial" w:hAnsi="Arial"/>
          <w:sz w:val="22"/>
          <w:szCs w:val="22"/>
          <w:color w:val="010000"/>
        </w:rPr>
      </w:pPr>
    </w:p>
    <w:p>
      <w:pPr>
        <w:ind w:left="1100" w:hanging="444"/>
        <w:spacing w:after="0"/>
        <w:tabs>
          <w:tab w:leader="none" w:pos="1100" w:val="left"/>
        </w:tabs>
        <w:numPr>
          <w:ilvl w:val="0"/>
          <w:numId w:val="159"/>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w:t>
      </w:r>
    </w:p>
    <w:p>
      <w:pPr>
        <w:spacing w:after="0" w:line="92" w:lineRule="exact"/>
        <w:rPr>
          <w:rFonts w:ascii="Arial" w:cs="Arial" w:eastAsia="Arial" w:hAnsi="Arial"/>
          <w:sz w:val="19"/>
          <w:szCs w:val="19"/>
          <w:color w:val="010000"/>
        </w:rPr>
      </w:pPr>
    </w:p>
    <w:p>
      <w:pPr>
        <w:ind w:right="240"/>
        <w:spacing w:after="0" w:line="346" w:lineRule="auto"/>
        <w:rPr>
          <w:rFonts w:ascii="Arial" w:cs="Arial" w:eastAsia="Arial" w:hAnsi="Arial"/>
          <w:sz w:val="19"/>
          <w:szCs w:val="19"/>
          <w:color w:val="010000"/>
        </w:rPr>
      </w:pPr>
      <w:r>
        <w:rPr>
          <w:rFonts w:ascii="Arial" w:cs="Arial" w:eastAsia="Arial" w:hAnsi="Arial"/>
          <w:sz w:val="19"/>
          <w:szCs w:val="19"/>
          <w:color w:val="auto"/>
        </w:rPr>
        <w:t>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4" w:lineRule="exact"/>
        <w:rPr>
          <w:rFonts w:ascii="Arial" w:cs="Arial" w:eastAsia="Arial" w:hAnsi="Arial"/>
          <w:sz w:val="19"/>
          <w:szCs w:val="19"/>
          <w:color w:val="010000"/>
        </w:rPr>
      </w:pPr>
    </w:p>
    <w:p>
      <w:pPr>
        <w:ind w:left="1100" w:hanging="444"/>
        <w:spacing w:after="0"/>
        <w:tabs>
          <w:tab w:leader="none" w:pos="1100" w:val="left"/>
        </w:tabs>
        <w:numPr>
          <w:ilvl w:val="0"/>
          <w:numId w:val="159"/>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w:t>
      </w:r>
    </w:p>
    <w:p>
      <w:pPr>
        <w:spacing w:after="0" w:line="92" w:lineRule="exact"/>
        <w:rPr>
          <w:rFonts w:ascii="Arial" w:cs="Arial" w:eastAsia="Arial" w:hAnsi="Arial"/>
          <w:sz w:val="19"/>
          <w:szCs w:val="19"/>
          <w:color w:val="010000"/>
        </w:rPr>
      </w:pPr>
    </w:p>
    <w:p>
      <w:pPr>
        <w:ind w:right="180"/>
        <w:spacing w:after="0" w:line="357" w:lineRule="auto"/>
        <w:rPr>
          <w:rFonts w:ascii="Arial" w:cs="Arial" w:eastAsia="Arial" w:hAnsi="Arial"/>
          <w:sz w:val="19"/>
          <w:szCs w:val="19"/>
          <w:color w:val="010000"/>
        </w:rPr>
      </w:pPr>
      <w:r>
        <w:rPr>
          <w:rFonts w:ascii="Arial" w:cs="Arial" w:eastAsia="Arial" w:hAnsi="Arial"/>
          <w:sz w:val="19"/>
          <w:szCs w:val="19"/>
          <w:color w:val="auto"/>
        </w:rPr>
        <w:t xml:space="preserve">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2" w:lineRule="exact"/>
        <w:rPr>
          <w:rFonts w:ascii="Arial" w:cs="Arial" w:eastAsia="Arial" w:hAnsi="Arial"/>
          <w:sz w:val="19"/>
          <w:szCs w:val="19"/>
          <w:color w:val="010000"/>
        </w:rPr>
      </w:pPr>
    </w:p>
    <w:p>
      <w:pPr>
        <w:ind w:left="1100" w:hanging="444"/>
        <w:spacing w:after="0"/>
        <w:tabs>
          <w:tab w:leader="none" w:pos="1100" w:val="left"/>
        </w:tabs>
        <w:numPr>
          <w:ilvl w:val="0"/>
          <w:numId w:val="159"/>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To the extent not otherwise governed by the Code or the laws of the United States, this</w:t>
      </w:r>
    </w:p>
    <w:p>
      <w:pPr>
        <w:spacing w:after="0" w:line="69" w:lineRule="exact"/>
        <w:rPr>
          <w:rFonts w:ascii="Arial" w:cs="Arial" w:eastAsia="Arial" w:hAnsi="Arial"/>
          <w:sz w:val="21"/>
          <w:szCs w:val="21"/>
          <w:color w:val="010000"/>
        </w:rPr>
      </w:pPr>
    </w:p>
    <w:p>
      <w:pPr>
        <w:ind w:right="200"/>
        <w:spacing w:after="0" w:line="302" w:lineRule="auto"/>
        <w:rPr>
          <w:rFonts w:ascii="Arial" w:cs="Arial" w:eastAsia="Arial" w:hAnsi="Arial"/>
          <w:sz w:val="21"/>
          <w:szCs w:val="21"/>
          <w:color w:val="010000"/>
        </w:rPr>
      </w:pPr>
      <w:r>
        <w:rPr>
          <w:rFonts w:ascii="Arial" w:cs="Arial" w:eastAsia="Arial" w:hAnsi="Arial"/>
          <w:sz w:val="22"/>
          <w:szCs w:val="22"/>
          <w:color w:val="auto"/>
        </w:rPr>
        <w:t>Agreement shall be governed by the laws of the State of Delaware and construed in accordance therewith without giving effect to principles of conflicts of laws.</w:t>
      </w:r>
    </w:p>
    <w:p>
      <w:pPr>
        <w:spacing w:after="0" w:line="173" w:lineRule="exact"/>
        <w:rPr>
          <w:rFonts w:ascii="Arial" w:cs="Arial" w:eastAsia="Arial" w:hAnsi="Arial"/>
          <w:sz w:val="21"/>
          <w:szCs w:val="21"/>
          <w:color w:val="010000"/>
        </w:rPr>
      </w:pPr>
    </w:p>
    <w:p>
      <w:pPr>
        <w:ind w:right="100" w:firstLine="656"/>
        <w:spacing w:after="0" w:line="315" w:lineRule="auto"/>
        <w:tabs>
          <w:tab w:leader="none" w:pos="1098" w:val="left"/>
        </w:tabs>
        <w:numPr>
          <w:ilvl w:val="0"/>
          <w:numId w:val="159"/>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59" w:lineRule="exact"/>
        <w:rPr>
          <w:rFonts w:ascii="Arial" w:cs="Arial" w:eastAsia="Arial" w:hAnsi="Arial"/>
          <w:sz w:val="22"/>
          <w:szCs w:val="22"/>
          <w:color w:val="010000"/>
        </w:rPr>
      </w:pPr>
    </w:p>
    <w:p>
      <w:pPr>
        <w:ind w:left="1100" w:hanging="444"/>
        <w:spacing w:after="0"/>
        <w:tabs>
          <w:tab w:leader="none" w:pos="1100" w:val="left"/>
        </w:tabs>
        <w:numPr>
          <w:ilvl w:val="0"/>
          <w:numId w:val="159"/>
        </w:numPr>
        <w:rPr>
          <w:rFonts w:ascii="Arial" w:cs="Arial" w:eastAsia="Arial" w:hAnsi="Arial"/>
          <w:sz w:val="19"/>
          <w:szCs w:val="19"/>
          <w:color w:val="010000"/>
        </w:rPr>
      </w:pPr>
      <w:r>
        <w:rPr>
          <w:rFonts w:ascii="Arial" w:cs="Arial" w:eastAsia="Arial" w:hAnsi="Arial"/>
          <w:sz w:val="19"/>
          <w:szCs w:val="19"/>
          <w:u w:val="single" w:color="auto"/>
          <w:color w:val="auto"/>
        </w:rPr>
        <w:t>AWARDS SUBJECT TO CLAWBACK</w:t>
      </w:r>
      <w:r>
        <w:rPr>
          <w:rFonts w:ascii="Arial" w:cs="Arial" w:eastAsia="Arial" w:hAnsi="Arial"/>
          <w:sz w:val="19"/>
          <w:szCs w:val="19"/>
          <w:color w:val="auto"/>
        </w:rPr>
        <w:t>. The Award and any cash payment or shares of Common Stock delivered</w:t>
      </w:r>
    </w:p>
    <w:p>
      <w:pPr>
        <w:spacing w:after="0" w:line="92" w:lineRule="exact"/>
        <w:rPr>
          <w:rFonts w:ascii="Arial" w:cs="Arial" w:eastAsia="Arial" w:hAnsi="Arial"/>
          <w:sz w:val="19"/>
          <w:szCs w:val="19"/>
          <w:color w:val="010000"/>
        </w:rPr>
      </w:pPr>
    </w:p>
    <w:p>
      <w:pPr>
        <w:ind w:right="400"/>
        <w:spacing w:after="0" w:line="306" w:lineRule="auto"/>
        <w:rPr>
          <w:rFonts w:ascii="Arial" w:cs="Arial" w:eastAsia="Arial" w:hAnsi="Arial"/>
          <w:sz w:val="19"/>
          <w:szCs w:val="19"/>
          <w:color w:val="010000"/>
        </w:rPr>
      </w:pPr>
      <w:r>
        <w:rPr>
          <w:rFonts w:ascii="Arial" w:cs="Arial" w:eastAsia="Arial" w:hAnsi="Arial"/>
          <w:sz w:val="21"/>
          <w:szCs w:val="21"/>
          <w:color w:val="auto"/>
        </w:rPr>
        <w:t>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2" w:lineRule="exact"/>
        <w:rPr>
          <w:rFonts w:ascii="Arial" w:cs="Arial" w:eastAsia="Arial" w:hAnsi="Arial"/>
          <w:sz w:val="19"/>
          <w:szCs w:val="19"/>
          <w:color w:val="010000"/>
        </w:rPr>
      </w:pPr>
    </w:p>
    <w:p>
      <w:pPr>
        <w:ind w:left="1100" w:hanging="444"/>
        <w:spacing w:after="0"/>
        <w:tabs>
          <w:tab w:leader="none" w:pos="1100" w:val="left"/>
        </w:tabs>
        <w:numPr>
          <w:ilvl w:val="0"/>
          <w:numId w:val="159"/>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85" w:lineRule="exact"/>
        <w:rPr>
          <w:rFonts w:ascii="Arial" w:cs="Arial" w:eastAsia="Arial" w:hAnsi="Arial"/>
          <w:sz w:val="21"/>
          <w:szCs w:val="21"/>
          <w:color w:val="010000"/>
        </w:rPr>
      </w:pPr>
    </w:p>
    <w:p>
      <w:pPr>
        <w:ind w:left="1720" w:hanging="415"/>
        <w:spacing w:after="0"/>
        <w:tabs>
          <w:tab w:leader="none" w:pos="1720" w:val="left"/>
        </w:tabs>
        <w:numPr>
          <w:ilvl w:val="1"/>
          <w:numId w:val="159"/>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w:t>
      </w:r>
    </w:p>
    <w:p>
      <w:pPr>
        <w:spacing w:after="0" w:line="92" w:lineRule="exact"/>
        <w:rPr>
          <w:rFonts w:ascii="Arial" w:cs="Arial" w:eastAsia="Arial" w:hAnsi="Arial"/>
          <w:sz w:val="19"/>
          <w:szCs w:val="19"/>
          <w:color w:val="010000"/>
        </w:rPr>
      </w:pPr>
    </w:p>
    <w:p>
      <w:pPr>
        <w:spacing w:after="0" w:line="287" w:lineRule="auto"/>
        <w:rPr>
          <w:rFonts w:ascii="Arial" w:cs="Arial" w:eastAsia="Arial" w:hAnsi="Arial"/>
          <w:sz w:val="19"/>
          <w:szCs w:val="19"/>
          <w:color w:val="010000"/>
        </w:rPr>
      </w:pPr>
      <w:r>
        <w:rPr>
          <w:rFonts w:ascii="Arial" w:cs="Arial" w:eastAsia="Arial" w:hAnsi="Arial"/>
          <w:sz w:val="22"/>
          <w:szCs w:val="22"/>
          <w:color w:val="auto"/>
        </w:rPr>
        <w:t>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9" w:lineRule="exact"/>
        <w:rPr>
          <w:rFonts w:ascii="Arial" w:cs="Arial" w:eastAsia="Arial" w:hAnsi="Arial"/>
          <w:sz w:val="19"/>
          <w:szCs w:val="19"/>
          <w:color w:val="010000"/>
        </w:rPr>
      </w:pPr>
    </w:p>
    <w:p>
      <w:pPr>
        <w:ind w:left="1740" w:hanging="435"/>
        <w:spacing w:after="0"/>
        <w:tabs>
          <w:tab w:leader="none" w:pos="1740" w:val="left"/>
        </w:tabs>
        <w:numPr>
          <w:ilvl w:val="1"/>
          <w:numId w:val="159"/>
        </w:numPr>
        <w:rPr>
          <w:rFonts w:ascii="Arial" w:cs="Arial" w:eastAsia="Arial" w:hAnsi="Arial"/>
          <w:sz w:val="21"/>
          <w:szCs w:val="21"/>
          <w:color w:val="010000"/>
        </w:rPr>
      </w:pPr>
      <w:r>
        <w:rPr>
          <w:rFonts w:ascii="Arial" w:cs="Arial" w:eastAsia="Arial" w:hAnsi="Arial"/>
          <w:sz w:val="21"/>
          <w:szCs w:val="21"/>
          <w:color w:val="auto"/>
        </w:rPr>
        <w:t>“Disability” shall mean that the Participant, by reason of any medically determinable physical or mental</w:t>
      </w:r>
    </w:p>
    <w:p>
      <w:pPr>
        <w:spacing w:after="0" w:line="69" w:lineRule="exact"/>
        <w:rPr>
          <w:rFonts w:ascii="Arial" w:cs="Arial" w:eastAsia="Arial" w:hAnsi="Arial"/>
          <w:sz w:val="21"/>
          <w:szCs w:val="21"/>
          <w:color w:val="010000"/>
        </w:rPr>
      </w:pPr>
    </w:p>
    <w:p>
      <w:pPr>
        <w:ind w:right="200"/>
        <w:spacing w:after="0" w:line="292" w:lineRule="auto"/>
        <w:rPr>
          <w:rFonts w:ascii="Arial" w:cs="Arial" w:eastAsia="Arial" w:hAnsi="Arial"/>
          <w:sz w:val="21"/>
          <w:szCs w:val="21"/>
          <w:color w:val="010000"/>
        </w:rPr>
      </w:pPr>
      <w:r>
        <w:rPr>
          <w:rFonts w:ascii="Arial" w:cs="Arial" w:eastAsia="Arial" w:hAnsi="Arial"/>
          <w:sz w:val="22"/>
          <w:szCs w:val="22"/>
          <w:color w:val="auto"/>
        </w:rPr>
        <w:t>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ectPr>
          <w:pgSz w:w="11900" w:h="16838" w:orient="portrait"/>
          <w:cols w:equalWidth="0" w:num="1">
            <w:col w:w="11400"/>
          </w:cols>
          <w:pgMar w:left="240" w:top="145" w:right="259" w:bottom="0" w:gutter="0" w:footer="0" w:header="0"/>
        </w:sectPr>
      </w:pPr>
    </w:p>
    <w:bookmarkStart w:id="128" w:name="page129"/>
    <w:bookmarkEnd w:id="128"/>
    <w:p>
      <w:pPr>
        <w:ind w:left="1720" w:hanging="415"/>
        <w:spacing w:after="0"/>
        <w:tabs>
          <w:tab w:leader="none" w:pos="1720" w:val="left"/>
        </w:tabs>
        <w:numPr>
          <w:ilvl w:val="1"/>
          <w:numId w:val="160"/>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w:t>
      </w:r>
    </w:p>
    <w:p>
      <w:pPr>
        <w:spacing w:after="0" w:line="92" w:lineRule="exact"/>
        <w:rPr>
          <w:rFonts w:ascii="Arial" w:cs="Arial" w:eastAsia="Arial" w:hAnsi="Arial"/>
          <w:sz w:val="19"/>
          <w:szCs w:val="19"/>
          <w:color w:val="010000"/>
        </w:rPr>
      </w:pPr>
    </w:p>
    <w:p>
      <w:pPr>
        <w:spacing w:after="0" w:line="326" w:lineRule="auto"/>
        <w:rPr>
          <w:rFonts w:ascii="Arial" w:cs="Arial" w:eastAsia="Arial" w:hAnsi="Arial"/>
          <w:sz w:val="19"/>
          <w:szCs w:val="19"/>
          <w:color w:val="010000"/>
        </w:rPr>
      </w:pPr>
      <w:r>
        <w:rPr>
          <w:rFonts w:ascii="Arial" w:cs="Arial" w:eastAsia="Arial" w:hAnsi="Arial"/>
          <w:sz w:val="19"/>
          <w:szCs w:val="19"/>
          <w:color w:val="auto"/>
        </w:rPr>
        <w:t>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1" w:lineRule="exact"/>
        <w:rPr>
          <w:rFonts w:ascii="Arial" w:cs="Arial" w:eastAsia="Arial" w:hAnsi="Arial"/>
          <w:sz w:val="19"/>
          <w:szCs w:val="19"/>
          <w:color w:val="010000"/>
        </w:rPr>
      </w:pPr>
    </w:p>
    <w:p>
      <w:pPr>
        <w:ind w:right="40" w:firstLine="8"/>
        <w:spacing w:after="0" w:line="336" w:lineRule="auto"/>
        <w:tabs>
          <w:tab w:leader="none" w:pos="36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5" w:lineRule="exact"/>
        <w:rPr>
          <w:sz w:val="20"/>
          <w:szCs w:val="20"/>
          <w:color w:val="auto"/>
        </w:rPr>
      </w:pPr>
    </w:p>
    <w:p>
      <w:pPr>
        <w:ind w:right="560" w:firstLine="648"/>
        <w:spacing w:after="0" w:line="302"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5486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11420"/>
          </w:cols>
          <w:pgMar w:left="240" w:top="14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10.18</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62" w:lineRule="exact"/>
        <w:rPr>
          <w:sz w:val="20"/>
          <w:szCs w:val="20"/>
          <w:color w:val="auto"/>
        </w:rPr>
      </w:pPr>
    </w:p>
    <w:p>
      <w:pPr>
        <w:ind w:right="980"/>
        <w:spacing w:after="0" w:line="246" w:lineRule="auto"/>
        <w:rPr>
          <w:sz w:val="20"/>
          <w:szCs w:val="20"/>
          <w:color w:val="auto"/>
        </w:rPr>
      </w:pPr>
      <w:r>
        <w:rPr>
          <w:rFonts w:ascii="Arial" w:cs="Arial" w:eastAsia="Arial" w:hAnsi="Arial"/>
          <w:sz w:val="22"/>
          <w:szCs w:val="22"/>
          <w:color w:val="auto"/>
        </w:rPr>
        <w:t xml:space="preserve">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53" w:lineRule="auto"/>
        <w:tabs>
          <w:tab w:leader="none" w:pos="1459" w:val="left"/>
        </w:tabs>
        <w:numPr>
          <w:ilvl w:val="0"/>
          <w:numId w:val="162"/>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5" w:lineRule="exact"/>
        <w:rPr>
          <w:rFonts w:ascii="Arial" w:cs="Arial" w:eastAsia="Arial" w:hAnsi="Arial"/>
          <w:sz w:val="22"/>
          <w:szCs w:val="22"/>
          <w:color w:val="010000"/>
        </w:rPr>
      </w:pPr>
    </w:p>
    <w:p>
      <w:pPr>
        <w:ind w:right="60" w:firstLine="656"/>
        <w:spacing w:after="0" w:line="266" w:lineRule="auto"/>
        <w:tabs>
          <w:tab w:leader="none" w:pos="990" w:val="left"/>
        </w:tabs>
        <w:numPr>
          <w:ilvl w:val="0"/>
          <w:numId w:val="162"/>
        </w:numPr>
        <w:rPr>
          <w:rFonts w:ascii="Arial" w:cs="Arial" w:eastAsia="Arial" w:hAnsi="Arial"/>
          <w:sz w:val="21"/>
          <w:szCs w:val="21"/>
          <w:color w:val="010000"/>
        </w:rPr>
      </w:pPr>
      <w:r>
        <w:rPr>
          <w:rFonts w:ascii="Arial" w:cs="Arial" w:eastAsia="Arial" w:hAnsi="Arial"/>
          <w:sz w:val="21"/>
          <w:szCs w:val="21"/>
          <w:u w:val="single" w:color="auto"/>
          <w:color w:val="auto"/>
        </w:rPr>
        <w:t>RESTRICTIONS AND CONDITIONS</w:t>
      </w:r>
      <w:r>
        <w:rPr>
          <w:rFonts w:ascii="Arial" w:cs="Arial" w:eastAsia="Arial" w:hAnsi="Arial"/>
          <w:sz w:val="21"/>
          <w:szCs w:val="21"/>
          <w:color w:val="auto"/>
        </w:rPr>
        <w:t>. Subject to the Participant’s continuous employment with the Company, the Restriction Period applicable to the Restricted Shares shall lapse, and the Restricted Shares shall become vested, on the third anniversary of the Date of Grant. Except as provided in Section 3, the Restricted Shares will be forfeited if the Participant does not remain continuously in the employment of the Company through the specified lapsing date set forth above. So long as the shares of Common Stock are subject to restrictions imposed under the Plan and the Agreement:</w:t>
      </w:r>
    </w:p>
    <w:p>
      <w:pPr>
        <w:spacing w:after="0" w:line="174" w:lineRule="exact"/>
        <w:rPr>
          <w:rFonts w:ascii="Arial" w:cs="Arial" w:eastAsia="Arial" w:hAnsi="Arial"/>
          <w:sz w:val="21"/>
          <w:szCs w:val="21"/>
          <w:color w:val="010000"/>
        </w:rPr>
      </w:pPr>
    </w:p>
    <w:p>
      <w:pPr>
        <w:ind w:right="700" w:firstLine="1305"/>
        <w:spacing w:after="0" w:line="358" w:lineRule="auto"/>
        <w:tabs>
          <w:tab w:leader="none" w:pos="1716" w:val="left"/>
        </w:tabs>
        <w:numPr>
          <w:ilvl w:val="1"/>
          <w:numId w:val="162"/>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0"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162"/>
        </w:numPr>
        <w:rPr>
          <w:rFonts w:ascii="Arial" w:cs="Arial" w:eastAsia="Arial" w:hAnsi="Arial"/>
          <w:sz w:val="22"/>
          <w:szCs w:val="22"/>
          <w:color w:val="010000"/>
        </w:rPr>
      </w:pPr>
      <w:r>
        <w:rPr>
          <w:rFonts w:ascii="Arial" w:cs="Arial" w:eastAsia="Arial" w:hAnsi="Arial"/>
          <w:sz w:val="22"/>
          <w:szCs w:val="22"/>
          <w:color w:val="auto"/>
        </w:rPr>
        <w:t>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5" w:lineRule="exact"/>
        <w:rPr>
          <w:rFonts w:ascii="Arial" w:cs="Arial" w:eastAsia="Arial" w:hAnsi="Arial"/>
          <w:sz w:val="22"/>
          <w:szCs w:val="22"/>
          <w:color w:val="010000"/>
        </w:rPr>
      </w:pPr>
    </w:p>
    <w:p>
      <w:pPr>
        <w:ind w:right="320" w:firstLine="1305"/>
        <w:spacing w:after="0" w:line="276" w:lineRule="auto"/>
        <w:tabs>
          <w:tab w:leader="none" w:pos="1716" w:val="left"/>
        </w:tabs>
        <w:numPr>
          <w:ilvl w:val="1"/>
          <w:numId w:val="162"/>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60" w:lineRule="exact"/>
        <w:rPr>
          <w:rFonts w:ascii="Arial" w:cs="Arial" w:eastAsia="Arial" w:hAnsi="Arial"/>
          <w:sz w:val="22"/>
          <w:szCs w:val="22"/>
          <w:color w:val="010000"/>
        </w:rPr>
      </w:pPr>
    </w:p>
    <w:p>
      <w:pPr>
        <w:ind w:left="1740" w:hanging="435"/>
        <w:spacing w:after="0"/>
        <w:tabs>
          <w:tab w:leader="none" w:pos="1740" w:val="left"/>
        </w:tabs>
        <w:numPr>
          <w:ilvl w:val="1"/>
          <w:numId w:val="162"/>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33" w:lineRule="exact"/>
        <w:rPr>
          <w:sz w:val="20"/>
          <w:szCs w:val="20"/>
          <w:color w:val="auto"/>
        </w:rPr>
      </w:pPr>
    </w:p>
    <w:p>
      <w:pPr>
        <w:ind w:left="1300" w:right="140"/>
        <w:spacing w:after="0" w:line="250"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2016 Stock Incentive Plan and a Restricted Stock Award Agreement entered into between the registered owner and Dine Brands Global, Inc. Copies of such Plan and Agreement are on file in the offices of Dine Brands Global, Inc.”;</w:t>
      </w:r>
    </w:p>
    <w:p>
      <w:pPr>
        <w:spacing w:after="0" w:line="188" w:lineRule="exact"/>
        <w:rPr>
          <w:sz w:val="20"/>
          <w:szCs w:val="20"/>
          <w:color w:val="auto"/>
        </w:rPr>
      </w:pPr>
    </w:p>
    <w:p>
      <w:pPr>
        <w:ind w:left="1720" w:hanging="415"/>
        <w:spacing w:after="0"/>
        <w:tabs>
          <w:tab w:leader="none" w:pos="1720"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267" w:lineRule="exact"/>
        <w:rPr>
          <w:rFonts w:ascii="Arial" w:cs="Arial" w:eastAsia="Arial" w:hAnsi="Arial"/>
          <w:sz w:val="19"/>
          <w:szCs w:val="19"/>
          <w:color w:val="010000"/>
        </w:rPr>
      </w:pPr>
    </w:p>
    <w:p>
      <w:pPr>
        <w:ind w:left="1700" w:hanging="395"/>
        <w:spacing w:after="0"/>
        <w:tabs>
          <w:tab w:leader="none" w:pos="1700"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88" w:lineRule="exact"/>
        <w:rPr>
          <w:sz w:val="20"/>
          <w:szCs w:val="20"/>
          <w:color w:val="auto"/>
        </w:rPr>
      </w:pPr>
    </w:p>
    <w:p>
      <w:pPr>
        <w:ind w:left="1000" w:hanging="344"/>
        <w:spacing w:after="0"/>
        <w:tabs>
          <w:tab w:leader="none" w:pos="1000" w:val="left"/>
        </w:tabs>
        <w:numPr>
          <w:ilvl w:val="0"/>
          <w:numId w:val="164"/>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ectPr>
          <w:pgSz w:w="11900" w:h="16838" w:orient="portrait"/>
          <w:cols w:equalWidth="0" w:num="1">
            <w:col w:w="11420"/>
          </w:cols>
          <w:pgMar w:left="240" w:top="126" w:right="239" w:bottom="0" w:gutter="0" w:footer="0" w:header="0"/>
        </w:sectPr>
      </w:pPr>
    </w:p>
    <w:bookmarkStart w:id="130" w:name="page131"/>
    <w:bookmarkEnd w:id="130"/>
    <w:p>
      <w:pPr>
        <w:ind w:left="-8" w:right="80" w:firstLine="1305"/>
        <w:spacing w:after="0" w:line="260" w:lineRule="auto"/>
        <w:tabs>
          <w:tab w:leader="none" w:pos="1708" w:val="left"/>
        </w:tabs>
        <w:numPr>
          <w:ilvl w:val="2"/>
          <w:numId w:val="165"/>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Except as otherwise provided in this Section 3, the Restricted Shares will be forfeited if the Participant does not remain continuously in the employment of the Company through the specified lapsing date set forth in Section 2 above.</w:t>
      </w:r>
    </w:p>
    <w:p>
      <w:pPr>
        <w:spacing w:after="0" w:line="177" w:lineRule="exact"/>
        <w:rPr>
          <w:rFonts w:ascii="Arial" w:cs="Arial" w:eastAsia="Arial" w:hAnsi="Arial"/>
          <w:sz w:val="22"/>
          <w:szCs w:val="22"/>
          <w:color w:val="010000"/>
        </w:rPr>
      </w:pPr>
    </w:p>
    <w:p>
      <w:pPr>
        <w:ind w:left="-8" w:right="280" w:firstLine="1305"/>
        <w:spacing w:after="0" w:line="358" w:lineRule="auto"/>
        <w:tabs>
          <w:tab w:leader="none" w:pos="1720" w:val="left"/>
        </w:tabs>
        <w:numPr>
          <w:ilvl w:val="2"/>
          <w:numId w:val="165"/>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90" w:lineRule="exact"/>
        <w:rPr>
          <w:rFonts w:ascii="Arial" w:cs="Arial" w:eastAsia="Arial" w:hAnsi="Arial"/>
          <w:sz w:val="19"/>
          <w:szCs w:val="19"/>
          <w:color w:val="010000"/>
        </w:rPr>
      </w:pPr>
    </w:p>
    <w:p>
      <w:pPr>
        <w:ind w:left="-8" w:right="40" w:firstLine="1305"/>
        <w:spacing w:after="0" w:line="254" w:lineRule="auto"/>
        <w:tabs>
          <w:tab w:leader="none" w:pos="1708" w:val="left"/>
        </w:tabs>
        <w:numPr>
          <w:ilvl w:val="2"/>
          <w:numId w:val="165"/>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5" w:lineRule="exact"/>
        <w:rPr>
          <w:rFonts w:ascii="Arial" w:cs="Arial" w:eastAsia="Arial" w:hAnsi="Arial"/>
          <w:sz w:val="22"/>
          <w:szCs w:val="22"/>
          <w:color w:val="010000"/>
        </w:rPr>
      </w:pPr>
    </w:p>
    <w:p>
      <w:pPr>
        <w:ind w:left="-8" w:right="40" w:firstLine="656"/>
        <w:spacing w:after="0" w:line="292" w:lineRule="auto"/>
        <w:tabs>
          <w:tab w:leader="none" w:pos="982" w:val="left"/>
        </w:tabs>
        <w:numPr>
          <w:ilvl w:val="1"/>
          <w:numId w:val="166"/>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5" w:lineRule="exact"/>
        <w:rPr>
          <w:rFonts w:ascii="Arial" w:cs="Arial" w:eastAsia="Arial" w:hAnsi="Arial"/>
          <w:sz w:val="19"/>
          <w:szCs w:val="19"/>
          <w:color w:val="010000"/>
        </w:rPr>
      </w:pPr>
    </w:p>
    <w:p>
      <w:pPr>
        <w:ind w:left="-8" w:right="20" w:firstLine="656"/>
        <w:spacing w:after="0" w:line="290" w:lineRule="auto"/>
        <w:tabs>
          <w:tab w:leader="none" w:pos="982" w:val="left"/>
        </w:tabs>
        <w:numPr>
          <w:ilvl w:val="1"/>
          <w:numId w:val="166"/>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left="-8" w:firstLine="8"/>
        <w:spacing w:after="0" w:line="256" w:lineRule="auto"/>
        <w:tabs>
          <w:tab w:leader="none" w:pos="40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left="-8" w:right="60" w:firstLine="656"/>
        <w:spacing w:after="0" w:line="251" w:lineRule="auto"/>
        <w:tabs>
          <w:tab w:leader="none" w:pos="982" w:val="left"/>
        </w:tabs>
        <w:numPr>
          <w:ilvl w:val="1"/>
          <w:numId w:val="167"/>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8" w:right="260" w:firstLine="656"/>
        <w:spacing w:after="0" w:line="301" w:lineRule="auto"/>
        <w:tabs>
          <w:tab w:leader="none" w:pos="982" w:val="left"/>
        </w:tabs>
        <w:numPr>
          <w:ilvl w:val="1"/>
          <w:numId w:val="167"/>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8" w:right="20" w:firstLine="656"/>
        <w:spacing w:after="0" w:line="286" w:lineRule="auto"/>
        <w:tabs>
          <w:tab w:leader="none" w:pos="982" w:val="left"/>
        </w:tabs>
        <w:numPr>
          <w:ilvl w:val="1"/>
          <w:numId w:val="167"/>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ectPr>
          <w:pgSz w:w="11900" w:h="16838" w:orient="portrait"/>
          <w:cols w:equalWidth="0" w:num="1">
            <w:col w:w="11412"/>
          </w:cols>
          <w:pgMar w:left="248" w:top="131" w:right="239" w:bottom="105" w:gutter="0" w:footer="0" w:header="0"/>
        </w:sectPr>
      </w:pPr>
    </w:p>
    <w:bookmarkStart w:id="131" w:name="page132"/>
    <w:bookmarkEnd w:id="131"/>
    <w:p>
      <w:pPr>
        <w:ind w:right="340" w:firstLine="656"/>
        <w:spacing w:after="0" w:line="276" w:lineRule="auto"/>
        <w:tabs>
          <w:tab w:leader="none" w:pos="990" w:val="left"/>
        </w:tabs>
        <w:numPr>
          <w:ilvl w:val="1"/>
          <w:numId w:val="168"/>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20" w:firstLine="656"/>
        <w:spacing w:after="0" w:line="300" w:lineRule="auto"/>
        <w:tabs>
          <w:tab w:leader="none" w:pos="1098" w:val="left"/>
        </w:tabs>
        <w:numPr>
          <w:ilvl w:val="1"/>
          <w:numId w:val="168"/>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right="200" w:firstLine="656"/>
        <w:spacing w:after="0" w:line="307" w:lineRule="auto"/>
        <w:tabs>
          <w:tab w:leader="none" w:pos="1090" w:val="left"/>
        </w:tabs>
        <w:numPr>
          <w:ilvl w:val="1"/>
          <w:numId w:val="168"/>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220" w:firstLine="656"/>
        <w:spacing w:after="0" w:line="260" w:lineRule="auto"/>
        <w:tabs>
          <w:tab w:leader="none" w:pos="1098" w:val="left"/>
        </w:tabs>
        <w:numPr>
          <w:ilvl w:val="1"/>
          <w:numId w:val="168"/>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20" w:firstLine="656"/>
        <w:spacing w:after="0" w:line="276" w:lineRule="auto"/>
        <w:tabs>
          <w:tab w:leader="none" w:pos="1098" w:val="left"/>
        </w:tabs>
        <w:numPr>
          <w:ilvl w:val="1"/>
          <w:numId w:val="168"/>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1"/>
          <w:numId w:val="168"/>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168"/>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20" w:firstLine="1305"/>
        <w:spacing w:after="0" w:line="264" w:lineRule="auto"/>
        <w:tabs>
          <w:tab w:leader="none" w:pos="1716" w:val="left"/>
        </w:tabs>
        <w:numPr>
          <w:ilvl w:val="2"/>
          <w:numId w:val="168"/>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5" w:lineRule="exact"/>
        <w:rPr>
          <w:rFonts w:ascii="Arial" w:cs="Arial" w:eastAsia="Arial" w:hAnsi="Arial"/>
          <w:sz w:val="21"/>
          <w:szCs w:val="21"/>
          <w:color w:val="010000"/>
        </w:rPr>
      </w:pPr>
    </w:p>
    <w:p>
      <w:pPr>
        <w:ind w:right="220" w:firstLine="1305"/>
        <w:spacing w:after="0" w:line="254" w:lineRule="auto"/>
        <w:tabs>
          <w:tab w:leader="none" w:pos="1728" w:val="left"/>
        </w:tabs>
        <w:numPr>
          <w:ilvl w:val="2"/>
          <w:numId w:val="168"/>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168"/>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9"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420"/>
          </w:cols>
          <w:pgMar w:left="240" w:top="132" w:right="239" w:bottom="0" w:gutter="0" w:footer="0" w:header="0"/>
        </w:sectPr>
      </w:pPr>
    </w:p>
    <w:bookmarkStart w:id="132" w:name="page133"/>
    <w:bookmarkEnd w:id="132"/>
    <w:p>
      <w:pPr>
        <w:ind w:left="2700"/>
        <w:spacing w:after="0"/>
        <w:rPr>
          <w:sz w:val="20"/>
          <w:szCs w:val="20"/>
          <w:color w:val="auto"/>
        </w:rPr>
      </w:pPr>
      <w:r>
        <w:rPr>
          <w:rFonts w:ascii="Arial" w:cs="Arial" w:eastAsia="Arial" w:hAnsi="Arial"/>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9019"/>
          </w:cols>
          <w:pgMar w:left="1440" w:top="193"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10.19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 Non-Employee Directors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of Grant”), by and 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53" w:lineRule="auto"/>
        <w:tabs>
          <w:tab w:leader="none" w:pos="1459" w:val="left"/>
        </w:tabs>
        <w:numPr>
          <w:ilvl w:val="0"/>
          <w:numId w:val="170"/>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5" w:lineRule="exact"/>
        <w:rPr>
          <w:rFonts w:ascii="Arial" w:cs="Arial" w:eastAsia="Arial" w:hAnsi="Arial"/>
          <w:sz w:val="22"/>
          <w:szCs w:val="22"/>
          <w:color w:val="010000"/>
        </w:rPr>
      </w:pPr>
    </w:p>
    <w:p>
      <w:pPr>
        <w:ind w:right="100" w:firstLine="656"/>
        <w:spacing w:after="0" w:line="266" w:lineRule="auto"/>
        <w:tabs>
          <w:tab w:leader="none" w:pos="990" w:val="left"/>
        </w:tabs>
        <w:numPr>
          <w:ilvl w:val="0"/>
          <w:numId w:val="170"/>
        </w:numPr>
        <w:rPr>
          <w:rFonts w:ascii="Arial" w:cs="Arial" w:eastAsia="Arial" w:hAnsi="Arial"/>
          <w:sz w:val="21"/>
          <w:szCs w:val="21"/>
          <w:color w:val="010000"/>
        </w:rPr>
      </w:pPr>
      <w:r>
        <w:rPr>
          <w:rFonts w:ascii="Arial" w:cs="Arial" w:eastAsia="Arial" w:hAnsi="Arial"/>
          <w:sz w:val="21"/>
          <w:szCs w:val="21"/>
          <w:u w:val="single" w:color="auto"/>
          <w:color w:val="auto"/>
        </w:rPr>
        <w:t>RESTRICTIONS AND CONDITIONS</w:t>
      </w:r>
      <w:r>
        <w:rPr>
          <w:rFonts w:ascii="Arial" w:cs="Arial" w:eastAsia="Arial" w:hAnsi="Arial"/>
          <w:sz w:val="21"/>
          <w:szCs w:val="21"/>
          <w:color w:val="auto"/>
        </w:rPr>
        <w:t>. Subject to the Participant’s continuous service with the Company, the Restriction Period applicable to the Restricted Shares shall lapse, and the Restricted Shares shall become vested, on the third anniversary of the Date of Grant. Except as provided in Section 3, the Restricted Shares will be forfeited if the Participant does not remain continuously in the service of the Company through the specified lapsing date set forth above. So long as the shares of Common Stock are subject to restrictions imposed under the Plan and the Agreement:</w:t>
      </w:r>
    </w:p>
    <w:p>
      <w:pPr>
        <w:spacing w:after="0" w:line="174" w:lineRule="exact"/>
        <w:rPr>
          <w:rFonts w:ascii="Arial" w:cs="Arial" w:eastAsia="Arial" w:hAnsi="Arial"/>
          <w:sz w:val="21"/>
          <w:szCs w:val="21"/>
          <w:color w:val="010000"/>
        </w:rPr>
      </w:pPr>
    </w:p>
    <w:p>
      <w:pPr>
        <w:ind w:right="700" w:firstLine="1305"/>
        <w:spacing w:after="0" w:line="358" w:lineRule="auto"/>
        <w:tabs>
          <w:tab w:leader="none" w:pos="1716" w:val="left"/>
        </w:tabs>
        <w:numPr>
          <w:ilvl w:val="1"/>
          <w:numId w:val="170"/>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0"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170"/>
        </w:numPr>
        <w:rPr>
          <w:rFonts w:ascii="Arial" w:cs="Arial" w:eastAsia="Arial" w:hAnsi="Arial"/>
          <w:sz w:val="22"/>
          <w:szCs w:val="22"/>
          <w:color w:val="010000"/>
        </w:rPr>
      </w:pPr>
      <w:r>
        <w:rPr>
          <w:rFonts w:ascii="Arial" w:cs="Arial" w:eastAsia="Arial" w:hAnsi="Arial"/>
          <w:sz w:val="22"/>
          <w:szCs w:val="22"/>
          <w:color w:val="auto"/>
        </w:rPr>
        <w:t>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5" w:lineRule="exact"/>
        <w:rPr>
          <w:rFonts w:ascii="Arial" w:cs="Arial" w:eastAsia="Arial" w:hAnsi="Arial"/>
          <w:sz w:val="22"/>
          <w:szCs w:val="22"/>
          <w:color w:val="010000"/>
        </w:rPr>
      </w:pPr>
    </w:p>
    <w:p>
      <w:pPr>
        <w:ind w:right="320" w:firstLine="1305"/>
        <w:spacing w:after="0" w:line="276" w:lineRule="auto"/>
        <w:tabs>
          <w:tab w:leader="none" w:pos="1716" w:val="left"/>
        </w:tabs>
        <w:numPr>
          <w:ilvl w:val="1"/>
          <w:numId w:val="170"/>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60" w:lineRule="exact"/>
        <w:rPr>
          <w:rFonts w:ascii="Arial" w:cs="Arial" w:eastAsia="Arial" w:hAnsi="Arial"/>
          <w:sz w:val="22"/>
          <w:szCs w:val="22"/>
          <w:color w:val="010000"/>
        </w:rPr>
      </w:pPr>
    </w:p>
    <w:p>
      <w:pPr>
        <w:ind w:left="1740" w:hanging="435"/>
        <w:spacing w:after="0"/>
        <w:tabs>
          <w:tab w:leader="none" w:pos="1740" w:val="left"/>
        </w:tabs>
        <w:numPr>
          <w:ilvl w:val="1"/>
          <w:numId w:val="170"/>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33" w:lineRule="exact"/>
        <w:rPr>
          <w:sz w:val="20"/>
          <w:szCs w:val="20"/>
          <w:color w:val="auto"/>
        </w:rPr>
      </w:pPr>
    </w:p>
    <w:p>
      <w:pPr>
        <w:ind w:left="1300" w:right="140"/>
        <w:spacing w:after="0" w:line="250"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2016 Stock Incentive Plan and a Restricted Stock Award Agreement entered into between the registered owner and Dine Brands Global, Inc. Copies of such Plan and Agreement are on file in the offices of Dine Brands Global, Inc.”;</w:t>
      </w:r>
    </w:p>
    <w:p>
      <w:pPr>
        <w:spacing w:after="0" w:line="188" w:lineRule="exact"/>
        <w:rPr>
          <w:sz w:val="20"/>
          <w:szCs w:val="20"/>
          <w:color w:val="auto"/>
        </w:rPr>
      </w:pPr>
    </w:p>
    <w:p>
      <w:pPr>
        <w:ind w:left="1720" w:hanging="415"/>
        <w:spacing w:after="0"/>
        <w:tabs>
          <w:tab w:leader="none" w:pos="1720" w:val="left"/>
        </w:tabs>
        <w:numPr>
          <w:ilvl w:val="0"/>
          <w:numId w:val="171"/>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267" w:lineRule="exact"/>
        <w:rPr>
          <w:rFonts w:ascii="Arial" w:cs="Arial" w:eastAsia="Arial" w:hAnsi="Arial"/>
          <w:sz w:val="19"/>
          <w:szCs w:val="19"/>
          <w:color w:val="010000"/>
        </w:rPr>
      </w:pPr>
    </w:p>
    <w:p>
      <w:pPr>
        <w:ind w:left="1700" w:hanging="395"/>
        <w:spacing w:after="0"/>
        <w:tabs>
          <w:tab w:leader="none" w:pos="1700" w:val="left"/>
        </w:tabs>
        <w:numPr>
          <w:ilvl w:val="0"/>
          <w:numId w:val="171"/>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15"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As of each lapsing date set forth above or in Section 3,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86" w:lineRule="exact"/>
        <w:rPr>
          <w:sz w:val="20"/>
          <w:szCs w:val="20"/>
          <w:color w:val="auto"/>
        </w:rPr>
      </w:pPr>
    </w:p>
    <w:p>
      <w:pPr>
        <w:ind w:left="1000" w:hanging="344"/>
        <w:spacing w:after="0"/>
        <w:tabs>
          <w:tab w:leader="none" w:pos="1000" w:val="left"/>
        </w:tabs>
        <w:numPr>
          <w:ilvl w:val="0"/>
          <w:numId w:val="172"/>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SERVICE</w:t>
      </w:r>
      <w:r>
        <w:rPr>
          <w:rFonts w:ascii="Arial" w:cs="Arial" w:eastAsia="Arial" w:hAnsi="Arial"/>
          <w:sz w:val="22"/>
          <w:szCs w:val="22"/>
          <w:color w:val="auto"/>
        </w:rPr>
        <w:t>.</w:t>
      </w:r>
    </w:p>
    <w:p>
      <w:pPr>
        <w:sectPr>
          <w:pgSz w:w="11900" w:h="16838" w:orient="portrait"/>
          <w:cols w:equalWidth="0" w:num="1">
            <w:col w:w="11420"/>
          </w:cols>
          <w:pgMar w:left="240" w:top="125" w:right="239" w:bottom="155" w:gutter="0" w:footer="0" w:header="0"/>
        </w:sectPr>
      </w:pPr>
    </w:p>
    <w:bookmarkStart w:id="134" w:name="page135"/>
    <w:bookmarkEnd w:id="134"/>
    <w:p>
      <w:pPr>
        <w:jc w:val="both"/>
        <w:ind w:left="-8" w:right="360" w:firstLine="1305"/>
        <w:spacing w:after="0" w:line="260" w:lineRule="auto"/>
        <w:tabs>
          <w:tab w:leader="none" w:pos="1708" w:val="left"/>
        </w:tabs>
        <w:numPr>
          <w:ilvl w:val="2"/>
          <w:numId w:val="173"/>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Except as otherwise provided in this Section 3, the Restricted Shares will be forfeited if the Participant does not remain continuously in the service of the Company through the specified lapsing date set forth in Section 2 above.</w:t>
      </w:r>
    </w:p>
    <w:p>
      <w:pPr>
        <w:spacing w:after="0" w:line="177" w:lineRule="exact"/>
        <w:rPr>
          <w:rFonts w:ascii="Arial" w:cs="Arial" w:eastAsia="Arial" w:hAnsi="Arial"/>
          <w:sz w:val="22"/>
          <w:szCs w:val="22"/>
          <w:color w:val="010000"/>
        </w:rPr>
      </w:pPr>
    </w:p>
    <w:p>
      <w:pPr>
        <w:ind w:left="-8" w:right="460" w:firstLine="1305"/>
        <w:spacing w:after="0" w:line="260" w:lineRule="auto"/>
        <w:tabs>
          <w:tab w:leader="none" w:pos="1720" w:val="left"/>
        </w:tabs>
        <w:numPr>
          <w:ilvl w:val="2"/>
          <w:numId w:val="173"/>
        </w:numPr>
        <w:rPr>
          <w:rFonts w:ascii="Arial" w:cs="Arial" w:eastAsia="Arial" w:hAnsi="Arial"/>
          <w:sz w:val="22"/>
          <w:szCs w:val="22"/>
          <w:color w:val="010000"/>
        </w:rPr>
      </w:pPr>
      <w:r>
        <w:rPr>
          <w:rFonts w:ascii="Arial" w:cs="Arial" w:eastAsia="Arial" w:hAnsi="Arial"/>
          <w:sz w:val="22"/>
          <w:szCs w:val="22"/>
          <w:u w:val="single" w:color="auto"/>
          <w:color w:val="auto"/>
        </w:rPr>
        <w:t>Disability, Death or Retirement</w:t>
      </w:r>
      <w:r>
        <w:rPr>
          <w:rFonts w:ascii="Arial" w:cs="Arial" w:eastAsia="Arial" w:hAnsi="Arial"/>
          <w:sz w:val="22"/>
          <w:szCs w:val="22"/>
          <w:color w:val="auto"/>
        </w:rPr>
        <w:t>. If the Participant’s service with the Company terminates due to Disability, death or Retirement, the Restriction Period shall lapse in its entirety and the Restricted Shares shall become fully vested and nonforfeitable.</w:t>
      </w:r>
    </w:p>
    <w:p>
      <w:pPr>
        <w:spacing w:after="0" w:line="177" w:lineRule="exact"/>
        <w:rPr>
          <w:rFonts w:ascii="Arial" w:cs="Arial" w:eastAsia="Arial" w:hAnsi="Arial"/>
          <w:sz w:val="22"/>
          <w:szCs w:val="22"/>
          <w:color w:val="010000"/>
        </w:rPr>
      </w:pPr>
    </w:p>
    <w:p>
      <w:pPr>
        <w:ind w:left="1712" w:hanging="415"/>
        <w:spacing w:after="0"/>
        <w:tabs>
          <w:tab w:leader="none" w:pos="1712" w:val="left"/>
        </w:tabs>
        <w:numPr>
          <w:ilvl w:val="2"/>
          <w:numId w:val="173"/>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 Participant’s service with the Company is terminated within a period of twenty-four</w:t>
      </w:r>
    </w:p>
    <w:p>
      <w:pPr>
        <w:spacing w:after="0" w:line="56" w:lineRule="exact"/>
        <w:rPr>
          <w:rFonts w:ascii="Arial" w:cs="Arial" w:eastAsia="Arial" w:hAnsi="Arial"/>
          <w:sz w:val="19"/>
          <w:szCs w:val="19"/>
          <w:color w:val="010000"/>
        </w:rPr>
      </w:pPr>
    </w:p>
    <w:p>
      <w:pPr>
        <w:ind w:left="-8" w:right="220" w:firstLine="8"/>
        <w:spacing w:after="0" w:line="259" w:lineRule="auto"/>
        <w:tabs>
          <w:tab w:leader="none" w:pos="40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months following a Change in Control by the Company other than for Cause, the Restriction Period shall lapse in its entirety and the Restricted Shares shall become fully vested and nonforfeitable.</w:t>
      </w:r>
    </w:p>
    <w:p>
      <w:pPr>
        <w:spacing w:after="0" w:line="178" w:lineRule="exact"/>
        <w:rPr>
          <w:rFonts w:ascii="Arial" w:cs="Arial" w:eastAsia="Arial" w:hAnsi="Arial"/>
          <w:sz w:val="22"/>
          <w:szCs w:val="22"/>
          <w:color w:val="auto"/>
        </w:rPr>
      </w:pPr>
    </w:p>
    <w:p>
      <w:pPr>
        <w:ind w:left="-8" w:right="40" w:firstLine="656"/>
        <w:spacing w:after="0" w:line="292" w:lineRule="auto"/>
        <w:tabs>
          <w:tab w:leader="none" w:pos="982" w:val="left"/>
        </w:tabs>
        <w:numPr>
          <w:ilvl w:val="1"/>
          <w:numId w:val="174"/>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5" w:lineRule="exact"/>
        <w:rPr>
          <w:rFonts w:ascii="Arial" w:cs="Arial" w:eastAsia="Arial" w:hAnsi="Arial"/>
          <w:sz w:val="19"/>
          <w:szCs w:val="19"/>
          <w:color w:val="010000"/>
        </w:rPr>
      </w:pPr>
    </w:p>
    <w:p>
      <w:pPr>
        <w:ind w:left="-8" w:right="20" w:firstLine="656"/>
        <w:spacing w:after="0" w:line="290" w:lineRule="auto"/>
        <w:tabs>
          <w:tab w:leader="none" w:pos="982" w:val="left"/>
        </w:tabs>
        <w:numPr>
          <w:ilvl w:val="1"/>
          <w:numId w:val="174"/>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left="-8" w:firstLine="8"/>
        <w:spacing w:after="0" w:line="256" w:lineRule="auto"/>
        <w:tabs>
          <w:tab w:leader="none" w:pos="406" w:val="left"/>
        </w:tabs>
        <w:numPr>
          <w:ilvl w:val="0"/>
          <w:numId w:val="175"/>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left="-8" w:right="60" w:firstLine="656"/>
        <w:spacing w:after="0" w:line="251" w:lineRule="auto"/>
        <w:tabs>
          <w:tab w:leader="none" w:pos="982" w:val="left"/>
        </w:tabs>
        <w:numPr>
          <w:ilvl w:val="1"/>
          <w:numId w:val="175"/>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8" w:right="260" w:firstLine="656"/>
        <w:spacing w:after="0" w:line="301" w:lineRule="auto"/>
        <w:tabs>
          <w:tab w:leader="none" w:pos="982" w:val="left"/>
        </w:tabs>
        <w:numPr>
          <w:ilvl w:val="1"/>
          <w:numId w:val="175"/>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8" w:right="340" w:firstLine="656"/>
        <w:spacing w:after="0" w:line="276" w:lineRule="auto"/>
        <w:tabs>
          <w:tab w:leader="none" w:pos="982" w:val="left"/>
        </w:tabs>
        <w:numPr>
          <w:ilvl w:val="1"/>
          <w:numId w:val="175"/>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8" w:right="160" w:firstLine="656"/>
        <w:spacing w:after="0" w:line="254" w:lineRule="auto"/>
        <w:tabs>
          <w:tab w:leader="none" w:pos="982" w:val="left"/>
        </w:tabs>
        <w:numPr>
          <w:ilvl w:val="1"/>
          <w:numId w:val="175"/>
        </w:numPr>
        <w:rPr>
          <w:rFonts w:ascii="Arial" w:cs="Arial" w:eastAsia="Arial" w:hAnsi="Arial"/>
          <w:sz w:val="22"/>
          <w:szCs w:val="22"/>
          <w:color w:val="010000"/>
        </w:rPr>
      </w:pPr>
      <w:r>
        <w:rPr>
          <w:rFonts w:ascii="Arial" w:cs="Arial" w:eastAsia="Arial" w:hAnsi="Arial"/>
          <w:sz w:val="22"/>
          <w:szCs w:val="22"/>
          <w:u w:val="single" w:color="auto"/>
          <w:color w:val="auto"/>
        </w:rPr>
        <w:t>CONTINUED SERVICE</w:t>
      </w:r>
      <w:r>
        <w:rPr>
          <w:rFonts w:ascii="Arial" w:cs="Arial" w:eastAsia="Arial" w:hAnsi="Arial"/>
          <w:sz w:val="22"/>
          <w:szCs w:val="22"/>
          <w:color w:val="auto"/>
        </w:rPr>
        <w:t>. Neither the Plan, the granting of the Award, this Agreement nor any other action taken pursuant to the Plan shall confer upon any person any right to continued service with the Company, any Subsidiary or any affiliate of the Company or affect in any manner the right of the Company, any Subsidiary or any affiliate of the Company to terminate the service of any person at any time without liability hereunder.</w:t>
      </w:r>
    </w:p>
    <w:p>
      <w:pPr>
        <w:spacing w:after="0" w:line="185" w:lineRule="exact"/>
        <w:rPr>
          <w:rFonts w:ascii="Arial" w:cs="Arial" w:eastAsia="Arial" w:hAnsi="Arial"/>
          <w:sz w:val="22"/>
          <w:szCs w:val="22"/>
          <w:color w:val="010000"/>
        </w:rPr>
      </w:pPr>
    </w:p>
    <w:p>
      <w:pPr>
        <w:ind w:left="-8" w:right="200" w:firstLine="656"/>
        <w:spacing w:after="0" w:line="307" w:lineRule="auto"/>
        <w:tabs>
          <w:tab w:leader="none" w:pos="1090" w:val="left"/>
        </w:tabs>
        <w:numPr>
          <w:ilvl w:val="1"/>
          <w:numId w:val="175"/>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left="-8" w:right="220" w:firstLine="656"/>
        <w:spacing w:after="0" w:line="260" w:lineRule="auto"/>
        <w:tabs>
          <w:tab w:leader="none" w:pos="1082" w:val="left"/>
        </w:tabs>
        <w:numPr>
          <w:ilvl w:val="1"/>
          <w:numId w:val="175"/>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ectPr>
          <w:pgSz w:w="11900" w:h="16838" w:orient="portrait"/>
          <w:cols w:equalWidth="0" w:num="1">
            <w:col w:w="11412"/>
          </w:cols>
          <w:pgMar w:left="248" w:top="132" w:right="239" w:bottom="194" w:gutter="0" w:footer="0" w:header="0"/>
        </w:sectPr>
      </w:pPr>
    </w:p>
    <w:bookmarkStart w:id="135" w:name="page136"/>
    <w:bookmarkEnd w:id="135"/>
    <w:p>
      <w:pPr>
        <w:ind w:right="100" w:firstLine="656"/>
        <w:spacing w:after="0" w:line="276" w:lineRule="auto"/>
        <w:tabs>
          <w:tab w:leader="none" w:pos="1098" w:val="left"/>
        </w:tabs>
        <w:numPr>
          <w:ilvl w:val="0"/>
          <w:numId w:val="17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0"/>
          <w:numId w:val="176"/>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176"/>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firstLine="1305"/>
        <w:spacing w:after="0" w:line="264" w:lineRule="auto"/>
        <w:tabs>
          <w:tab w:leader="none" w:pos="1716" w:val="left"/>
        </w:tabs>
        <w:numPr>
          <w:ilvl w:val="1"/>
          <w:numId w:val="176"/>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5" w:lineRule="exact"/>
        <w:rPr>
          <w:rFonts w:ascii="Arial" w:cs="Arial" w:eastAsia="Arial" w:hAnsi="Arial"/>
          <w:sz w:val="21"/>
          <w:szCs w:val="21"/>
          <w:color w:val="010000"/>
        </w:rPr>
      </w:pPr>
    </w:p>
    <w:p>
      <w:pPr>
        <w:ind w:right="440" w:firstLine="1305"/>
        <w:spacing w:after="0" w:line="276" w:lineRule="auto"/>
        <w:tabs>
          <w:tab w:leader="none" w:pos="1728" w:val="left"/>
        </w:tabs>
        <w:numPr>
          <w:ilvl w:val="1"/>
          <w:numId w:val="176"/>
        </w:numPr>
        <w:rPr>
          <w:rFonts w:ascii="Arial" w:cs="Arial" w:eastAsia="Arial" w:hAnsi="Arial"/>
          <w:sz w:val="22"/>
          <w:szCs w:val="22"/>
          <w:color w:val="010000"/>
        </w:rPr>
      </w:pPr>
      <w:r>
        <w:rPr>
          <w:rFonts w:ascii="Arial" w:cs="Arial" w:eastAsia="Arial" w:hAnsi="Arial"/>
          <w:sz w:val="22"/>
          <w:szCs w:val="22"/>
          <w:color w:val="auto"/>
        </w:rPr>
        <w:t>“Disability” shall mean any medically determinable physical or mental impairment that can be expected to result in death or can be expected to last for a continuous period of not less than 12 months.</w:t>
      </w:r>
    </w:p>
    <w:p>
      <w:pPr>
        <w:spacing w:after="0" w:line="161"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548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11400"/>
          </w:cols>
          <w:pgMar w:left="240" w:top="132" w:right="25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10.20</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Specified Date Vesting–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of Grant”), by and 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53" w:lineRule="auto"/>
        <w:tabs>
          <w:tab w:leader="none" w:pos="1459" w:val="left"/>
        </w:tabs>
        <w:numPr>
          <w:ilvl w:val="0"/>
          <w:numId w:val="177"/>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5" w:lineRule="exact"/>
        <w:rPr>
          <w:rFonts w:ascii="Arial" w:cs="Arial" w:eastAsia="Arial" w:hAnsi="Arial"/>
          <w:sz w:val="22"/>
          <w:szCs w:val="22"/>
          <w:color w:val="010000"/>
        </w:rPr>
      </w:pPr>
    </w:p>
    <w:p>
      <w:pPr>
        <w:ind w:right="160" w:firstLine="656"/>
        <w:spacing w:after="0" w:line="251" w:lineRule="auto"/>
        <w:tabs>
          <w:tab w:leader="none" w:pos="990" w:val="left"/>
        </w:tabs>
        <w:numPr>
          <w:ilvl w:val="0"/>
          <w:numId w:val="177"/>
        </w:numPr>
        <w:rPr>
          <w:rFonts w:ascii="Arial" w:cs="Arial" w:eastAsia="Arial" w:hAnsi="Arial"/>
          <w:sz w:val="22"/>
          <w:szCs w:val="22"/>
          <w:color w:val="010000"/>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 Subject to the Participant’s continuous employment with the Company, the Restriction Period applicable to the Restricted Shares shall lapse, and the Restricted Shares shall become vested, on [ ]. Except as provided in Section 3, the Restricted Shares will be forfeited if the Participant does not remain continuously in the employment of the Company through the specified lapsing date set forth above. So long as the shares of Common Stock are subject to restrictions imposed under the Plan and the Agreement:</w:t>
      </w:r>
    </w:p>
    <w:p>
      <w:pPr>
        <w:spacing w:after="0" w:line="189" w:lineRule="exact"/>
        <w:rPr>
          <w:rFonts w:ascii="Arial" w:cs="Arial" w:eastAsia="Arial" w:hAnsi="Arial"/>
          <w:sz w:val="22"/>
          <w:szCs w:val="22"/>
          <w:color w:val="010000"/>
        </w:rPr>
      </w:pPr>
    </w:p>
    <w:p>
      <w:pPr>
        <w:ind w:right="700" w:firstLine="1305"/>
        <w:spacing w:after="0" w:line="358" w:lineRule="auto"/>
        <w:tabs>
          <w:tab w:leader="none" w:pos="1716" w:val="left"/>
        </w:tabs>
        <w:numPr>
          <w:ilvl w:val="1"/>
          <w:numId w:val="177"/>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0"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177"/>
        </w:numPr>
        <w:rPr>
          <w:rFonts w:ascii="Arial" w:cs="Arial" w:eastAsia="Arial" w:hAnsi="Arial"/>
          <w:sz w:val="22"/>
          <w:szCs w:val="22"/>
          <w:color w:val="010000"/>
        </w:rPr>
      </w:pPr>
      <w:r>
        <w:rPr>
          <w:rFonts w:ascii="Arial" w:cs="Arial" w:eastAsia="Arial" w:hAnsi="Arial"/>
          <w:sz w:val="22"/>
          <w:szCs w:val="22"/>
          <w:color w:val="auto"/>
        </w:rPr>
        <w:t>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5" w:lineRule="exact"/>
        <w:rPr>
          <w:rFonts w:ascii="Arial" w:cs="Arial" w:eastAsia="Arial" w:hAnsi="Arial"/>
          <w:sz w:val="22"/>
          <w:szCs w:val="22"/>
          <w:color w:val="010000"/>
        </w:rPr>
      </w:pPr>
    </w:p>
    <w:p>
      <w:pPr>
        <w:ind w:right="320" w:firstLine="1305"/>
        <w:spacing w:after="0" w:line="276" w:lineRule="auto"/>
        <w:tabs>
          <w:tab w:leader="none" w:pos="1716" w:val="left"/>
        </w:tabs>
        <w:numPr>
          <w:ilvl w:val="1"/>
          <w:numId w:val="177"/>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60" w:lineRule="exact"/>
        <w:rPr>
          <w:rFonts w:ascii="Arial" w:cs="Arial" w:eastAsia="Arial" w:hAnsi="Arial"/>
          <w:sz w:val="22"/>
          <w:szCs w:val="22"/>
          <w:color w:val="010000"/>
        </w:rPr>
      </w:pPr>
    </w:p>
    <w:p>
      <w:pPr>
        <w:ind w:left="1740" w:hanging="435"/>
        <w:spacing w:after="0"/>
        <w:tabs>
          <w:tab w:leader="none" w:pos="1740" w:val="left"/>
        </w:tabs>
        <w:numPr>
          <w:ilvl w:val="1"/>
          <w:numId w:val="177"/>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33" w:lineRule="exact"/>
        <w:rPr>
          <w:sz w:val="20"/>
          <w:szCs w:val="20"/>
          <w:color w:val="auto"/>
        </w:rPr>
      </w:pPr>
    </w:p>
    <w:p>
      <w:pPr>
        <w:ind w:left="1300" w:right="140"/>
        <w:spacing w:after="0" w:line="302" w:lineRule="auto"/>
        <w:rPr>
          <w:sz w:val="20"/>
          <w:szCs w:val="20"/>
          <w:color w:val="auto"/>
        </w:rPr>
      </w:pPr>
      <w:r>
        <w:rPr>
          <w:rFonts w:ascii="Arial" w:cs="Arial" w:eastAsia="Arial" w:hAnsi="Arial"/>
          <w:sz w:val="19"/>
          <w:szCs w:val="19"/>
          <w:color w:val="auto"/>
        </w:rPr>
        <w:t>“The transferability of this certificate and the shares of stock represented hereby are subject to the terms and conditions (including forfeiture) of the Dine Brands Global, Inc. 2016 Stock Incentive Plan, as amended, and a Restricted Stock Award Agreement entered into between the registered owner and Dine Brands Global, Inc. Copies of such Plan and Agreement are on file in the offices of Dine Brands Global, Inc.”;</w:t>
      </w:r>
    </w:p>
    <w:p>
      <w:pPr>
        <w:spacing w:after="0" w:line="143" w:lineRule="exact"/>
        <w:rPr>
          <w:sz w:val="20"/>
          <w:szCs w:val="20"/>
          <w:color w:val="auto"/>
        </w:rPr>
      </w:pPr>
    </w:p>
    <w:p>
      <w:pPr>
        <w:ind w:left="1720" w:hanging="415"/>
        <w:spacing w:after="0"/>
        <w:tabs>
          <w:tab w:leader="none" w:pos="1720" w:val="left"/>
        </w:tabs>
        <w:numPr>
          <w:ilvl w:val="0"/>
          <w:numId w:val="178"/>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267" w:lineRule="exact"/>
        <w:rPr>
          <w:rFonts w:ascii="Arial" w:cs="Arial" w:eastAsia="Arial" w:hAnsi="Arial"/>
          <w:sz w:val="19"/>
          <w:szCs w:val="19"/>
          <w:color w:val="010000"/>
        </w:rPr>
      </w:pPr>
    </w:p>
    <w:p>
      <w:pPr>
        <w:ind w:left="1700" w:hanging="395"/>
        <w:spacing w:after="0"/>
        <w:tabs>
          <w:tab w:leader="none" w:pos="1700" w:val="left"/>
        </w:tabs>
        <w:numPr>
          <w:ilvl w:val="0"/>
          <w:numId w:val="178"/>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88" w:lineRule="exact"/>
        <w:rPr>
          <w:sz w:val="20"/>
          <w:szCs w:val="20"/>
          <w:color w:val="auto"/>
        </w:rPr>
      </w:pPr>
    </w:p>
    <w:p>
      <w:pPr>
        <w:ind w:left="1000" w:hanging="344"/>
        <w:spacing w:after="0"/>
        <w:tabs>
          <w:tab w:leader="none" w:pos="1000" w:val="left"/>
        </w:tabs>
        <w:numPr>
          <w:ilvl w:val="0"/>
          <w:numId w:val="179"/>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ectPr>
          <w:pgSz w:w="11900" w:h="16838" w:orient="portrait"/>
          <w:cols w:equalWidth="0" w:num="1">
            <w:col w:w="11420"/>
          </w:cols>
          <w:pgMar w:left="240" w:top="126" w:right="239" w:bottom="0" w:gutter="0" w:footer="0" w:header="0"/>
        </w:sectPr>
      </w:pPr>
    </w:p>
    <w:bookmarkStart w:id="137" w:name="page138"/>
    <w:bookmarkEnd w:id="137"/>
    <w:p>
      <w:pPr>
        <w:ind w:left="-8" w:right="80" w:firstLine="1305"/>
        <w:spacing w:after="0" w:line="260" w:lineRule="auto"/>
        <w:tabs>
          <w:tab w:leader="none" w:pos="1708" w:val="left"/>
        </w:tabs>
        <w:numPr>
          <w:ilvl w:val="2"/>
          <w:numId w:val="180"/>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Except as otherwise provided in this Section 3, the Restricted Shares will be forfeited if the Participant does not remain continuously in the employment of the Company through the specified lapsing date set forth in Section 2 above.</w:t>
      </w:r>
    </w:p>
    <w:p>
      <w:pPr>
        <w:spacing w:after="0" w:line="177" w:lineRule="exact"/>
        <w:rPr>
          <w:rFonts w:ascii="Arial" w:cs="Arial" w:eastAsia="Arial" w:hAnsi="Arial"/>
          <w:sz w:val="22"/>
          <w:szCs w:val="22"/>
          <w:color w:val="010000"/>
        </w:rPr>
      </w:pPr>
    </w:p>
    <w:p>
      <w:pPr>
        <w:ind w:left="-8" w:right="280" w:firstLine="1305"/>
        <w:spacing w:after="0" w:line="358" w:lineRule="auto"/>
        <w:tabs>
          <w:tab w:leader="none" w:pos="1720" w:val="left"/>
        </w:tabs>
        <w:numPr>
          <w:ilvl w:val="2"/>
          <w:numId w:val="180"/>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90" w:lineRule="exact"/>
        <w:rPr>
          <w:rFonts w:ascii="Arial" w:cs="Arial" w:eastAsia="Arial" w:hAnsi="Arial"/>
          <w:sz w:val="19"/>
          <w:szCs w:val="19"/>
          <w:color w:val="010000"/>
        </w:rPr>
      </w:pPr>
    </w:p>
    <w:p>
      <w:pPr>
        <w:ind w:left="-8" w:right="40" w:firstLine="1305"/>
        <w:spacing w:after="0" w:line="254" w:lineRule="auto"/>
        <w:tabs>
          <w:tab w:leader="none" w:pos="1708" w:val="left"/>
        </w:tabs>
        <w:numPr>
          <w:ilvl w:val="2"/>
          <w:numId w:val="180"/>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5" w:lineRule="exact"/>
        <w:rPr>
          <w:rFonts w:ascii="Arial" w:cs="Arial" w:eastAsia="Arial" w:hAnsi="Arial"/>
          <w:sz w:val="22"/>
          <w:szCs w:val="22"/>
          <w:color w:val="010000"/>
        </w:rPr>
      </w:pPr>
    </w:p>
    <w:p>
      <w:pPr>
        <w:ind w:left="-8" w:right="40" w:firstLine="656"/>
        <w:spacing w:after="0" w:line="292" w:lineRule="auto"/>
        <w:tabs>
          <w:tab w:leader="none" w:pos="982" w:val="left"/>
        </w:tabs>
        <w:numPr>
          <w:ilvl w:val="1"/>
          <w:numId w:val="181"/>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5" w:lineRule="exact"/>
        <w:rPr>
          <w:rFonts w:ascii="Arial" w:cs="Arial" w:eastAsia="Arial" w:hAnsi="Arial"/>
          <w:sz w:val="19"/>
          <w:szCs w:val="19"/>
          <w:color w:val="010000"/>
        </w:rPr>
      </w:pPr>
    </w:p>
    <w:p>
      <w:pPr>
        <w:ind w:left="-8" w:right="20" w:firstLine="656"/>
        <w:spacing w:after="0" w:line="290" w:lineRule="auto"/>
        <w:tabs>
          <w:tab w:leader="none" w:pos="982" w:val="left"/>
        </w:tabs>
        <w:numPr>
          <w:ilvl w:val="1"/>
          <w:numId w:val="181"/>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left="-8" w:firstLine="8"/>
        <w:spacing w:after="0" w:line="256" w:lineRule="auto"/>
        <w:tabs>
          <w:tab w:leader="none" w:pos="40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left="-8" w:right="60" w:firstLine="656"/>
        <w:spacing w:after="0" w:line="251" w:lineRule="auto"/>
        <w:tabs>
          <w:tab w:leader="none" w:pos="982" w:val="left"/>
        </w:tabs>
        <w:numPr>
          <w:ilvl w:val="1"/>
          <w:numId w:val="182"/>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8" w:right="260" w:firstLine="656"/>
        <w:spacing w:after="0" w:line="301" w:lineRule="auto"/>
        <w:tabs>
          <w:tab w:leader="none" w:pos="982" w:val="left"/>
        </w:tabs>
        <w:numPr>
          <w:ilvl w:val="1"/>
          <w:numId w:val="182"/>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8" w:right="20" w:firstLine="656"/>
        <w:spacing w:after="0" w:line="286" w:lineRule="auto"/>
        <w:tabs>
          <w:tab w:leader="none" w:pos="982" w:val="left"/>
        </w:tabs>
        <w:numPr>
          <w:ilvl w:val="1"/>
          <w:numId w:val="182"/>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ectPr>
          <w:pgSz w:w="11900" w:h="16838" w:orient="portrait"/>
          <w:cols w:equalWidth="0" w:num="1">
            <w:col w:w="11412"/>
          </w:cols>
          <w:pgMar w:left="248" w:top="131" w:right="239" w:bottom="105" w:gutter="0" w:footer="0" w:header="0"/>
        </w:sectPr>
      </w:pPr>
    </w:p>
    <w:bookmarkStart w:id="138" w:name="page139"/>
    <w:bookmarkEnd w:id="138"/>
    <w:p>
      <w:pPr>
        <w:ind w:right="340" w:firstLine="656"/>
        <w:spacing w:after="0" w:line="276" w:lineRule="auto"/>
        <w:tabs>
          <w:tab w:leader="none" w:pos="990" w:val="left"/>
        </w:tabs>
        <w:numPr>
          <w:ilvl w:val="1"/>
          <w:numId w:val="183"/>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20" w:firstLine="656"/>
        <w:spacing w:after="0" w:line="300" w:lineRule="auto"/>
        <w:tabs>
          <w:tab w:leader="none" w:pos="1098" w:val="left"/>
        </w:tabs>
        <w:numPr>
          <w:ilvl w:val="1"/>
          <w:numId w:val="183"/>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right="200" w:firstLine="656"/>
        <w:spacing w:after="0" w:line="307" w:lineRule="auto"/>
        <w:tabs>
          <w:tab w:leader="none" w:pos="1090" w:val="left"/>
        </w:tabs>
        <w:numPr>
          <w:ilvl w:val="1"/>
          <w:numId w:val="183"/>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220" w:firstLine="656"/>
        <w:spacing w:after="0" w:line="260" w:lineRule="auto"/>
        <w:tabs>
          <w:tab w:leader="none" w:pos="1098" w:val="left"/>
        </w:tabs>
        <w:numPr>
          <w:ilvl w:val="1"/>
          <w:numId w:val="183"/>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20" w:firstLine="656"/>
        <w:spacing w:after="0" w:line="276" w:lineRule="auto"/>
        <w:tabs>
          <w:tab w:leader="none" w:pos="1098" w:val="left"/>
        </w:tabs>
        <w:numPr>
          <w:ilvl w:val="1"/>
          <w:numId w:val="183"/>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1"/>
          <w:numId w:val="183"/>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183"/>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20" w:firstLine="1305"/>
        <w:spacing w:after="0" w:line="264" w:lineRule="auto"/>
        <w:tabs>
          <w:tab w:leader="none" w:pos="1716" w:val="left"/>
        </w:tabs>
        <w:numPr>
          <w:ilvl w:val="2"/>
          <w:numId w:val="183"/>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5" w:lineRule="exact"/>
        <w:rPr>
          <w:rFonts w:ascii="Arial" w:cs="Arial" w:eastAsia="Arial" w:hAnsi="Arial"/>
          <w:sz w:val="21"/>
          <w:szCs w:val="21"/>
          <w:color w:val="010000"/>
        </w:rPr>
      </w:pPr>
    </w:p>
    <w:p>
      <w:pPr>
        <w:ind w:right="220" w:firstLine="1305"/>
        <w:spacing w:after="0" w:line="254" w:lineRule="auto"/>
        <w:tabs>
          <w:tab w:leader="none" w:pos="1728" w:val="left"/>
        </w:tabs>
        <w:numPr>
          <w:ilvl w:val="2"/>
          <w:numId w:val="183"/>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183"/>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9"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420"/>
          </w:cols>
          <w:pgMar w:left="240" w:top="131" w:right="239" w:bottom="0" w:gutter="0" w:footer="0" w:header="0"/>
        </w:sectPr>
      </w:pPr>
    </w:p>
    <w:bookmarkStart w:id="139" w:name="page140"/>
    <w:bookmarkEnd w:id="139"/>
    <w:p>
      <w:pPr>
        <w:jc w:val="right"/>
        <w:ind w:right="4799"/>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ACTIVE 213573186v.1</w:t>
      </w:r>
    </w:p>
    <w:p>
      <w:pPr>
        <w:sectPr>
          <w:pgSz w:w="11900" w:h="16838" w:orient="portrait"/>
          <w:cols w:equalWidth="0" w:num="1">
            <w:col w:w="10219"/>
          </w:cols>
          <w:pgMar w:left="240" w:top="207"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10.21</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50/50% Annual Vesting – Employees</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79" w:lineRule="exact"/>
        <w:rPr>
          <w:sz w:val="20"/>
          <w:szCs w:val="20"/>
          <w:color w:val="auto"/>
        </w:rPr>
      </w:pPr>
    </w:p>
    <w:p>
      <w:pPr>
        <w:ind w:right="980"/>
        <w:spacing w:after="0" w:line="308" w:lineRule="auto"/>
        <w:rPr>
          <w:sz w:val="20"/>
          <w:szCs w:val="20"/>
          <w:color w:val="auto"/>
        </w:rPr>
      </w:pPr>
      <w:r>
        <w:rPr>
          <w:rFonts w:ascii="Arial" w:cs="Arial" w:eastAsia="Arial" w:hAnsi="Arial"/>
          <w:sz w:val="22"/>
          <w:szCs w:val="22"/>
          <w:color w:val="auto"/>
        </w:rPr>
        <w:t xml:space="preserve">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“Participant”).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6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66" w:lineRule="exact"/>
        <w:rPr>
          <w:sz w:val="20"/>
          <w:szCs w:val="20"/>
          <w:color w:val="auto"/>
        </w:rPr>
      </w:pPr>
    </w:p>
    <w:p>
      <w:pPr>
        <w:ind w:right="300" w:firstLine="648"/>
        <w:spacing w:after="0" w:line="302"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4" w:lineRule="exact"/>
        <w:rPr>
          <w:sz w:val="20"/>
          <w:szCs w:val="20"/>
          <w:color w:val="auto"/>
        </w:rPr>
      </w:pPr>
    </w:p>
    <w:p>
      <w:pPr>
        <w:ind w:right="80" w:firstLine="656"/>
        <w:spacing w:after="0" w:line="292" w:lineRule="auto"/>
        <w:tabs>
          <w:tab w:leader="none" w:pos="1459" w:val="left"/>
        </w:tabs>
        <w:numPr>
          <w:ilvl w:val="0"/>
          <w:numId w:val="185"/>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4" w:lineRule="exact"/>
        <w:rPr>
          <w:rFonts w:ascii="Arial" w:cs="Arial" w:eastAsia="Arial" w:hAnsi="Arial"/>
          <w:sz w:val="22"/>
          <w:szCs w:val="22"/>
          <w:color w:val="010000"/>
        </w:rPr>
      </w:pPr>
    </w:p>
    <w:p>
      <w:pPr>
        <w:ind w:left="1000" w:hanging="344"/>
        <w:spacing w:after="0"/>
        <w:tabs>
          <w:tab w:leader="none" w:pos="1000" w:val="left"/>
        </w:tabs>
        <w:numPr>
          <w:ilvl w:val="0"/>
          <w:numId w:val="185"/>
        </w:numPr>
        <w:rPr>
          <w:rFonts w:ascii="Arial" w:cs="Arial" w:eastAsia="Arial" w:hAnsi="Arial"/>
          <w:sz w:val="19"/>
          <w:szCs w:val="19"/>
          <w:color w:val="010000"/>
        </w:rPr>
      </w:pPr>
      <w:r>
        <w:rPr>
          <w:rFonts w:ascii="Arial" w:cs="Arial" w:eastAsia="Arial" w:hAnsi="Arial"/>
          <w:sz w:val="19"/>
          <w:szCs w:val="19"/>
          <w:u w:val="single" w:color="auto"/>
          <w:color w:val="auto"/>
        </w:rPr>
        <w:t>RESTRICTIONS AND CONDITIONS</w:t>
      </w:r>
      <w:r>
        <w:rPr>
          <w:rFonts w:ascii="Arial" w:cs="Arial" w:eastAsia="Arial" w:hAnsi="Arial"/>
          <w:sz w:val="19"/>
          <w:szCs w:val="19"/>
          <w:color w:val="auto"/>
        </w:rPr>
        <w:t>. Subject to the Participant’s continuous employment with the Company, the</w:t>
      </w:r>
    </w:p>
    <w:p>
      <w:pPr>
        <w:spacing w:after="0" w:line="92" w:lineRule="exact"/>
        <w:rPr>
          <w:rFonts w:ascii="Arial" w:cs="Arial" w:eastAsia="Arial" w:hAnsi="Arial"/>
          <w:sz w:val="19"/>
          <w:szCs w:val="19"/>
          <w:color w:val="010000"/>
        </w:rPr>
      </w:pPr>
    </w:p>
    <w:p>
      <w:pPr>
        <w:ind w:right="100"/>
        <w:spacing w:after="0" w:line="303" w:lineRule="auto"/>
        <w:rPr>
          <w:rFonts w:ascii="Arial" w:cs="Arial" w:eastAsia="Arial" w:hAnsi="Arial"/>
          <w:sz w:val="19"/>
          <w:szCs w:val="19"/>
          <w:color w:val="010000"/>
        </w:rPr>
      </w:pPr>
      <w:r>
        <w:rPr>
          <w:rFonts w:ascii="Arial" w:cs="Arial" w:eastAsia="Arial" w:hAnsi="Arial"/>
          <w:sz w:val="21"/>
          <w:szCs w:val="21"/>
          <w:color w:val="auto"/>
        </w:rPr>
        <w:t>Restriction Period applicable to the Restricted Shares shall lapse, and the Restricted Shares shall become vested as to one-half of the Restricted Shares subject to the Award on each of the first and second anniversaries of the Date of Grant. Except as provided in Section 3, the Restricted Shares will be forfeited as to the unvested portion of the Award if the Participant does not remain continuously in the employment of the Company through the specified lapsing dates set forth above. So long as the shares of Common Stock are subject to restrictions imposed under the Plan and the Agreement:</w:t>
      </w:r>
    </w:p>
    <w:p>
      <w:pPr>
        <w:spacing w:after="0" w:line="177" w:lineRule="exact"/>
        <w:rPr>
          <w:rFonts w:ascii="Arial" w:cs="Arial" w:eastAsia="Arial" w:hAnsi="Arial"/>
          <w:sz w:val="19"/>
          <w:szCs w:val="19"/>
          <w:color w:val="010000"/>
        </w:rPr>
      </w:pPr>
    </w:p>
    <w:p>
      <w:pPr>
        <w:ind w:right="700" w:firstLine="1305"/>
        <w:spacing w:after="0" w:line="402" w:lineRule="auto"/>
        <w:tabs>
          <w:tab w:leader="none" w:pos="1716" w:val="left"/>
        </w:tabs>
        <w:numPr>
          <w:ilvl w:val="1"/>
          <w:numId w:val="185"/>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1" w:lineRule="exact"/>
        <w:rPr>
          <w:rFonts w:ascii="Arial" w:cs="Arial" w:eastAsia="Arial" w:hAnsi="Arial"/>
          <w:sz w:val="19"/>
          <w:szCs w:val="19"/>
          <w:color w:val="010000"/>
        </w:rPr>
      </w:pPr>
    </w:p>
    <w:p>
      <w:pPr>
        <w:ind w:left="1740" w:hanging="435"/>
        <w:spacing w:after="0"/>
        <w:tabs>
          <w:tab w:leader="none" w:pos="1740" w:val="left"/>
        </w:tabs>
        <w:numPr>
          <w:ilvl w:val="1"/>
          <w:numId w:val="185"/>
        </w:numPr>
        <w:rPr>
          <w:rFonts w:ascii="Arial" w:cs="Arial" w:eastAsia="Arial" w:hAnsi="Arial"/>
          <w:sz w:val="19"/>
          <w:szCs w:val="19"/>
          <w:color w:val="010000"/>
        </w:rPr>
      </w:pPr>
      <w:r>
        <w:rPr>
          <w:rFonts w:ascii="Arial" w:cs="Arial" w:eastAsia="Arial" w:hAnsi="Arial"/>
          <w:sz w:val="19"/>
          <w:szCs w:val="19"/>
          <w:color w:val="auto"/>
        </w:rPr>
        <w:t>all such certificates shall be deposited with the Company, together with stock powers or other instruments of</w:t>
      </w:r>
    </w:p>
    <w:p>
      <w:pPr>
        <w:spacing w:after="0" w:line="92" w:lineRule="exact"/>
        <w:rPr>
          <w:rFonts w:ascii="Arial" w:cs="Arial" w:eastAsia="Arial" w:hAnsi="Arial"/>
          <w:sz w:val="19"/>
          <w:szCs w:val="19"/>
          <w:color w:val="010000"/>
        </w:rPr>
      </w:pPr>
    </w:p>
    <w:p>
      <w:pPr>
        <w:ind w:right="20"/>
        <w:spacing w:after="0" w:line="292" w:lineRule="auto"/>
        <w:rPr>
          <w:rFonts w:ascii="Arial" w:cs="Arial" w:eastAsia="Arial" w:hAnsi="Arial"/>
          <w:sz w:val="19"/>
          <w:szCs w:val="19"/>
          <w:color w:val="010000"/>
        </w:rPr>
      </w:pPr>
      <w:r>
        <w:rPr>
          <w:rFonts w:ascii="Arial" w:cs="Arial" w:eastAsia="Arial" w:hAnsi="Arial"/>
          <w:sz w:val="22"/>
          <w:szCs w:val="22"/>
          <w:color w:val="auto"/>
        </w:rPr>
        <w:t>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4" w:lineRule="exact"/>
        <w:rPr>
          <w:rFonts w:ascii="Arial" w:cs="Arial" w:eastAsia="Arial" w:hAnsi="Arial"/>
          <w:sz w:val="19"/>
          <w:szCs w:val="19"/>
          <w:color w:val="010000"/>
        </w:rPr>
      </w:pPr>
    </w:p>
    <w:p>
      <w:pPr>
        <w:ind w:right="320" w:firstLine="1305"/>
        <w:spacing w:after="0" w:line="315" w:lineRule="auto"/>
        <w:tabs>
          <w:tab w:leader="none" w:pos="1716" w:val="left"/>
        </w:tabs>
        <w:numPr>
          <w:ilvl w:val="1"/>
          <w:numId w:val="185"/>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59" w:lineRule="exact"/>
        <w:rPr>
          <w:rFonts w:ascii="Arial" w:cs="Arial" w:eastAsia="Arial" w:hAnsi="Arial"/>
          <w:sz w:val="22"/>
          <w:szCs w:val="22"/>
          <w:color w:val="010000"/>
        </w:rPr>
      </w:pPr>
    </w:p>
    <w:p>
      <w:pPr>
        <w:ind w:left="1740" w:hanging="435"/>
        <w:spacing w:after="0"/>
        <w:tabs>
          <w:tab w:leader="none" w:pos="1740" w:val="left"/>
        </w:tabs>
        <w:numPr>
          <w:ilvl w:val="1"/>
          <w:numId w:val="185"/>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74" w:lineRule="exact"/>
        <w:rPr>
          <w:sz w:val="20"/>
          <w:szCs w:val="20"/>
          <w:color w:val="auto"/>
        </w:rPr>
      </w:pPr>
    </w:p>
    <w:p>
      <w:pPr>
        <w:ind w:left="1300" w:right="140"/>
        <w:spacing w:after="0" w:line="288"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2016 Stock Incentive Plan and a Restricted Stock Award Agreement entered into between the registered owner and Dine Brands Global, Inc. Copies of such Plan and Agreement are on file in the offices of Dine Brands Global, Inc.”;</w:t>
      </w:r>
    </w:p>
    <w:p>
      <w:pPr>
        <w:spacing w:after="0" w:line="190" w:lineRule="exact"/>
        <w:rPr>
          <w:sz w:val="20"/>
          <w:szCs w:val="20"/>
          <w:color w:val="auto"/>
        </w:rPr>
      </w:pPr>
    </w:p>
    <w:p>
      <w:pPr>
        <w:ind w:left="1720" w:hanging="415"/>
        <w:spacing w:after="0"/>
        <w:tabs>
          <w:tab w:leader="none" w:pos="1720" w:val="left"/>
        </w:tabs>
        <w:numPr>
          <w:ilvl w:val="0"/>
          <w:numId w:val="186"/>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308" w:lineRule="exact"/>
        <w:rPr>
          <w:rFonts w:ascii="Arial" w:cs="Arial" w:eastAsia="Arial" w:hAnsi="Arial"/>
          <w:sz w:val="19"/>
          <w:szCs w:val="19"/>
          <w:color w:val="010000"/>
        </w:rPr>
      </w:pPr>
    </w:p>
    <w:p>
      <w:pPr>
        <w:ind w:left="1700" w:hanging="395"/>
        <w:spacing w:after="0"/>
        <w:tabs>
          <w:tab w:leader="none" w:pos="1700" w:val="left"/>
        </w:tabs>
        <w:numPr>
          <w:ilvl w:val="0"/>
          <w:numId w:val="186"/>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9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ectPr>
          <w:pgSz w:w="11900" w:h="16838" w:orient="portrait"/>
          <w:cols w:equalWidth="0" w:num="1">
            <w:col w:w="11420"/>
          </w:cols>
          <w:pgMar w:left="240" w:top="139" w:right="239" w:bottom="0" w:gutter="0" w:footer="0" w:header="0"/>
        </w:sectPr>
      </w:pPr>
    </w:p>
    <w:bookmarkStart w:id="141" w:name="page142"/>
    <w:bookmarkEnd w:id="141"/>
    <w:p>
      <w:pPr>
        <w:spacing w:after="0" w:line="80" w:lineRule="exact"/>
        <w:rPr>
          <w:sz w:val="20"/>
          <w:szCs w:val="20"/>
          <w:color w:val="auto"/>
        </w:rPr>
      </w:pPr>
    </w:p>
    <w:p>
      <w:pPr>
        <w:ind w:right="180" w:firstLine="648"/>
        <w:spacing w:after="0" w:line="288"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90" w:lineRule="exact"/>
        <w:rPr>
          <w:sz w:val="20"/>
          <w:szCs w:val="20"/>
          <w:color w:val="auto"/>
        </w:rPr>
      </w:pPr>
    </w:p>
    <w:p>
      <w:pPr>
        <w:ind w:left="1000" w:hanging="344"/>
        <w:spacing w:after="0"/>
        <w:tabs>
          <w:tab w:leader="none" w:pos="1000" w:val="left"/>
        </w:tabs>
        <w:numPr>
          <w:ilvl w:val="1"/>
          <w:numId w:val="187"/>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73" w:lineRule="exact"/>
        <w:rPr>
          <w:rFonts w:ascii="Arial" w:cs="Arial" w:eastAsia="Arial" w:hAnsi="Arial"/>
          <w:sz w:val="22"/>
          <w:szCs w:val="22"/>
          <w:color w:val="010000"/>
        </w:rPr>
      </w:pPr>
    </w:p>
    <w:p>
      <w:pPr>
        <w:ind w:left="1720" w:hanging="415"/>
        <w:spacing w:after="0"/>
        <w:tabs>
          <w:tab w:leader="none" w:pos="1720" w:val="left"/>
        </w:tabs>
        <w:numPr>
          <w:ilvl w:val="2"/>
          <w:numId w:val="187"/>
        </w:numPr>
        <w:rPr>
          <w:rFonts w:ascii="Arial" w:cs="Arial" w:eastAsia="Arial" w:hAnsi="Arial"/>
          <w:sz w:val="19"/>
          <w:szCs w:val="19"/>
          <w:color w:val="010000"/>
        </w:rPr>
      </w:pPr>
      <w:r>
        <w:rPr>
          <w:rFonts w:ascii="Arial" w:cs="Arial" w:eastAsia="Arial" w:hAnsi="Arial"/>
          <w:sz w:val="19"/>
          <w:szCs w:val="19"/>
          <w:u w:val="single" w:color="auto"/>
          <w:color w:val="auto"/>
        </w:rPr>
        <w:t>Service Vesting</w:t>
      </w:r>
      <w:r>
        <w:rPr>
          <w:rFonts w:ascii="Arial" w:cs="Arial" w:eastAsia="Arial" w:hAnsi="Arial"/>
          <w:sz w:val="19"/>
          <w:szCs w:val="19"/>
          <w:color w:val="auto"/>
        </w:rPr>
        <w:t>. Except as otherwise provided in this Section 3, the Restricted Shares will be forfeited as to the</w:t>
      </w:r>
    </w:p>
    <w:p>
      <w:pPr>
        <w:spacing w:after="0" w:line="92" w:lineRule="exact"/>
        <w:rPr>
          <w:rFonts w:ascii="Arial" w:cs="Arial" w:eastAsia="Arial" w:hAnsi="Arial"/>
          <w:sz w:val="19"/>
          <w:szCs w:val="19"/>
          <w:color w:val="010000"/>
        </w:rPr>
      </w:pPr>
    </w:p>
    <w:p>
      <w:pPr>
        <w:ind w:right="520"/>
        <w:spacing w:after="0" w:line="302" w:lineRule="auto"/>
        <w:rPr>
          <w:rFonts w:ascii="Arial" w:cs="Arial" w:eastAsia="Arial" w:hAnsi="Arial"/>
          <w:sz w:val="19"/>
          <w:szCs w:val="19"/>
          <w:color w:val="010000"/>
        </w:rPr>
      </w:pPr>
      <w:r>
        <w:rPr>
          <w:rFonts w:ascii="Arial" w:cs="Arial" w:eastAsia="Arial" w:hAnsi="Arial"/>
          <w:sz w:val="22"/>
          <w:szCs w:val="22"/>
          <w:color w:val="auto"/>
        </w:rPr>
        <w:t>unvested portion of the Award if the Participant does not remain continuously in the employment of the Company through the specified lapsing dates set forth in Section 2 above.</w:t>
      </w:r>
    </w:p>
    <w:p>
      <w:pPr>
        <w:spacing w:after="0" w:line="173" w:lineRule="exact"/>
        <w:rPr>
          <w:rFonts w:ascii="Arial" w:cs="Arial" w:eastAsia="Arial" w:hAnsi="Arial"/>
          <w:sz w:val="19"/>
          <w:szCs w:val="19"/>
          <w:color w:val="010000"/>
        </w:rPr>
      </w:pPr>
    </w:p>
    <w:p>
      <w:pPr>
        <w:ind w:right="280" w:firstLine="1305"/>
        <w:spacing w:after="0" w:line="402" w:lineRule="auto"/>
        <w:tabs>
          <w:tab w:leader="none" w:pos="1728" w:val="left"/>
        </w:tabs>
        <w:numPr>
          <w:ilvl w:val="2"/>
          <w:numId w:val="187"/>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91" w:lineRule="exact"/>
        <w:rPr>
          <w:rFonts w:ascii="Arial" w:cs="Arial" w:eastAsia="Arial" w:hAnsi="Arial"/>
          <w:sz w:val="19"/>
          <w:szCs w:val="19"/>
          <w:color w:val="010000"/>
        </w:rPr>
      </w:pPr>
    </w:p>
    <w:p>
      <w:pPr>
        <w:ind w:left="1720" w:hanging="415"/>
        <w:spacing w:after="0"/>
        <w:tabs>
          <w:tab w:leader="none" w:pos="1720" w:val="left"/>
        </w:tabs>
        <w:numPr>
          <w:ilvl w:val="2"/>
          <w:numId w:val="187"/>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 Participant’s employment with the Company is terminated within a period of twenty-</w:t>
      </w:r>
    </w:p>
    <w:p>
      <w:pPr>
        <w:spacing w:after="0" w:line="92" w:lineRule="exact"/>
        <w:rPr>
          <w:rFonts w:ascii="Arial" w:cs="Arial" w:eastAsia="Arial" w:hAnsi="Arial"/>
          <w:sz w:val="19"/>
          <w:szCs w:val="19"/>
          <w:color w:val="010000"/>
        </w:rPr>
      </w:pPr>
    </w:p>
    <w:p>
      <w:pPr>
        <w:ind w:right="40"/>
        <w:spacing w:after="0" w:line="292" w:lineRule="auto"/>
        <w:rPr>
          <w:rFonts w:ascii="Arial" w:cs="Arial" w:eastAsia="Arial" w:hAnsi="Arial"/>
          <w:sz w:val="19"/>
          <w:szCs w:val="19"/>
          <w:color w:val="010000"/>
        </w:rPr>
      </w:pPr>
      <w:r>
        <w:rPr>
          <w:rFonts w:ascii="Arial" w:cs="Arial" w:eastAsia="Arial" w:hAnsi="Arial"/>
          <w:sz w:val="22"/>
          <w:szCs w:val="22"/>
          <w:color w:val="auto"/>
        </w:rPr>
        <w:t>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4" w:lineRule="exact"/>
        <w:rPr>
          <w:rFonts w:ascii="Arial" w:cs="Arial" w:eastAsia="Arial" w:hAnsi="Arial"/>
          <w:sz w:val="19"/>
          <w:szCs w:val="19"/>
          <w:color w:val="010000"/>
        </w:rPr>
      </w:pPr>
    </w:p>
    <w:p>
      <w:pPr>
        <w:ind w:left="1000" w:hanging="344"/>
        <w:spacing w:after="0"/>
        <w:tabs>
          <w:tab w:leader="none" w:pos="1000" w:val="left"/>
        </w:tabs>
        <w:numPr>
          <w:ilvl w:val="1"/>
          <w:numId w:val="187"/>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w:t>
      </w:r>
    </w:p>
    <w:p>
      <w:pPr>
        <w:spacing w:after="0" w:line="92" w:lineRule="exact"/>
        <w:rPr>
          <w:rFonts w:ascii="Arial" w:cs="Arial" w:eastAsia="Arial" w:hAnsi="Arial"/>
          <w:sz w:val="19"/>
          <w:szCs w:val="19"/>
          <w:color w:val="010000"/>
        </w:rPr>
      </w:pPr>
    </w:p>
    <w:p>
      <w:pPr>
        <w:ind w:right="40"/>
        <w:spacing w:after="0" w:line="336" w:lineRule="auto"/>
        <w:rPr>
          <w:rFonts w:ascii="Arial" w:cs="Arial" w:eastAsia="Arial" w:hAnsi="Arial"/>
          <w:sz w:val="19"/>
          <w:szCs w:val="19"/>
          <w:color w:val="010000"/>
        </w:rPr>
      </w:pPr>
      <w:r>
        <w:rPr>
          <w:rFonts w:ascii="Arial" w:cs="Arial" w:eastAsia="Arial" w:hAnsi="Arial"/>
          <w:sz w:val="19"/>
          <w:szCs w:val="19"/>
          <w:color w:val="auto"/>
        </w:rPr>
        <w:t>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4" w:lineRule="exact"/>
        <w:rPr>
          <w:rFonts w:ascii="Arial" w:cs="Arial" w:eastAsia="Arial" w:hAnsi="Arial"/>
          <w:sz w:val="19"/>
          <w:szCs w:val="19"/>
          <w:color w:val="010000"/>
        </w:rPr>
      </w:pPr>
    </w:p>
    <w:p>
      <w:pPr>
        <w:ind w:left="1000" w:hanging="344"/>
        <w:spacing w:after="0"/>
        <w:tabs>
          <w:tab w:leader="none" w:pos="1000" w:val="left"/>
        </w:tabs>
        <w:numPr>
          <w:ilvl w:val="1"/>
          <w:numId w:val="187"/>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w:t>
      </w:r>
    </w:p>
    <w:p>
      <w:pPr>
        <w:spacing w:after="0" w:line="92" w:lineRule="exact"/>
        <w:rPr>
          <w:rFonts w:ascii="Arial" w:cs="Arial" w:eastAsia="Arial" w:hAnsi="Arial"/>
          <w:sz w:val="19"/>
          <w:szCs w:val="19"/>
          <w:color w:val="010000"/>
        </w:rPr>
      </w:pPr>
    </w:p>
    <w:p>
      <w:pPr>
        <w:ind w:right="20"/>
        <w:spacing w:after="0" w:line="326" w:lineRule="auto"/>
        <w:rPr>
          <w:rFonts w:ascii="Arial" w:cs="Arial" w:eastAsia="Arial" w:hAnsi="Arial"/>
          <w:sz w:val="19"/>
          <w:szCs w:val="19"/>
          <w:color w:val="010000"/>
        </w:rPr>
      </w:pPr>
      <w:r>
        <w:rPr>
          <w:rFonts w:ascii="Arial" w:cs="Arial" w:eastAsia="Arial" w:hAnsi="Arial"/>
          <w:sz w:val="19"/>
          <w:szCs w:val="19"/>
          <w:color w:val="auto"/>
        </w:rPr>
        <w:t>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98" w:lineRule="auto"/>
        <w:tabs>
          <w:tab w:leader="none" w:pos="414"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3" w:lineRule="exact"/>
        <w:rPr>
          <w:rFonts w:ascii="Arial" w:cs="Arial" w:eastAsia="Arial" w:hAnsi="Arial"/>
          <w:sz w:val="21"/>
          <w:szCs w:val="21"/>
          <w:color w:val="auto"/>
        </w:rPr>
      </w:pPr>
    </w:p>
    <w:p>
      <w:pPr>
        <w:ind w:left="1000" w:hanging="344"/>
        <w:spacing w:after="0"/>
        <w:tabs>
          <w:tab w:leader="none" w:pos="1000" w:val="left"/>
        </w:tabs>
        <w:numPr>
          <w:ilvl w:val="1"/>
          <w:numId w:val="188"/>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w:t>
      </w:r>
    </w:p>
    <w:p>
      <w:pPr>
        <w:spacing w:after="0" w:line="69" w:lineRule="exact"/>
        <w:rPr>
          <w:rFonts w:ascii="Arial" w:cs="Arial" w:eastAsia="Arial" w:hAnsi="Arial"/>
          <w:sz w:val="21"/>
          <w:szCs w:val="21"/>
          <w:color w:val="010000"/>
        </w:rPr>
      </w:pPr>
    </w:p>
    <w:p>
      <w:pPr>
        <w:ind w:right="60"/>
        <w:spacing w:after="0" w:line="288" w:lineRule="auto"/>
        <w:rPr>
          <w:rFonts w:ascii="Arial" w:cs="Arial" w:eastAsia="Arial" w:hAnsi="Arial"/>
          <w:sz w:val="21"/>
          <w:szCs w:val="21"/>
          <w:color w:val="010000"/>
        </w:rPr>
      </w:pPr>
      <w:r>
        <w:rPr>
          <w:rFonts w:ascii="Arial" w:cs="Arial" w:eastAsia="Arial" w:hAnsi="Arial"/>
          <w:sz w:val="22"/>
          <w:szCs w:val="22"/>
          <w:color w:val="auto"/>
        </w:rPr>
        <w:t>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90" w:lineRule="exact"/>
        <w:rPr>
          <w:rFonts w:ascii="Arial" w:cs="Arial" w:eastAsia="Arial" w:hAnsi="Arial"/>
          <w:sz w:val="21"/>
          <w:szCs w:val="21"/>
          <w:color w:val="010000"/>
        </w:rPr>
      </w:pPr>
    </w:p>
    <w:p>
      <w:pPr>
        <w:ind w:right="260" w:firstLine="656"/>
        <w:spacing w:after="0" w:line="341" w:lineRule="auto"/>
        <w:tabs>
          <w:tab w:leader="none" w:pos="990" w:val="left"/>
        </w:tabs>
        <w:numPr>
          <w:ilvl w:val="1"/>
          <w:numId w:val="188"/>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1000" w:hanging="344"/>
        <w:spacing w:after="0"/>
        <w:tabs>
          <w:tab w:leader="none" w:pos="1000" w:val="left"/>
        </w:tabs>
        <w:numPr>
          <w:ilvl w:val="1"/>
          <w:numId w:val="188"/>
        </w:numPr>
        <w:rPr>
          <w:rFonts w:ascii="Arial" w:cs="Arial" w:eastAsia="Arial" w:hAnsi="Arial"/>
          <w:sz w:val="21"/>
          <w:szCs w:val="21"/>
          <w:color w:val="010000"/>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shall have the right to require, prior to the issuance or delivery of any shares of</w:t>
      </w:r>
    </w:p>
    <w:p>
      <w:pPr>
        <w:spacing w:after="0" w:line="69" w:lineRule="exact"/>
        <w:rPr>
          <w:rFonts w:ascii="Arial" w:cs="Arial" w:eastAsia="Arial" w:hAnsi="Arial"/>
          <w:sz w:val="21"/>
          <w:szCs w:val="21"/>
          <w:color w:val="010000"/>
        </w:rPr>
      </w:pPr>
    </w:p>
    <w:p>
      <w:pPr>
        <w:ind w:right="120"/>
        <w:spacing w:after="0" w:line="387" w:lineRule="auto"/>
        <w:rPr>
          <w:rFonts w:ascii="Arial" w:cs="Arial" w:eastAsia="Arial" w:hAnsi="Arial"/>
          <w:sz w:val="21"/>
          <w:szCs w:val="21"/>
          <w:color w:val="010000"/>
        </w:rPr>
      </w:pPr>
      <w:r>
        <w:rPr>
          <w:rFonts w:ascii="Arial" w:cs="Arial" w:eastAsia="Arial" w:hAnsi="Arial"/>
          <w:sz w:val="19"/>
          <w:szCs w:val="19"/>
          <w:color w:val="auto"/>
        </w:rPr>
        <w:t>Common Stock pursuant to the Award, payment by the Participant of any federal, state, local or other taxes which may be required to be withheld or paid in connection with the Award. The Company shall withhold whole shares of Common Stock which would</w:t>
      </w:r>
    </w:p>
    <w:p>
      <w:pPr>
        <w:sectPr>
          <w:pgSz w:w="11900" w:h="16919" w:orient="portrait"/>
          <w:cols w:equalWidth="0" w:num="1">
            <w:col w:w="11420"/>
          </w:cols>
          <w:pgMar w:left="240" w:top="280" w:right="239" w:bottom="0" w:gutter="0" w:footer="0" w:header="0"/>
        </w:sectPr>
      </w:pPr>
    </w:p>
    <w:bookmarkStart w:id="142" w:name="page143"/>
    <w:bookmarkEnd w:id="142"/>
    <w:p>
      <w:pPr>
        <w:spacing w:after="0" w:line="175"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pacing w:after="0" w:line="161" w:lineRule="exact"/>
        <w:rPr>
          <w:sz w:val="20"/>
          <w:szCs w:val="20"/>
          <w:color w:val="auto"/>
        </w:rPr>
      </w:pPr>
    </w:p>
    <w:p>
      <w:pPr>
        <w:ind w:right="320" w:firstLine="656"/>
        <w:spacing w:after="0" w:line="315" w:lineRule="auto"/>
        <w:tabs>
          <w:tab w:leader="none" w:pos="990" w:val="left"/>
        </w:tabs>
        <w:numPr>
          <w:ilvl w:val="0"/>
          <w:numId w:val="189"/>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59" w:lineRule="exact"/>
        <w:rPr>
          <w:rFonts w:ascii="Arial" w:cs="Arial" w:eastAsia="Arial" w:hAnsi="Arial"/>
          <w:sz w:val="22"/>
          <w:szCs w:val="22"/>
          <w:color w:val="010000"/>
        </w:rPr>
      </w:pPr>
    </w:p>
    <w:p>
      <w:pPr>
        <w:ind w:left="1100" w:hanging="444"/>
        <w:spacing w:after="0"/>
        <w:tabs>
          <w:tab w:leader="none" w:pos="1100" w:val="left"/>
        </w:tabs>
        <w:numPr>
          <w:ilvl w:val="0"/>
          <w:numId w:val="189"/>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w:t>
      </w:r>
    </w:p>
    <w:p>
      <w:pPr>
        <w:spacing w:after="0" w:line="92" w:lineRule="exact"/>
        <w:rPr>
          <w:rFonts w:ascii="Arial" w:cs="Arial" w:eastAsia="Arial" w:hAnsi="Arial"/>
          <w:sz w:val="19"/>
          <w:szCs w:val="19"/>
          <w:color w:val="010000"/>
        </w:rPr>
      </w:pPr>
    </w:p>
    <w:p>
      <w:pPr>
        <w:ind w:right="240"/>
        <w:spacing w:after="0" w:line="346" w:lineRule="auto"/>
        <w:rPr>
          <w:rFonts w:ascii="Arial" w:cs="Arial" w:eastAsia="Arial" w:hAnsi="Arial"/>
          <w:sz w:val="19"/>
          <w:szCs w:val="19"/>
          <w:color w:val="010000"/>
        </w:rPr>
      </w:pPr>
      <w:r>
        <w:rPr>
          <w:rFonts w:ascii="Arial" w:cs="Arial" w:eastAsia="Arial" w:hAnsi="Arial"/>
          <w:sz w:val="19"/>
          <w:szCs w:val="19"/>
          <w:color w:val="auto"/>
        </w:rPr>
        <w:t>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4" w:lineRule="exact"/>
        <w:rPr>
          <w:rFonts w:ascii="Arial" w:cs="Arial" w:eastAsia="Arial" w:hAnsi="Arial"/>
          <w:sz w:val="19"/>
          <w:szCs w:val="19"/>
          <w:color w:val="010000"/>
        </w:rPr>
      </w:pPr>
    </w:p>
    <w:p>
      <w:pPr>
        <w:ind w:left="1100" w:hanging="444"/>
        <w:spacing w:after="0"/>
        <w:tabs>
          <w:tab w:leader="none" w:pos="1100" w:val="left"/>
        </w:tabs>
        <w:numPr>
          <w:ilvl w:val="0"/>
          <w:numId w:val="189"/>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w:t>
      </w:r>
    </w:p>
    <w:p>
      <w:pPr>
        <w:spacing w:after="0" w:line="92" w:lineRule="exact"/>
        <w:rPr>
          <w:rFonts w:ascii="Arial" w:cs="Arial" w:eastAsia="Arial" w:hAnsi="Arial"/>
          <w:sz w:val="19"/>
          <w:szCs w:val="19"/>
          <w:color w:val="010000"/>
        </w:rPr>
      </w:pPr>
    </w:p>
    <w:p>
      <w:pPr>
        <w:ind w:right="180"/>
        <w:spacing w:after="0" w:line="357" w:lineRule="auto"/>
        <w:rPr>
          <w:rFonts w:ascii="Arial" w:cs="Arial" w:eastAsia="Arial" w:hAnsi="Arial"/>
          <w:sz w:val="19"/>
          <w:szCs w:val="19"/>
          <w:color w:val="010000"/>
        </w:rPr>
      </w:pPr>
      <w:r>
        <w:rPr>
          <w:rFonts w:ascii="Arial" w:cs="Arial" w:eastAsia="Arial" w:hAnsi="Arial"/>
          <w:sz w:val="19"/>
          <w:szCs w:val="19"/>
          <w:color w:val="auto"/>
        </w:rPr>
        <w:t xml:space="preserve">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2" w:lineRule="exact"/>
        <w:rPr>
          <w:rFonts w:ascii="Arial" w:cs="Arial" w:eastAsia="Arial" w:hAnsi="Arial"/>
          <w:sz w:val="19"/>
          <w:szCs w:val="19"/>
          <w:color w:val="010000"/>
        </w:rPr>
      </w:pPr>
    </w:p>
    <w:p>
      <w:pPr>
        <w:ind w:left="1100" w:hanging="444"/>
        <w:spacing w:after="0"/>
        <w:tabs>
          <w:tab w:leader="none" w:pos="1100" w:val="left"/>
        </w:tabs>
        <w:numPr>
          <w:ilvl w:val="0"/>
          <w:numId w:val="189"/>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To the extent not otherwise governed by the Code or the laws of the United States, this</w:t>
      </w:r>
    </w:p>
    <w:p>
      <w:pPr>
        <w:spacing w:after="0" w:line="69" w:lineRule="exact"/>
        <w:rPr>
          <w:rFonts w:ascii="Arial" w:cs="Arial" w:eastAsia="Arial" w:hAnsi="Arial"/>
          <w:sz w:val="21"/>
          <w:szCs w:val="21"/>
          <w:color w:val="010000"/>
        </w:rPr>
      </w:pPr>
    </w:p>
    <w:p>
      <w:pPr>
        <w:ind w:right="200"/>
        <w:spacing w:after="0" w:line="302" w:lineRule="auto"/>
        <w:rPr>
          <w:rFonts w:ascii="Arial" w:cs="Arial" w:eastAsia="Arial" w:hAnsi="Arial"/>
          <w:sz w:val="21"/>
          <w:szCs w:val="21"/>
          <w:color w:val="010000"/>
        </w:rPr>
      </w:pPr>
      <w:r>
        <w:rPr>
          <w:rFonts w:ascii="Arial" w:cs="Arial" w:eastAsia="Arial" w:hAnsi="Arial"/>
          <w:sz w:val="22"/>
          <w:szCs w:val="22"/>
          <w:color w:val="auto"/>
        </w:rPr>
        <w:t>Agreement shall be governed by the laws of the State of Delaware and construed in accordance therewith without giving effect to principles of conflicts of laws.</w:t>
      </w:r>
    </w:p>
    <w:p>
      <w:pPr>
        <w:spacing w:after="0" w:line="173" w:lineRule="exact"/>
        <w:rPr>
          <w:rFonts w:ascii="Arial" w:cs="Arial" w:eastAsia="Arial" w:hAnsi="Arial"/>
          <w:sz w:val="21"/>
          <w:szCs w:val="21"/>
          <w:color w:val="010000"/>
        </w:rPr>
      </w:pPr>
    </w:p>
    <w:p>
      <w:pPr>
        <w:ind w:right="100" w:firstLine="656"/>
        <w:spacing w:after="0" w:line="315" w:lineRule="auto"/>
        <w:tabs>
          <w:tab w:leader="none" w:pos="1098" w:val="left"/>
        </w:tabs>
        <w:numPr>
          <w:ilvl w:val="0"/>
          <w:numId w:val="189"/>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59" w:lineRule="exact"/>
        <w:rPr>
          <w:rFonts w:ascii="Arial" w:cs="Arial" w:eastAsia="Arial" w:hAnsi="Arial"/>
          <w:sz w:val="22"/>
          <w:szCs w:val="22"/>
          <w:color w:val="010000"/>
        </w:rPr>
      </w:pPr>
    </w:p>
    <w:p>
      <w:pPr>
        <w:ind w:left="1100" w:hanging="444"/>
        <w:spacing w:after="0"/>
        <w:tabs>
          <w:tab w:leader="none" w:pos="1100" w:val="left"/>
        </w:tabs>
        <w:numPr>
          <w:ilvl w:val="0"/>
          <w:numId w:val="189"/>
        </w:numPr>
        <w:rPr>
          <w:rFonts w:ascii="Arial" w:cs="Arial" w:eastAsia="Arial" w:hAnsi="Arial"/>
          <w:sz w:val="19"/>
          <w:szCs w:val="19"/>
          <w:color w:val="010000"/>
        </w:rPr>
      </w:pPr>
      <w:r>
        <w:rPr>
          <w:rFonts w:ascii="Arial" w:cs="Arial" w:eastAsia="Arial" w:hAnsi="Arial"/>
          <w:sz w:val="19"/>
          <w:szCs w:val="19"/>
          <w:u w:val="single" w:color="auto"/>
          <w:color w:val="auto"/>
        </w:rPr>
        <w:t>AWARDS SUBJECT TO CLAWBACK</w:t>
      </w:r>
      <w:r>
        <w:rPr>
          <w:rFonts w:ascii="Arial" w:cs="Arial" w:eastAsia="Arial" w:hAnsi="Arial"/>
          <w:sz w:val="19"/>
          <w:szCs w:val="19"/>
          <w:color w:val="auto"/>
        </w:rPr>
        <w:t>. The Award and any cash payment or shares of Common Stock delivered</w:t>
      </w:r>
    </w:p>
    <w:p>
      <w:pPr>
        <w:spacing w:after="0" w:line="92" w:lineRule="exact"/>
        <w:rPr>
          <w:rFonts w:ascii="Arial" w:cs="Arial" w:eastAsia="Arial" w:hAnsi="Arial"/>
          <w:sz w:val="19"/>
          <w:szCs w:val="19"/>
          <w:color w:val="010000"/>
        </w:rPr>
      </w:pPr>
    </w:p>
    <w:p>
      <w:pPr>
        <w:ind w:right="400"/>
        <w:spacing w:after="0" w:line="306" w:lineRule="auto"/>
        <w:rPr>
          <w:rFonts w:ascii="Arial" w:cs="Arial" w:eastAsia="Arial" w:hAnsi="Arial"/>
          <w:sz w:val="19"/>
          <w:szCs w:val="19"/>
          <w:color w:val="010000"/>
        </w:rPr>
      </w:pPr>
      <w:r>
        <w:rPr>
          <w:rFonts w:ascii="Arial" w:cs="Arial" w:eastAsia="Arial" w:hAnsi="Arial"/>
          <w:sz w:val="21"/>
          <w:szCs w:val="21"/>
          <w:color w:val="auto"/>
        </w:rPr>
        <w:t>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2" w:lineRule="exact"/>
        <w:rPr>
          <w:rFonts w:ascii="Arial" w:cs="Arial" w:eastAsia="Arial" w:hAnsi="Arial"/>
          <w:sz w:val="19"/>
          <w:szCs w:val="19"/>
          <w:color w:val="010000"/>
        </w:rPr>
      </w:pPr>
    </w:p>
    <w:p>
      <w:pPr>
        <w:ind w:left="1100" w:hanging="444"/>
        <w:spacing w:after="0"/>
        <w:tabs>
          <w:tab w:leader="none" w:pos="1100" w:val="left"/>
        </w:tabs>
        <w:numPr>
          <w:ilvl w:val="0"/>
          <w:numId w:val="189"/>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85" w:lineRule="exact"/>
        <w:rPr>
          <w:rFonts w:ascii="Arial" w:cs="Arial" w:eastAsia="Arial" w:hAnsi="Arial"/>
          <w:sz w:val="21"/>
          <w:szCs w:val="21"/>
          <w:color w:val="010000"/>
        </w:rPr>
      </w:pPr>
    </w:p>
    <w:p>
      <w:pPr>
        <w:ind w:left="1720" w:hanging="415"/>
        <w:spacing w:after="0"/>
        <w:tabs>
          <w:tab w:leader="none" w:pos="1720" w:val="left"/>
        </w:tabs>
        <w:numPr>
          <w:ilvl w:val="1"/>
          <w:numId w:val="189"/>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w:t>
      </w:r>
    </w:p>
    <w:p>
      <w:pPr>
        <w:spacing w:after="0" w:line="92" w:lineRule="exact"/>
        <w:rPr>
          <w:rFonts w:ascii="Arial" w:cs="Arial" w:eastAsia="Arial" w:hAnsi="Arial"/>
          <w:sz w:val="19"/>
          <w:szCs w:val="19"/>
          <w:color w:val="010000"/>
        </w:rPr>
      </w:pPr>
    </w:p>
    <w:p>
      <w:pPr>
        <w:spacing w:after="0" w:line="287" w:lineRule="auto"/>
        <w:rPr>
          <w:rFonts w:ascii="Arial" w:cs="Arial" w:eastAsia="Arial" w:hAnsi="Arial"/>
          <w:sz w:val="19"/>
          <w:szCs w:val="19"/>
          <w:color w:val="010000"/>
        </w:rPr>
      </w:pPr>
      <w:r>
        <w:rPr>
          <w:rFonts w:ascii="Arial" w:cs="Arial" w:eastAsia="Arial" w:hAnsi="Arial"/>
          <w:sz w:val="22"/>
          <w:szCs w:val="22"/>
          <w:color w:val="auto"/>
        </w:rPr>
        <w:t>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9" w:lineRule="exact"/>
        <w:rPr>
          <w:rFonts w:ascii="Arial" w:cs="Arial" w:eastAsia="Arial" w:hAnsi="Arial"/>
          <w:sz w:val="19"/>
          <w:szCs w:val="19"/>
          <w:color w:val="010000"/>
        </w:rPr>
      </w:pPr>
    </w:p>
    <w:p>
      <w:pPr>
        <w:ind w:left="1740" w:hanging="435"/>
        <w:spacing w:after="0"/>
        <w:tabs>
          <w:tab w:leader="none" w:pos="1740" w:val="left"/>
        </w:tabs>
        <w:numPr>
          <w:ilvl w:val="1"/>
          <w:numId w:val="189"/>
        </w:numPr>
        <w:rPr>
          <w:rFonts w:ascii="Arial" w:cs="Arial" w:eastAsia="Arial" w:hAnsi="Arial"/>
          <w:sz w:val="21"/>
          <w:szCs w:val="21"/>
          <w:color w:val="010000"/>
        </w:rPr>
      </w:pPr>
      <w:r>
        <w:rPr>
          <w:rFonts w:ascii="Arial" w:cs="Arial" w:eastAsia="Arial" w:hAnsi="Arial"/>
          <w:sz w:val="21"/>
          <w:szCs w:val="21"/>
          <w:color w:val="auto"/>
        </w:rPr>
        <w:t>“Disability” shall mean that the Participant, by reason of any medically determinable physical or mental</w:t>
      </w:r>
    </w:p>
    <w:p>
      <w:pPr>
        <w:spacing w:after="0" w:line="69" w:lineRule="exact"/>
        <w:rPr>
          <w:rFonts w:ascii="Arial" w:cs="Arial" w:eastAsia="Arial" w:hAnsi="Arial"/>
          <w:sz w:val="21"/>
          <w:szCs w:val="21"/>
          <w:color w:val="010000"/>
        </w:rPr>
      </w:pPr>
    </w:p>
    <w:p>
      <w:pPr>
        <w:ind w:right="200"/>
        <w:spacing w:after="0" w:line="292" w:lineRule="auto"/>
        <w:rPr>
          <w:rFonts w:ascii="Arial" w:cs="Arial" w:eastAsia="Arial" w:hAnsi="Arial"/>
          <w:sz w:val="21"/>
          <w:szCs w:val="21"/>
          <w:color w:val="010000"/>
        </w:rPr>
      </w:pPr>
      <w:r>
        <w:rPr>
          <w:rFonts w:ascii="Arial" w:cs="Arial" w:eastAsia="Arial" w:hAnsi="Arial"/>
          <w:sz w:val="22"/>
          <w:szCs w:val="22"/>
          <w:color w:val="auto"/>
        </w:rPr>
        <w:t>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4" w:lineRule="exact"/>
        <w:rPr>
          <w:rFonts w:ascii="Arial" w:cs="Arial" w:eastAsia="Arial" w:hAnsi="Arial"/>
          <w:sz w:val="21"/>
          <w:szCs w:val="21"/>
          <w:color w:val="010000"/>
        </w:rPr>
      </w:pPr>
    </w:p>
    <w:p>
      <w:pPr>
        <w:ind w:left="1720" w:hanging="415"/>
        <w:spacing w:after="0"/>
        <w:tabs>
          <w:tab w:leader="none" w:pos="1720" w:val="left"/>
        </w:tabs>
        <w:numPr>
          <w:ilvl w:val="1"/>
          <w:numId w:val="189"/>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w:t>
      </w:r>
    </w:p>
    <w:p>
      <w:pPr>
        <w:spacing w:after="0" w:line="92" w:lineRule="exact"/>
        <w:rPr>
          <w:rFonts w:ascii="Arial" w:cs="Arial" w:eastAsia="Arial" w:hAnsi="Arial"/>
          <w:sz w:val="19"/>
          <w:szCs w:val="19"/>
          <w:color w:val="010000"/>
        </w:rPr>
      </w:pPr>
    </w:p>
    <w:p>
      <w:pPr>
        <w:jc w:val="both"/>
        <w:ind w:right="200"/>
        <w:spacing w:after="0" w:line="387" w:lineRule="auto"/>
        <w:rPr>
          <w:rFonts w:ascii="Arial" w:cs="Arial" w:eastAsia="Arial" w:hAnsi="Arial"/>
          <w:sz w:val="19"/>
          <w:szCs w:val="19"/>
          <w:color w:val="010000"/>
        </w:rPr>
      </w:pPr>
      <w:r>
        <w:rPr>
          <w:rFonts w:ascii="Arial" w:cs="Arial" w:eastAsia="Arial" w:hAnsi="Arial"/>
          <w:sz w:val="19"/>
          <w:szCs w:val="19"/>
          <w:color w:val="auto"/>
        </w:rPr>
        <w:t>event that the Company (i) breaches its obligations to pay any salary, benefit or bonus due to him or her, including its obligations under this Agreement, (ii) requires the Participant to relocate more than 50 miles from the Participant’s current, principal place of</w:t>
      </w:r>
    </w:p>
    <w:p>
      <w:pPr>
        <w:sectPr>
          <w:pgSz w:w="11900" w:h="17013" w:orient="portrait"/>
          <w:cols w:equalWidth="0" w:num="1">
            <w:col w:w="11400"/>
          </w:cols>
          <w:pgMar w:left="240" w:top="145" w:right="259" w:bottom="0" w:gutter="0" w:footer="0" w:header="0"/>
        </w:sectPr>
      </w:pPr>
    </w:p>
    <w:bookmarkStart w:id="143" w:name="page144"/>
    <w:bookmarkEnd w:id="143"/>
    <w:p>
      <w:pPr>
        <w:spacing w:after="0" w:line="326" w:lineRule="auto"/>
        <w:rPr>
          <w:sz w:val="20"/>
          <w:szCs w:val="20"/>
          <w:color w:val="auto"/>
        </w:rPr>
      </w:pPr>
      <w:r>
        <w:rPr>
          <w:rFonts w:ascii="Arial" w:cs="Arial" w:eastAsia="Arial" w:hAnsi="Arial"/>
          <w:sz w:val="19"/>
          <w:szCs w:val="19"/>
          <w:color w:val="auto"/>
        </w:rPr>
        <w:t>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1" w:lineRule="exact"/>
        <w:rPr>
          <w:sz w:val="20"/>
          <w:szCs w:val="20"/>
          <w:color w:val="auto"/>
        </w:rPr>
      </w:pPr>
    </w:p>
    <w:p>
      <w:pPr>
        <w:ind w:right="40" w:firstLine="8"/>
        <w:spacing w:after="0" w:line="336" w:lineRule="auto"/>
        <w:tabs>
          <w:tab w:leader="none" w:pos="36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5" w:lineRule="exact"/>
        <w:rPr>
          <w:sz w:val="20"/>
          <w:szCs w:val="20"/>
          <w:color w:val="auto"/>
        </w:rPr>
      </w:pPr>
    </w:p>
    <w:p>
      <w:pPr>
        <w:ind w:right="560" w:firstLine="648"/>
        <w:spacing w:after="0" w:line="302"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5486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11420"/>
          </w:cols>
          <w:pgMar w:left="240" w:top="14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10.22</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One-Fourth Annual Vesting –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62" w:lineRule="exact"/>
        <w:rPr>
          <w:sz w:val="20"/>
          <w:szCs w:val="20"/>
          <w:color w:val="auto"/>
        </w:rPr>
      </w:pPr>
    </w:p>
    <w:p>
      <w:pPr>
        <w:ind w:right="980"/>
        <w:spacing w:after="0" w:line="246" w:lineRule="auto"/>
        <w:rPr>
          <w:sz w:val="20"/>
          <w:szCs w:val="20"/>
          <w:color w:val="auto"/>
        </w:rPr>
      </w:pPr>
      <w:r>
        <w:rPr>
          <w:rFonts w:ascii="Arial" w:cs="Arial" w:eastAsia="Arial" w:hAnsi="Arial"/>
          <w:sz w:val="22"/>
          <w:szCs w:val="22"/>
          <w:color w:val="auto"/>
        </w:rPr>
        <w:t xml:space="preserve">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53" w:lineRule="auto"/>
        <w:tabs>
          <w:tab w:leader="none" w:pos="1459" w:val="left"/>
        </w:tabs>
        <w:numPr>
          <w:ilvl w:val="0"/>
          <w:numId w:val="191"/>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5" w:lineRule="exact"/>
        <w:rPr>
          <w:rFonts w:ascii="Arial" w:cs="Arial" w:eastAsia="Arial" w:hAnsi="Arial"/>
          <w:sz w:val="22"/>
          <w:szCs w:val="22"/>
          <w:color w:val="010000"/>
        </w:rPr>
      </w:pPr>
    </w:p>
    <w:p>
      <w:pPr>
        <w:ind w:right="20" w:firstLine="656"/>
        <w:spacing w:after="0" w:line="297" w:lineRule="auto"/>
        <w:tabs>
          <w:tab w:leader="none" w:pos="990" w:val="left"/>
        </w:tabs>
        <w:numPr>
          <w:ilvl w:val="0"/>
          <w:numId w:val="191"/>
        </w:numPr>
        <w:rPr>
          <w:rFonts w:ascii="Arial" w:cs="Arial" w:eastAsia="Arial" w:hAnsi="Arial"/>
          <w:sz w:val="19"/>
          <w:szCs w:val="19"/>
          <w:color w:val="010000"/>
        </w:rPr>
      </w:pPr>
      <w:r>
        <w:rPr>
          <w:rFonts w:ascii="Arial" w:cs="Arial" w:eastAsia="Arial" w:hAnsi="Arial"/>
          <w:sz w:val="19"/>
          <w:szCs w:val="19"/>
          <w:u w:val="single" w:color="auto"/>
          <w:color w:val="auto"/>
        </w:rPr>
        <w:t>RESTRICTIONS AND CONDITIONS</w:t>
      </w:r>
      <w:r>
        <w:rPr>
          <w:rFonts w:ascii="Arial" w:cs="Arial" w:eastAsia="Arial" w:hAnsi="Arial"/>
          <w:sz w:val="19"/>
          <w:szCs w:val="19"/>
          <w:color w:val="auto"/>
        </w:rPr>
        <w:t>. Subject to the Participant’s continuous employment with the Company, the Restriction Period applicable to the Restricted Shares shall lapse, and the Restricted Shares shall become vested as to one-fourth (1/4) of the Restricted Shares subject to the Award on each of the first, second, third and fourth anniversaries of the Date of Grant. Except as provided in Section 3, the Restricted Shares will be forfeited as to the unvested portion of the Award if the Participant does not remain continuously in the employment of the Company through the specified lapsing dates set forth above. So long as the shares of Common Stock are subject to restrictions imposed under the Plan and the Agreement:</w:t>
      </w:r>
    </w:p>
    <w:p>
      <w:pPr>
        <w:spacing w:after="0" w:line="146" w:lineRule="exact"/>
        <w:rPr>
          <w:rFonts w:ascii="Arial" w:cs="Arial" w:eastAsia="Arial" w:hAnsi="Arial"/>
          <w:sz w:val="19"/>
          <w:szCs w:val="19"/>
          <w:color w:val="010000"/>
        </w:rPr>
      </w:pPr>
    </w:p>
    <w:p>
      <w:pPr>
        <w:ind w:right="700" w:firstLine="1305"/>
        <w:spacing w:after="0" w:line="358" w:lineRule="auto"/>
        <w:tabs>
          <w:tab w:leader="none" w:pos="1716" w:val="left"/>
        </w:tabs>
        <w:numPr>
          <w:ilvl w:val="1"/>
          <w:numId w:val="191"/>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0"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191"/>
        </w:numPr>
        <w:rPr>
          <w:rFonts w:ascii="Arial" w:cs="Arial" w:eastAsia="Arial" w:hAnsi="Arial"/>
          <w:sz w:val="22"/>
          <w:szCs w:val="22"/>
          <w:color w:val="010000"/>
        </w:rPr>
      </w:pPr>
      <w:r>
        <w:rPr>
          <w:rFonts w:ascii="Arial" w:cs="Arial" w:eastAsia="Arial" w:hAnsi="Arial"/>
          <w:sz w:val="22"/>
          <w:szCs w:val="22"/>
          <w:color w:val="auto"/>
        </w:rPr>
        <w:t>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5" w:lineRule="exact"/>
        <w:rPr>
          <w:rFonts w:ascii="Arial" w:cs="Arial" w:eastAsia="Arial" w:hAnsi="Arial"/>
          <w:sz w:val="22"/>
          <w:szCs w:val="22"/>
          <w:color w:val="010000"/>
        </w:rPr>
      </w:pPr>
    </w:p>
    <w:p>
      <w:pPr>
        <w:ind w:right="320" w:firstLine="1305"/>
        <w:spacing w:after="0" w:line="276" w:lineRule="auto"/>
        <w:tabs>
          <w:tab w:leader="none" w:pos="1716" w:val="left"/>
        </w:tabs>
        <w:numPr>
          <w:ilvl w:val="1"/>
          <w:numId w:val="191"/>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60" w:lineRule="exact"/>
        <w:rPr>
          <w:rFonts w:ascii="Arial" w:cs="Arial" w:eastAsia="Arial" w:hAnsi="Arial"/>
          <w:sz w:val="22"/>
          <w:szCs w:val="22"/>
          <w:color w:val="010000"/>
        </w:rPr>
      </w:pPr>
    </w:p>
    <w:p>
      <w:pPr>
        <w:ind w:left="1740" w:hanging="435"/>
        <w:spacing w:after="0"/>
        <w:tabs>
          <w:tab w:leader="none" w:pos="1740" w:val="left"/>
        </w:tabs>
        <w:numPr>
          <w:ilvl w:val="1"/>
          <w:numId w:val="191"/>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33" w:lineRule="exact"/>
        <w:rPr>
          <w:sz w:val="20"/>
          <w:szCs w:val="20"/>
          <w:color w:val="auto"/>
        </w:rPr>
      </w:pPr>
    </w:p>
    <w:p>
      <w:pPr>
        <w:ind w:left="1300" w:right="140"/>
        <w:spacing w:after="0" w:line="250"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2016 Stock Incentive Plan and a Restricted Stock Award Agreement entered into between the registered owner and Dine Brands Global, Inc. Copies of such Plan and Agreement are on file in the offices of Dine Brands Global, Inc.”;</w:t>
      </w:r>
    </w:p>
    <w:p>
      <w:pPr>
        <w:spacing w:after="0" w:line="188" w:lineRule="exact"/>
        <w:rPr>
          <w:sz w:val="20"/>
          <w:szCs w:val="20"/>
          <w:color w:val="auto"/>
        </w:rPr>
      </w:pPr>
    </w:p>
    <w:p>
      <w:pPr>
        <w:ind w:left="1720" w:hanging="415"/>
        <w:spacing w:after="0"/>
        <w:tabs>
          <w:tab w:leader="none" w:pos="1720" w:val="left"/>
        </w:tabs>
        <w:numPr>
          <w:ilvl w:val="0"/>
          <w:numId w:val="192"/>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267" w:lineRule="exact"/>
        <w:rPr>
          <w:rFonts w:ascii="Arial" w:cs="Arial" w:eastAsia="Arial" w:hAnsi="Arial"/>
          <w:sz w:val="19"/>
          <w:szCs w:val="19"/>
          <w:color w:val="010000"/>
        </w:rPr>
      </w:pPr>
    </w:p>
    <w:p>
      <w:pPr>
        <w:ind w:left="1700" w:hanging="395"/>
        <w:spacing w:after="0"/>
        <w:tabs>
          <w:tab w:leader="none" w:pos="1700" w:val="left"/>
        </w:tabs>
        <w:numPr>
          <w:ilvl w:val="0"/>
          <w:numId w:val="192"/>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88" w:lineRule="exact"/>
        <w:rPr>
          <w:sz w:val="20"/>
          <w:szCs w:val="20"/>
          <w:color w:val="auto"/>
        </w:rPr>
      </w:pPr>
    </w:p>
    <w:p>
      <w:pPr>
        <w:ind w:left="1000" w:hanging="344"/>
        <w:spacing w:after="0"/>
        <w:tabs>
          <w:tab w:leader="none" w:pos="1000" w:val="left"/>
        </w:tabs>
        <w:numPr>
          <w:ilvl w:val="0"/>
          <w:numId w:val="193"/>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ectPr>
          <w:pgSz w:w="11900" w:h="16838" w:orient="portrait"/>
          <w:cols w:equalWidth="0" w:num="1">
            <w:col w:w="11420"/>
          </w:cols>
          <w:pgMar w:left="240" w:top="125" w:right="239" w:bottom="0" w:gutter="0" w:footer="0" w:header="0"/>
        </w:sectPr>
      </w:pPr>
    </w:p>
    <w:bookmarkStart w:id="145" w:name="page146"/>
    <w:bookmarkEnd w:id="145"/>
    <w:p>
      <w:pPr>
        <w:ind w:left="-8" w:right="80" w:firstLine="1305"/>
        <w:spacing w:after="0" w:line="260" w:lineRule="auto"/>
        <w:tabs>
          <w:tab w:leader="none" w:pos="1708" w:val="left"/>
        </w:tabs>
        <w:numPr>
          <w:ilvl w:val="2"/>
          <w:numId w:val="194"/>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Except as otherwise provided in this Section 3, the Restricted Shares will be forfeited as to the unvested portion of the Award if the Participant does not remain continuously in the employment of the Company through the specified lapsing dates set forth in Section 2 above.</w:t>
      </w:r>
    </w:p>
    <w:p>
      <w:pPr>
        <w:spacing w:after="0" w:line="177" w:lineRule="exact"/>
        <w:rPr>
          <w:rFonts w:ascii="Arial" w:cs="Arial" w:eastAsia="Arial" w:hAnsi="Arial"/>
          <w:sz w:val="22"/>
          <w:szCs w:val="22"/>
          <w:color w:val="010000"/>
        </w:rPr>
      </w:pPr>
    </w:p>
    <w:p>
      <w:pPr>
        <w:ind w:left="-8" w:right="280" w:firstLine="1305"/>
        <w:spacing w:after="0" w:line="358" w:lineRule="auto"/>
        <w:tabs>
          <w:tab w:leader="none" w:pos="1720" w:val="left"/>
        </w:tabs>
        <w:numPr>
          <w:ilvl w:val="2"/>
          <w:numId w:val="194"/>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90" w:lineRule="exact"/>
        <w:rPr>
          <w:rFonts w:ascii="Arial" w:cs="Arial" w:eastAsia="Arial" w:hAnsi="Arial"/>
          <w:sz w:val="19"/>
          <w:szCs w:val="19"/>
          <w:color w:val="010000"/>
        </w:rPr>
      </w:pPr>
    </w:p>
    <w:p>
      <w:pPr>
        <w:ind w:left="-8" w:right="40" w:firstLine="1305"/>
        <w:spacing w:after="0" w:line="254" w:lineRule="auto"/>
        <w:tabs>
          <w:tab w:leader="none" w:pos="1708" w:val="left"/>
        </w:tabs>
        <w:numPr>
          <w:ilvl w:val="2"/>
          <w:numId w:val="194"/>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5" w:lineRule="exact"/>
        <w:rPr>
          <w:rFonts w:ascii="Arial" w:cs="Arial" w:eastAsia="Arial" w:hAnsi="Arial"/>
          <w:sz w:val="22"/>
          <w:szCs w:val="22"/>
          <w:color w:val="010000"/>
        </w:rPr>
      </w:pPr>
    </w:p>
    <w:p>
      <w:pPr>
        <w:ind w:left="-8" w:right="40" w:firstLine="656"/>
        <w:spacing w:after="0" w:line="292" w:lineRule="auto"/>
        <w:tabs>
          <w:tab w:leader="none" w:pos="982" w:val="left"/>
        </w:tabs>
        <w:numPr>
          <w:ilvl w:val="1"/>
          <w:numId w:val="195"/>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5" w:lineRule="exact"/>
        <w:rPr>
          <w:rFonts w:ascii="Arial" w:cs="Arial" w:eastAsia="Arial" w:hAnsi="Arial"/>
          <w:sz w:val="19"/>
          <w:szCs w:val="19"/>
          <w:color w:val="010000"/>
        </w:rPr>
      </w:pPr>
    </w:p>
    <w:p>
      <w:pPr>
        <w:ind w:left="-8" w:right="20" w:firstLine="656"/>
        <w:spacing w:after="0" w:line="290" w:lineRule="auto"/>
        <w:tabs>
          <w:tab w:leader="none" w:pos="982" w:val="left"/>
        </w:tabs>
        <w:numPr>
          <w:ilvl w:val="1"/>
          <w:numId w:val="195"/>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left="-8" w:firstLine="8"/>
        <w:spacing w:after="0" w:line="256" w:lineRule="auto"/>
        <w:tabs>
          <w:tab w:leader="none" w:pos="406" w:val="left"/>
        </w:tabs>
        <w:numPr>
          <w:ilvl w:val="0"/>
          <w:numId w:val="196"/>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left="-8" w:right="60" w:firstLine="656"/>
        <w:spacing w:after="0" w:line="251" w:lineRule="auto"/>
        <w:tabs>
          <w:tab w:leader="none" w:pos="982" w:val="left"/>
        </w:tabs>
        <w:numPr>
          <w:ilvl w:val="1"/>
          <w:numId w:val="196"/>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8" w:right="260" w:firstLine="656"/>
        <w:spacing w:after="0" w:line="301" w:lineRule="auto"/>
        <w:tabs>
          <w:tab w:leader="none" w:pos="982" w:val="left"/>
        </w:tabs>
        <w:numPr>
          <w:ilvl w:val="1"/>
          <w:numId w:val="196"/>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8" w:right="20" w:firstLine="656"/>
        <w:spacing w:after="0" w:line="286" w:lineRule="auto"/>
        <w:tabs>
          <w:tab w:leader="none" w:pos="982" w:val="left"/>
        </w:tabs>
        <w:numPr>
          <w:ilvl w:val="1"/>
          <w:numId w:val="196"/>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ectPr>
          <w:pgSz w:w="11900" w:h="16838" w:orient="portrait"/>
          <w:cols w:equalWidth="0" w:num="1">
            <w:col w:w="11412"/>
          </w:cols>
          <w:pgMar w:left="248" w:top="294" w:right="239" w:bottom="0" w:gutter="0" w:footer="0" w:header="0"/>
        </w:sectPr>
      </w:pPr>
    </w:p>
    <w:bookmarkStart w:id="146" w:name="page147"/>
    <w:bookmarkEnd w:id="146"/>
    <w:p>
      <w:pPr>
        <w:ind w:right="340" w:firstLine="656"/>
        <w:spacing w:after="0" w:line="276" w:lineRule="auto"/>
        <w:tabs>
          <w:tab w:leader="none" w:pos="990" w:val="left"/>
        </w:tabs>
        <w:numPr>
          <w:ilvl w:val="1"/>
          <w:numId w:val="197"/>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20" w:firstLine="656"/>
        <w:spacing w:after="0" w:line="300" w:lineRule="auto"/>
        <w:tabs>
          <w:tab w:leader="none" w:pos="1098" w:val="left"/>
        </w:tabs>
        <w:numPr>
          <w:ilvl w:val="1"/>
          <w:numId w:val="197"/>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right="200" w:firstLine="656"/>
        <w:spacing w:after="0" w:line="307" w:lineRule="auto"/>
        <w:tabs>
          <w:tab w:leader="none" w:pos="1090" w:val="left"/>
        </w:tabs>
        <w:numPr>
          <w:ilvl w:val="1"/>
          <w:numId w:val="197"/>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220" w:firstLine="656"/>
        <w:spacing w:after="0" w:line="260" w:lineRule="auto"/>
        <w:tabs>
          <w:tab w:leader="none" w:pos="1098" w:val="left"/>
        </w:tabs>
        <w:numPr>
          <w:ilvl w:val="1"/>
          <w:numId w:val="197"/>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20" w:firstLine="656"/>
        <w:spacing w:after="0" w:line="276" w:lineRule="auto"/>
        <w:tabs>
          <w:tab w:leader="none" w:pos="1098" w:val="left"/>
        </w:tabs>
        <w:numPr>
          <w:ilvl w:val="1"/>
          <w:numId w:val="19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1"/>
          <w:numId w:val="197"/>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197"/>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20" w:firstLine="1305"/>
        <w:spacing w:after="0" w:line="264" w:lineRule="auto"/>
        <w:tabs>
          <w:tab w:leader="none" w:pos="1716" w:val="left"/>
        </w:tabs>
        <w:numPr>
          <w:ilvl w:val="2"/>
          <w:numId w:val="197"/>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5" w:lineRule="exact"/>
        <w:rPr>
          <w:rFonts w:ascii="Arial" w:cs="Arial" w:eastAsia="Arial" w:hAnsi="Arial"/>
          <w:sz w:val="21"/>
          <w:szCs w:val="21"/>
          <w:color w:val="010000"/>
        </w:rPr>
      </w:pPr>
    </w:p>
    <w:p>
      <w:pPr>
        <w:ind w:right="220" w:firstLine="1305"/>
        <w:spacing w:after="0" w:line="254" w:lineRule="auto"/>
        <w:tabs>
          <w:tab w:leader="none" w:pos="1728" w:val="left"/>
        </w:tabs>
        <w:numPr>
          <w:ilvl w:val="2"/>
          <w:numId w:val="197"/>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197"/>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9"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420"/>
          </w:cols>
          <w:pgMar w:left="240" w:top="131" w:right="239" w:bottom="0" w:gutter="0" w:footer="0" w:header="0"/>
        </w:sectPr>
      </w:pPr>
    </w:p>
    <w:bookmarkStart w:id="147" w:name="page148"/>
    <w:bookmarkEnd w:id="147"/>
    <w:p>
      <w:pPr>
        <w:ind w:left="2700"/>
        <w:spacing w:after="0"/>
        <w:rPr>
          <w:sz w:val="20"/>
          <w:szCs w:val="20"/>
          <w:color w:val="auto"/>
        </w:rPr>
      </w:pPr>
      <w:r>
        <w:rPr>
          <w:rFonts w:ascii="Arial" w:cs="Arial" w:eastAsia="Arial" w:hAnsi="Arial"/>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9019"/>
          </w:cols>
          <w:pgMar w:left="1440" w:top="206"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10.23</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One-Third Annual Vesting – Employees</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79" w:lineRule="exact"/>
        <w:rPr>
          <w:sz w:val="20"/>
          <w:szCs w:val="20"/>
          <w:color w:val="auto"/>
        </w:rPr>
      </w:pPr>
    </w:p>
    <w:p>
      <w:pPr>
        <w:ind w:right="980"/>
        <w:spacing w:after="0" w:line="308" w:lineRule="auto"/>
        <w:rPr>
          <w:sz w:val="20"/>
          <w:szCs w:val="20"/>
          <w:color w:val="auto"/>
        </w:rPr>
      </w:pPr>
      <w:r>
        <w:rPr>
          <w:rFonts w:ascii="Arial" w:cs="Arial" w:eastAsia="Arial" w:hAnsi="Arial"/>
          <w:sz w:val="22"/>
          <w:szCs w:val="22"/>
          <w:color w:val="auto"/>
        </w:rPr>
        <w:t xml:space="preserve">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“Participant”).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6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66" w:lineRule="exact"/>
        <w:rPr>
          <w:sz w:val="20"/>
          <w:szCs w:val="20"/>
          <w:color w:val="auto"/>
        </w:rPr>
      </w:pPr>
    </w:p>
    <w:p>
      <w:pPr>
        <w:ind w:right="300" w:firstLine="648"/>
        <w:spacing w:after="0" w:line="302"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4" w:lineRule="exact"/>
        <w:rPr>
          <w:sz w:val="20"/>
          <w:szCs w:val="20"/>
          <w:color w:val="auto"/>
        </w:rPr>
      </w:pPr>
    </w:p>
    <w:p>
      <w:pPr>
        <w:ind w:right="80" w:firstLine="656"/>
        <w:spacing w:after="0" w:line="292" w:lineRule="auto"/>
        <w:tabs>
          <w:tab w:leader="none" w:pos="1459" w:val="left"/>
        </w:tabs>
        <w:numPr>
          <w:ilvl w:val="0"/>
          <w:numId w:val="199"/>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4" w:lineRule="exact"/>
        <w:rPr>
          <w:rFonts w:ascii="Arial" w:cs="Arial" w:eastAsia="Arial" w:hAnsi="Arial"/>
          <w:sz w:val="22"/>
          <w:szCs w:val="22"/>
          <w:color w:val="010000"/>
        </w:rPr>
      </w:pPr>
    </w:p>
    <w:p>
      <w:pPr>
        <w:ind w:left="1000" w:hanging="344"/>
        <w:spacing w:after="0"/>
        <w:tabs>
          <w:tab w:leader="none" w:pos="1000" w:val="left"/>
        </w:tabs>
        <w:numPr>
          <w:ilvl w:val="0"/>
          <w:numId w:val="199"/>
        </w:numPr>
        <w:rPr>
          <w:rFonts w:ascii="Arial" w:cs="Arial" w:eastAsia="Arial" w:hAnsi="Arial"/>
          <w:sz w:val="19"/>
          <w:szCs w:val="19"/>
          <w:color w:val="010000"/>
        </w:rPr>
      </w:pPr>
      <w:r>
        <w:rPr>
          <w:rFonts w:ascii="Arial" w:cs="Arial" w:eastAsia="Arial" w:hAnsi="Arial"/>
          <w:sz w:val="19"/>
          <w:szCs w:val="19"/>
          <w:u w:val="single" w:color="auto"/>
          <w:color w:val="auto"/>
        </w:rPr>
        <w:t>RESTRICTIONS AND CONDITIONS</w:t>
      </w:r>
      <w:r>
        <w:rPr>
          <w:rFonts w:ascii="Arial" w:cs="Arial" w:eastAsia="Arial" w:hAnsi="Arial"/>
          <w:sz w:val="19"/>
          <w:szCs w:val="19"/>
          <w:color w:val="auto"/>
        </w:rPr>
        <w:t>. Subject to the Participant’s continuous employment with the Company, the</w:t>
      </w:r>
    </w:p>
    <w:p>
      <w:pPr>
        <w:spacing w:after="0" w:line="92" w:lineRule="exact"/>
        <w:rPr>
          <w:rFonts w:ascii="Arial" w:cs="Arial" w:eastAsia="Arial" w:hAnsi="Arial"/>
          <w:sz w:val="19"/>
          <w:szCs w:val="19"/>
          <w:color w:val="010000"/>
        </w:rPr>
      </w:pPr>
    </w:p>
    <w:p>
      <w:pPr>
        <w:ind w:right="140"/>
        <w:spacing w:after="0" w:line="341" w:lineRule="auto"/>
        <w:rPr>
          <w:rFonts w:ascii="Arial" w:cs="Arial" w:eastAsia="Arial" w:hAnsi="Arial"/>
          <w:sz w:val="19"/>
          <w:szCs w:val="19"/>
          <w:color w:val="010000"/>
        </w:rPr>
      </w:pPr>
      <w:r>
        <w:rPr>
          <w:rFonts w:ascii="Arial" w:cs="Arial" w:eastAsia="Arial" w:hAnsi="Arial"/>
          <w:sz w:val="19"/>
          <w:szCs w:val="19"/>
          <w:color w:val="auto"/>
        </w:rPr>
        <w:t>Restriction Period applicable to the Restricted Shares shall lapse, and the Restricted Shares shall become vested as to one-third (1/3) of the Restricted Shares subject to the Award on each of the first, second and third anniversaries of the Date of Grant. Except as provided in Section 3, the Restricted Shares will be forfeited as to the unvested portion of the Award if the Participant does not remain continuously in the employment of the Company through the specified lapsing dates set forth above. So long as the shares of Common Stock are subject to restrictions imposed under the Plan and the Agreement:</w:t>
      </w:r>
    </w:p>
    <w:p>
      <w:pPr>
        <w:spacing w:after="0" w:line="149" w:lineRule="exact"/>
        <w:rPr>
          <w:rFonts w:ascii="Arial" w:cs="Arial" w:eastAsia="Arial" w:hAnsi="Arial"/>
          <w:sz w:val="19"/>
          <w:szCs w:val="19"/>
          <w:color w:val="010000"/>
        </w:rPr>
      </w:pPr>
    </w:p>
    <w:p>
      <w:pPr>
        <w:ind w:right="700" w:firstLine="1305"/>
        <w:spacing w:after="0" w:line="402" w:lineRule="auto"/>
        <w:tabs>
          <w:tab w:leader="none" w:pos="1716" w:val="left"/>
        </w:tabs>
        <w:numPr>
          <w:ilvl w:val="1"/>
          <w:numId w:val="199"/>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ectPr>
          <w:pgSz w:w="11900" w:h="16838" w:orient="portrait"/>
          <w:cols w:equalWidth="0" w:num="1">
            <w:col w:w="11420"/>
          </w:cols>
          <w:pgMar w:left="240" w:top="139" w:right="239" w:bottom="1440" w:gutter="0" w:footer="0" w:header="0"/>
        </w:sectPr>
      </w:pPr>
    </w:p>
    <w:bookmarkStart w:id="149" w:name="page150"/>
    <w:bookmarkEnd w:id="149"/>
    <w:p>
      <w:pPr>
        <w:ind w:left="1740" w:hanging="435"/>
        <w:spacing w:after="0"/>
        <w:tabs>
          <w:tab w:leader="none" w:pos="1740" w:val="left"/>
        </w:tabs>
        <w:numPr>
          <w:ilvl w:val="0"/>
          <w:numId w:val="200"/>
        </w:numPr>
        <w:rPr>
          <w:rFonts w:ascii="Arial" w:cs="Arial" w:eastAsia="Arial" w:hAnsi="Arial"/>
          <w:sz w:val="19"/>
          <w:szCs w:val="19"/>
          <w:color w:val="010000"/>
        </w:rPr>
      </w:pPr>
      <w:r>
        <w:rPr>
          <w:rFonts w:ascii="Arial" w:cs="Arial" w:eastAsia="Arial" w:hAnsi="Arial"/>
          <w:sz w:val="19"/>
          <w:szCs w:val="19"/>
          <w:color w:val="auto"/>
        </w:rPr>
        <w:t>all such certificates shall be deposited with the Company, together with stock powers or other instruments of</w:t>
      </w:r>
    </w:p>
    <w:p>
      <w:pPr>
        <w:spacing w:after="0" w:line="92" w:lineRule="exact"/>
        <w:rPr>
          <w:rFonts w:ascii="Arial" w:cs="Arial" w:eastAsia="Arial" w:hAnsi="Arial"/>
          <w:sz w:val="19"/>
          <w:szCs w:val="19"/>
          <w:color w:val="010000"/>
        </w:rPr>
      </w:pPr>
    </w:p>
    <w:p>
      <w:pPr>
        <w:spacing w:after="0" w:line="292" w:lineRule="auto"/>
        <w:rPr>
          <w:rFonts w:ascii="Arial" w:cs="Arial" w:eastAsia="Arial" w:hAnsi="Arial"/>
          <w:sz w:val="19"/>
          <w:szCs w:val="19"/>
          <w:color w:val="010000"/>
        </w:rPr>
      </w:pPr>
      <w:r>
        <w:rPr>
          <w:rFonts w:ascii="Arial" w:cs="Arial" w:eastAsia="Arial" w:hAnsi="Arial"/>
          <w:sz w:val="22"/>
          <w:szCs w:val="22"/>
          <w:color w:val="auto"/>
        </w:rPr>
        <w:t>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4" w:lineRule="exact"/>
        <w:rPr>
          <w:rFonts w:ascii="Arial" w:cs="Arial" w:eastAsia="Arial" w:hAnsi="Arial"/>
          <w:sz w:val="19"/>
          <w:szCs w:val="19"/>
          <w:color w:val="010000"/>
        </w:rPr>
      </w:pPr>
    </w:p>
    <w:p>
      <w:pPr>
        <w:ind w:right="300" w:firstLine="1305"/>
        <w:spacing w:after="0" w:line="315" w:lineRule="auto"/>
        <w:tabs>
          <w:tab w:leader="none" w:pos="1716" w:val="left"/>
        </w:tabs>
        <w:numPr>
          <w:ilvl w:val="0"/>
          <w:numId w:val="200"/>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59" w:lineRule="exact"/>
        <w:rPr>
          <w:rFonts w:ascii="Arial" w:cs="Arial" w:eastAsia="Arial" w:hAnsi="Arial"/>
          <w:sz w:val="22"/>
          <w:szCs w:val="22"/>
          <w:color w:val="010000"/>
        </w:rPr>
      </w:pPr>
    </w:p>
    <w:p>
      <w:pPr>
        <w:ind w:left="1740" w:hanging="435"/>
        <w:spacing w:after="0"/>
        <w:tabs>
          <w:tab w:leader="none" w:pos="1740" w:val="left"/>
        </w:tabs>
        <w:numPr>
          <w:ilvl w:val="0"/>
          <w:numId w:val="200"/>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74" w:lineRule="exact"/>
        <w:rPr>
          <w:sz w:val="20"/>
          <w:szCs w:val="20"/>
          <w:color w:val="auto"/>
        </w:rPr>
      </w:pPr>
    </w:p>
    <w:p>
      <w:pPr>
        <w:ind w:left="1300" w:right="120"/>
        <w:spacing w:after="0" w:line="288"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2016 Stock Incentive Plan and a Restricted Stock Award Agreement entered into between the registered owner and Dine Brands Global, Inc. Copies of such Plan and Agreement are on file in the offices of Dine Brands Global, Inc.”;</w:t>
      </w:r>
    </w:p>
    <w:p>
      <w:pPr>
        <w:spacing w:after="0" w:line="190" w:lineRule="exact"/>
        <w:rPr>
          <w:sz w:val="20"/>
          <w:szCs w:val="20"/>
          <w:color w:val="auto"/>
        </w:rPr>
      </w:pPr>
    </w:p>
    <w:p>
      <w:pPr>
        <w:ind w:left="1720" w:hanging="415"/>
        <w:spacing w:after="0"/>
        <w:tabs>
          <w:tab w:leader="none" w:pos="1720" w:val="left"/>
        </w:tabs>
        <w:numPr>
          <w:ilvl w:val="0"/>
          <w:numId w:val="201"/>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308" w:lineRule="exact"/>
        <w:rPr>
          <w:rFonts w:ascii="Arial" w:cs="Arial" w:eastAsia="Arial" w:hAnsi="Arial"/>
          <w:sz w:val="19"/>
          <w:szCs w:val="19"/>
          <w:color w:val="010000"/>
        </w:rPr>
      </w:pPr>
    </w:p>
    <w:p>
      <w:pPr>
        <w:ind w:left="1700" w:hanging="395"/>
        <w:spacing w:after="0"/>
        <w:tabs>
          <w:tab w:leader="none" w:pos="1700" w:val="left"/>
        </w:tabs>
        <w:numPr>
          <w:ilvl w:val="0"/>
          <w:numId w:val="201"/>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9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60" w:lineRule="exact"/>
        <w:rPr>
          <w:sz w:val="20"/>
          <w:szCs w:val="20"/>
          <w:color w:val="auto"/>
        </w:rPr>
      </w:pPr>
    </w:p>
    <w:p>
      <w:pPr>
        <w:ind w:right="160" w:firstLine="648"/>
        <w:spacing w:after="0" w:line="288"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90" w:lineRule="exact"/>
        <w:rPr>
          <w:sz w:val="20"/>
          <w:szCs w:val="20"/>
          <w:color w:val="auto"/>
        </w:rPr>
      </w:pPr>
    </w:p>
    <w:p>
      <w:pPr>
        <w:ind w:left="1000" w:hanging="344"/>
        <w:spacing w:after="0"/>
        <w:tabs>
          <w:tab w:leader="none" w:pos="1000" w:val="left"/>
        </w:tabs>
        <w:numPr>
          <w:ilvl w:val="0"/>
          <w:numId w:val="202"/>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73" w:lineRule="exact"/>
        <w:rPr>
          <w:rFonts w:ascii="Arial" w:cs="Arial" w:eastAsia="Arial" w:hAnsi="Arial"/>
          <w:sz w:val="22"/>
          <w:szCs w:val="22"/>
          <w:color w:val="010000"/>
        </w:rPr>
      </w:pPr>
    </w:p>
    <w:p>
      <w:pPr>
        <w:ind w:left="1720" w:hanging="415"/>
        <w:spacing w:after="0"/>
        <w:tabs>
          <w:tab w:leader="none" w:pos="1720" w:val="left"/>
        </w:tabs>
        <w:numPr>
          <w:ilvl w:val="1"/>
          <w:numId w:val="202"/>
        </w:numPr>
        <w:rPr>
          <w:rFonts w:ascii="Arial" w:cs="Arial" w:eastAsia="Arial" w:hAnsi="Arial"/>
          <w:sz w:val="19"/>
          <w:szCs w:val="19"/>
          <w:color w:val="010000"/>
        </w:rPr>
      </w:pPr>
      <w:r>
        <w:rPr>
          <w:rFonts w:ascii="Arial" w:cs="Arial" w:eastAsia="Arial" w:hAnsi="Arial"/>
          <w:sz w:val="19"/>
          <w:szCs w:val="19"/>
          <w:u w:val="single" w:color="auto"/>
          <w:color w:val="auto"/>
        </w:rPr>
        <w:t>Service Vesting</w:t>
      </w:r>
      <w:r>
        <w:rPr>
          <w:rFonts w:ascii="Arial" w:cs="Arial" w:eastAsia="Arial" w:hAnsi="Arial"/>
          <w:sz w:val="19"/>
          <w:szCs w:val="19"/>
          <w:color w:val="auto"/>
        </w:rPr>
        <w:t>. Except as otherwise provided in this Section 3, the Restricted Shares will be forfeited as to the</w:t>
      </w:r>
    </w:p>
    <w:p>
      <w:pPr>
        <w:spacing w:after="0" w:line="92" w:lineRule="exact"/>
        <w:rPr>
          <w:rFonts w:ascii="Arial" w:cs="Arial" w:eastAsia="Arial" w:hAnsi="Arial"/>
          <w:sz w:val="19"/>
          <w:szCs w:val="19"/>
          <w:color w:val="010000"/>
        </w:rPr>
      </w:pPr>
    </w:p>
    <w:p>
      <w:pPr>
        <w:ind w:right="500"/>
        <w:spacing w:after="0" w:line="302" w:lineRule="auto"/>
        <w:rPr>
          <w:rFonts w:ascii="Arial" w:cs="Arial" w:eastAsia="Arial" w:hAnsi="Arial"/>
          <w:sz w:val="19"/>
          <w:szCs w:val="19"/>
          <w:color w:val="010000"/>
        </w:rPr>
      </w:pPr>
      <w:r>
        <w:rPr>
          <w:rFonts w:ascii="Arial" w:cs="Arial" w:eastAsia="Arial" w:hAnsi="Arial"/>
          <w:sz w:val="22"/>
          <w:szCs w:val="22"/>
          <w:color w:val="auto"/>
        </w:rPr>
        <w:t>unvested portion of the Award if the Participant does not remain continuously in the employment of the Company through the specified lapsing dates set forth in Section 2 above.</w:t>
      </w:r>
    </w:p>
    <w:p>
      <w:pPr>
        <w:spacing w:after="0" w:line="173" w:lineRule="exact"/>
        <w:rPr>
          <w:rFonts w:ascii="Arial" w:cs="Arial" w:eastAsia="Arial" w:hAnsi="Arial"/>
          <w:sz w:val="19"/>
          <w:szCs w:val="19"/>
          <w:color w:val="010000"/>
        </w:rPr>
      </w:pPr>
    </w:p>
    <w:p>
      <w:pPr>
        <w:ind w:right="260" w:firstLine="1305"/>
        <w:spacing w:after="0" w:line="402" w:lineRule="auto"/>
        <w:tabs>
          <w:tab w:leader="none" w:pos="1728" w:val="left"/>
        </w:tabs>
        <w:numPr>
          <w:ilvl w:val="1"/>
          <w:numId w:val="202"/>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861" w:right="259" w:bottom="1440" w:gutter="0" w:footer="0" w:header="0"/>
        </w:sectPr>
      </w:pPr>
    </w:p>
    <w:bookmarkStart w:id="150" w:name="page151"/>
    <w:bookmarkEnd w:id="150"/>
    <w:p>
      <w:pPr>
        <w:ind w:left="1720" w:hanging="415"/>
        <w:spacing w:after="0"/>
        <w:tabs>
          <w:tab w:leader="none" w:pos="1720" w:val="left"/>
        </w:tabs>
        <w:numPr>
          <w:ilvl w:val="2"/>
          <w:numId w:val="203"/>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 Participant’s employment with the Company is terminated within a period of twenty-</w:t>
      </w:r>
    </w:p>
    <w:p>
      <w:pPr>
        <w:spacing w:after="0" w:line="92" w:lineRule="exact"/>
        <w:rPr>
          <w:rFonts w:ascii="Arial" w:cs="Arial" w:eastAsia="Arial" w:hAnsi="Arial"/>
          <w:sz w:val="19"/>
          <w:szCs w:val="19"/>
          <w:color w:val="010000"/>
        </w:rPr>
      </w:pPr>
    </w:p>
    <w:p>
      <w:pPr>
        <w:ind w:right="40"/>
        <w:spacing w:after="0" w:line="292" w:lineRule="auto"/>
        <w:rPr>
          <w:rFonts w:ascii="Arial" w:cs="Arial" w:eastAsia="Arial" w:hAnsi="Arial"/>
          <w:sz w:val="19"/>
          <w:szCs w:val="19"/>
          <w:color w:val="010000"/>
        </w:rPr>
      </w:pPr>
      <w:r>
        <w:rPr>
          <w:rFonts w:ascii="Arial" w:cs="Arial" w:eastAsia="Arial" w:hAnsi="Arial"/>
          <w:sz w:val="22"/>
          <w:szCs w:val="22"/>
          <w:color w:val="auto"/>
        </w:rPr>
        <w:t>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4" w:lineRule="exact"/>
        <w:rPr>
          <w:rFonts w:ascii="Arial" w:cs="Arial" w:eastAsia="Arial" w:hAnsi="Arial"/>
          <w:sz w:val="19"/>
          <w:szCs w:val="19"/>
          <w:color w:val="010000"/>
        </w:rPr>
      </w:pPr>
    </w:p>
    <w:p>
      <w:pPr>
        <w:ind w:left="1000" w:hanging="344"/>
        <w:spacing w:after="0"/>
        <w:tabs>
          <w:tab w:leader="none" w:pos="1000" w:val="left"/>
        </w:tabs>
        <w:numPr>
          <w:ilvl w:val="1"/>
          <w:numId w:val="204"/>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w:t>
      </w:r>
    </w:p>
    <w:p>
      <w:pPr>
        <w:spacing w:after="0" w:line="92" w:lineRule="exact"/>
        <w:rPr>
          <w:rFonts w:ascii="Arial" w:cs="Arial" w:eastAsia="Arial" w:hAnsi="Arial"/>
          <w:sz w:val="19"/>
          <w:szCs w:val="19"/>
          <w:color w:val="010000"/>
        </w:rPr>
      </w:pPr>
    </w:p>
    <w:p>
      <w:pPr>
        <w:ind w:right="40"/>
        <w:spacing w:after="0" w:line="336" w:lineRule="auto"/>
        <w:rPr>
          <w:rFonts w:ascii="Arial" w:cs="Arial" w:eastAsia="Arial" w:hAnsi="Arial"/>
          <w:sz w:val="19"/>
          <w:szCs w:val="19"/>
          <w:color w:val="010000"/>
        </w:rPr>
      </w:pPr>
      <w:r>
        <w:rPr>
          <w:rFonts w:ascii="Arial" w:cs="Arial" w:eastAsia="Arial" w:hAnsi="Arial"/>
          <w:sz w:val="19"/>
          <w:szCs w:val="19"/>
          <w:color w:val="auto"/>
        </w:rPr>
        <w:t>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4" w:lineRule="exact"/>
        <w:rPr>
          <w:rFonts w:ascii="Arial" w:cs="Arial" w:eastAsia="Arial" w:hAnsi="Arial"/>
          <w:sz w:val="19"/>
          <w:szCs w:val="19"/>
          <w:color w:val="010000"/>
        </w:rPr>
      </w:pPr>
    </w:p>
    <w:p>
      <w:pPr>
        <w:ind w:left="1000" w:hanging="344"/>
        <w:spacing w:after="0"/>
        <w:tabs>
          <w:tab w:leader="none" w:pos="1000" w:val="left"/>
        </w:tabs>
        <w:numPr>
          <w:ilvl w:val="1"/>
          <w:numId w:val="204"/>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w:t>
      </w:r>
    </w:p>
    <w:p>
      <w:pPr>
        <w:spacing w:after="0" w:line="92" w:lineRule="exact"/>
        <w:rPr>
          <w:rFonts w:ascii="Arial" w:cs="Arial" w:eastAsia="Arial" w:hAnsi="Arial"/>
          <w:sz w:val="19"/>
          <w:szCs w:val="19"/>
          <w:color w:val="010000"/>
        </w:rPr>
      </w:pPr>
    </w:p>
    <w:p>
      <w:pPr>
        <w:ind w:right="20"/>
        <w:spacing w:after="0" w:line="326" w:lineRule="auto"/>
        <w:rPr>
          <w:rFonts w:ascii="Arial" w:cs="Arial" w:eastAsia="Arial" w:hAnsi="Arial"/>
          <w:sz w:val="19"/>
          <w:szCs w:val="19"/>
          <w:color w:val="010000"/>
        </w:rPr>
      </w:pPr>
      <w:r>
        <w:rPr>
          <w:rFonts w:ascii="Arial" w:cs="Arial" w:eastAsia="Arial" w:hAnsi="Arial"/>
          <w:sz w:val="19"/>
          <w:szCs w:val="19"/>
          <w:color w:val="auto"/>
        </w:rPr>
        <w:t>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98" w:lineRule="auto"/>
        <w:tabs>
          <w:tab w:leader="none" w:pos="414" w:val="left"/>
        </w:tabs>
        <w:numPr>
          <w:ilvl w:val="0"/>
          <w:numId w:val="205"/>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151" w:name="page152"/>
    <w:bookmarkEnd w:id="151"/>
    <w:p>
      <w:pPr>
        <w:ind w:left="1000" w:hanging="344"/>
        <w:spacing w:after="0"/>
        <w:tabs>
          <w:tab w:leader="none" w:pos="1000" w:val="left"/>
        </w:tabs>
        <w:numPr>
          <w:ilvl w:val="0"/>
          <w:numId w:val="206"/>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w:t>
      </w:r>
    </w:p>
    <w:p>
      <w:pPr>
        <w:spacing w:after="0" w:line="69" w:lineRule="exact"/>
        <w:rPr>
          <w:rFonts w:ascii="Arial" w:cs="Arial" w:eastAsia="Arial" w:hAnsi="Arial"/>
          <w:sz w:val="21"/>
          <w:szCs w:val="21"/>
          <w:color w:val="010000"/>
        </w:rPr>
      </w:pPr>
    </w:p>
    <w:p>
      <w:pPr>
        <w:ind w:right="40"/>
        <w:spacing w:after="0" w:line="288" w:lineRule="auto"/>
        <w:rPr>
          <w:rFonts w:ascii="Arial" w:cs="Arial" w:eastAsia="Arial" w:hAnsi="Arial"/>
          <w:sz w:val="21"/>
          <w:szCs w:val="21"/>
          <w:color w:val="010000"/>
        </w:rPr>
      </w:pPr>
      <w:r>
        <w:rPr>
          <w:rFonts w:ascii="Arial" w:cs="Arial" w:eastAsia="Arial" w:hAnsi="Arial"/>
          <w:sz w:val="22"/>
          <w:szCs w:val="22"/>
          <w:color w:val="auto"/>
        </w:rPr>
        <w:t>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90" w:lineRule="exact"/>
        <w:rPr>
          <w:rFonts w:ascii="Arial" w:cs="Arial" w:eastAsia="Arial" w:hAnsi="Arial"/>
          <w:sz w:val="21"/>
          <w:szCs w:val="21"/>
          <w:color w:val="010000"/>
        </w:rPr>
      </w:pPr>
    </w:p>
    <w:p>
      <w:pPr>
        <w:ind w:right="240" w:firstLine="656"/>
        <w:spacing w:after="0" w:line="341" w:lineRule="auto"/>
        <w:tabs>
          <w:tab w:leader="none" w:pos="990" w:val="left"/>
        </w:tabs>
        <w:numPr>
          <w:ilvl w:val="0"/>
          <w:numId w:val="206"/>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1000" w:hanging="344"/>
        <w:spacing w:after="0"/>
        <w:tabs>
          <w:tab w:leader="none" w:pos="1000" w:val="left"/>
        </w:tabs>
        <w:numPr>
          <w:ilvl w:val="0"/>
          <w:numId w:val="206"/>
        </w:numPr>
        <w:rPr>
          <w:rFonts w:ascii="Arial" w:cs="Arial" w:eastAsia="Arial" w:hAnsi="Arial"/>
          <w:sz w:val="21"/>
          <w:szCs w:val="21"/>
          <w:color w:val="010000"/>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shall have the right to require, prior to the issuance or delivery of any shares of</w:t>
      </w:r>
    </w:p>
    <w:p>
      <w:pPr>
        <w:spacing w:after="0" w:line="69" w:lineRule="exact"/>
        <w:rPr>
          <w:rFonts w:ascii="Arial" w:cs="Arial" w:eastAsia="Arial" w:hAnsi="Arial"/>
          <w:sz w:val="21"/>
          <w:szCs w:val="21"/>
          <w:color w:val="010000"/>
        </w:rPr>
      </w:pPr>
    </w:p>
    <w:p>
      <w:pPr>
        <w:spacing w:after="0" w:line="330" w:lineRule="auto"/>
        <w:rPr>
          <w:rFonts w:ascii="Arial" w:cs="Arial" w:eastAsia="Arial" w:hAnsi="Arial"/>
          <w:sz w:val="21"/>
          <w:szCs w:val="21"/>
          <w:color w:val="010000"/>
        </w:rPr>
      </w:pPr>
      <w:r>
        <w:rPr>
          <w:rFonts w:ascii="Arial" w:cs="Arial" w:eastAsia="Arial" w:hAnsi="Arial"/>
          <w:sz w:val="19"/>
          <w:szCs w:val="19"/>
          <w:color w:val="auto"/>
        </w:rPr>
        <w:t>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pacing w:after="0" w:line="166" w:lineRule="exact"/>
        <w:rPr>
          <w:rFonts w:ascii="Arial" w:cs="Arial" w:eastAsia="Arial" w:hAnsi="Arial"/>
          <w:sz w:val="21"/>
          <w:szCs w:val="21"/>
          <w:color w:val="010000"/>
        </w:rPr>
      </w:pPr>
    </w:p>
    <w:p>
      <w:pPr>
        <w:ind w:right="320" w:firstLine="656"/>
        <w:spacing w:after="0" w:line="315" w:lineRule="auto"/>
        <w:tabs>
          <w:tab w:leader="none" w:pos="990" w:val="left"/>
        </w:tabs>
        <w:numPr>
          <w:ilvl w:val="0"/>
          <w:numId w:val="206"/>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59" w:lineRule="exact"/>
        <w:rPr>
          <w:rFonts w:ascii="Arial" w:cs="Arial" w:eastAsia="Arial" w:hAnsi="Arial"/>
          <w:sz w:val="22"/>
          <w:szCs w:val="22"/>
          <w:color w:val="010000"/>
        </w:rPr>
      </w:pPr>
    </w:p>
    <w:p>
      <w:pPr>
        <w:ind w:right="200" w:firstLine="656"/>
        <w:spacing w:after="0" w:line="315" w:lineRule="auto"/>
        <w:tabs>
          <w:tab w:leader="none" w:pos="1098" w:val="left"/>
        </w:tabs>
        <w:numPr>
          <w:ilvl w:val="0"/>
          <w:numId w:val="206"/>
        </w:numPr>
        <w:rPr>
          <w:rFonts w:ascii="Arial" w:cs="Arial" w:eastAsia="Arial" w:hAnsi="Arial"/>
          <w:sz w:val="22"/>
          <w:szCs w:val="22"/>
          <w:color w:val="010000"/>
        </w:rPr>
      </w:pPr>
      <w:r>
        <w:rPr>
          <w:rFonts w:ascii="Arial" w:cs="Arial" w:eastAsia="Arial" w:hAnsi="Arial"/>
          <w:sz w:val="22"/>
          <w:szCs w:val="22"/>
          <w:u w:val="single" w:color="auto"/>
          <w:color w:val="auto"/>
        </w:rPr>
        <w:t>EMPLOYMENT</w:t>
      </w:r>
      <w:r>
        <w:rPr>
          <w:rFonts w:ascii="Arial" w:cs="Arial" w:eastAsia="Arial" w:hAnsi="Arial"/>
          <w:sz w:val="22"/>
          <w:szCs w:val="22"/>
          <w:color w:val="auto"/>
        </w:rPr>
        <w:t>. Neither the Plan, the granting of the Award, this Agreement nor any other action taken pursuant to the Plan shall confer upon any person any right to continued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861" w:right="259" w:bottom="1440" w:gutter="0" w:footer="0" w:header="0"/>
        </w:sectPr>
      </w:pPr>
    </w:p>
    <w:bookmarkStart w:id="152" w:name="page153"/>
    <w:bookmarkEnd w:id="152"/>
    <w:p>
      <w:pPr>
        <w:ind w:right="260"/>
        <w:spacing w:after="0" w:line="288" w:lineRule="auto"/>
        <w:rPr>
          <w:sz w:val="20"/>
          <w:szCs w:val="20"/>
          <w:color w:val="auto"/>
        </w:rPr>
      </w:pPr>
      <w:r>
        <w:rPr>
          <w:rFonts w:ascii="Arial" w:cs="Arial" w:eastAsia="Arial" w:hAnsi="Arial"/>
          <w:sz w:val="22"/>
          <w:szCs w:val="22"/>
          <w:color w:val="auto"/>
        </w:rPr>
        <w:t>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90" w:lineRule="exact"/>
        <w:rPr>
          <w:sz w:val="20"/>
          <w:szCs w:val="20"/>
          <w:color w:val="auto"/>
        </w:rPr>
      </w:pPr>
    </w:p>
    <w:p>
      <w:pPr>
        <w:ind w:left="1100" w:hanging="444"/>
        <w:spacing w:after="0"/>
        <w:tabs>
          <w:tab w:leader="none" w:pos="1100" w:val="left"/>
        </w:tabs>
        <w:numPr>
          <w:ilvl w:val="0"/>
          <w:numId w:val="207"/>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w:t>
      </w:r>
    </w:p>
    <w:p>
      <w:pPr>
        <w:spacing w:after="0" w:line="92" w:lineRule="exact"/>
        <w:rPr>
          <w:rFonts w:ascii="Arial" w:cs="Arial" w:eastAsia="Arial" w:hAnsi="Arial"/>
          <w:sz w:val="19"/>
          <w:szCs w:val="19"/>
          <w:color w:val="010000"/>
        </w:rPr>
      </w:pPr>
    </w:p>
    <w:p>
      <w:pPr>
        <w:ind w:right="180"/>
        <w:spacing w:after="0" w:line="357" w:lineRule="auto"/>
        <w:rPr>
          <w:rFonts w:ascii="Arial" w:cs="Arial" w:eastAsia="Arial" w:hAnsi="Arial"/>
          <w:sz w:val="19"/>
          <w:szCs w:val="19"/>
          <w:color w:val="010000"/>
        </w:rPr>
      </w:pPr>
      <w:r>
        <w:rPr>
          <w:rFonts w:ascii="Arial" w:cs="Arial" w:eastAsia="Arial" w:hAnsi="Arial"/>
          <w:sz w:val="19"/>
          <w:szCs w:val="19"/>
          <w:color w:val="auto"/>
        </w:rPr>
        <w:t xml:space="preserve">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2" w:lineRule="exact"/>
        <w:rPr>
          <w:rFonts w:ascii="Arial" w:cs="Arial" w:eastAsia="Arial" w:hAnsi="Arial"/>
          <w:sz w:val="19"/>
          <w:szCs w:val="19"/>
          <w:color w:val="010000"/>
        </w:rPr>
      </w:pPr>
    </w:p>
    <w:p>
      <w:pPr>
        <w:ind w:left="1100" w:hanging="444"/>
        <w:spacing w:after="0"/>
        <w:tabs>
          <w:tab w:leader="none" w:pos="1100" w:val="left"/>
        </w:tabs>
        <w:numPr>
          <w:ilvl w:val="0"/>
          <w:numId w:val="207"/>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To the extent not otherwise governed by the Code or the laws of the United States, this</w:t>
      </w:r>
    </w:p>
    <w:p>
      <w:pPr>
        <w:spacing w:after="0" w:line="69" w:lineRule="exact"/>
        <w:rPr>
          <w:rFonts w:ascii="Arial" w:cs="Arial" w:eastAsia="Arial" w:hAnsi="Arial"/>
          <w:sz w:val="21"/>
          <w:szCs w:val="21"/>
          <w:color w:val="010000"/>
        </w:rPr>
      </w:pPr>
    </w:p>
    <w:p>
      <w:pPr>
        <w:ind w:right="200"/>
        <w:spacing w:after="0" w:line="302" w:lineRule="auto"/>
        <w:rPr>
          <w:rFonts w:ascii="Arial" w:cs="Arial" w:eastAsia="Arial" w:hAnsi="Arial"/>
          <w:sz w:val="21"/>
          <w:szCs w:val="21"/>
          <w:color w:val="010000"/>
        </w:rPr>
      </w:pPr>
      <w:r>
        <w:rPr>
          <w:rFonts w:ascii="Arial" w:cs="Arial" w:eastAsia="Arial" w:hAnsi="Arial"/>
          <w:sz w:val="22"/>
          <w:szCs w:val="22"/>
          <w:color w:val="auto"/>
        </w:rPr>
        <w:t>Agreement shall be governed by the laws of the State of Delaware and construed in accordance therewith without giving effect to principles of conflicts of laws.</w:t>
      </w:r>
    </w:p>
    <w:p>
      <w:pPr>
        <w:spacing w:after="0" w:line="173" w:lineRule="exact"/>
        <w:rPr>
          <w:rFonts w:ascii="Arial" w:cs="Arial" w:eastAsia="Arial" w:hAnsi="Arial"/>
          <w:sz w:val="21"/>
          <w:szCs w:val="21"/>
          <w:color w:val="010000"/>
        </w:rPr>
      </w:pPr>
    </w:p>
    <w:p>
      <w:pPr>
        <w:ind w:right="100" w:firstLine="656"/>
        <w:spacing w:after="0" w:line="315" w:lineRule="auto"/>
        <w:tabs>
          <w:tab w:leader="none" w:pos="1098" w:val="left"/>
        </w:tabs>
        <w:numPr>
          <w:ilvl w:val="0"/>
          <w:numId w:val="20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59" w:lineRule="exact"/>
        <w:rPr>
          <w:rFonts w:ascii="Arial" w:cs="Arial" w:eastAsia="Arial" w:hAnsi="Arial"/>
          <w:sz w:val="22"/>
          <w:szCs w:val="22"/>
          <w:color w:val="010000"/>
        </w:rPr>
      </w:pPr>
    </w:p>
    <w:p>
      <w:pPr>
        <w:ind w:left="1100" w:hanging="444"/>
        <w:spacing w:after="0"/>
        <w:tabs>
          <w:tab w:leader="none" w:pos="1100" w:val="left"/>
        </w:tabs>
        <w:numPr>
          <w:ilvl w:val="0"/>
          <w:numId w:val="207"/>
        </w:numPr>
        <w:rPr>
          <w:rFonts w:ascii="Arial" w:cs="Arial" w:eastAsia="Arial" w:hAnsi="Arial"/>
          <w:sz w:val="19"/>
          <w:szCs w:val="19"/>
          <w:color w:val="010000"/>
        </w:rPr>
      </w:pPr>
      <w:r>
        <w:rPr>
          <w:rFonts w:ascii="Arial" w:cs="Arial" w:eastAsia="Arial" w:hAnsi="Arial"/>
          <w:sz w:val="19"/>
          <w:szCs w:val="19"/>
          <w:u w:val="single" w:color="auto"/>
          <w:color w:val="auto"/>
        </w:rPr>
        <w:t>AWARDS SUBJECT TO CLAWBACK</w:t>
      </w:r>
      <w:r>
        <w:rPr>
          <w:rFonts w:ascii="Arial" w:cs="Arial" w:eastAsia="Arial" w:hAnsi="Arial"/>
          <w:sz w:val="19"/>
          <w:szCs w:val="19"/>
          <w:color w:val="auto"/>
        </w:rPr>
        <w:t>. The Award and any cash payment or shares of Common Stock delivered</w:t>
      </w:r>
    </w:p>
    <w:p>
      <w:pPr>
        <w:spacing w:after="0" w:line="92" w:lineRule="exact"/>
        <w:rPr>
          <w:rFonts w:ascii="Arial" w:cs="Arial" w:eastAsia="Arial" w:hAnsi="Arial"/>
          <w:sz w:val="19"/>
          <w:szCs w:val="19"/>
          <w:color w:val="010000"/>
        </w:rPr>
      </w:pPr>
    </w:p>
    <w:p>
      <w:pPr>
        <w:ind w:right="400"/>
        <w:spacing w:after="0" w:line="306" w:lineRule="auto"/>
        <w:rPr>
          <w:rFonts w:ascii="Arial" w:cs="Arial" w:eastAsia="Arial" w:hAnsi="Arial"/>
          <w:sz w:val="19"/>
          <w:szCs w:val="19"/>
          <w:color w:val="010000"/>
        </w:rPr>
      </w:pPr>
      <w:r>
        <w:rPr>
          <w:rFonts w:ascii="Arial" w:cs="Arial" w:eastAsia="Arial" w:hAnsi="Arial"/>
          <w:sz w:val="21"/>
          <w:szCs w:val="21"/>
          <w:color w:val="auto"/>
        </w:rPr>
        <w:t>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2" w:lineRule="exact"/>
        <w:rPr>
          <w:rFonts w:ascii="Arial" w:cs="Arial" w:eastAsia="Arial" w:hAnsi="Arial"/>
          <w:sz w:val="19"/>
          <w:szCs w:val="19"/>
          <w:color w:val="010000"/>
        </w:rPr>
      </w:pPr>
    </w:p>
    <w:p>
      <w:pPr>
        <w:ind w:left="1100" w:hanging="444"/>
        <w:spacing w:after="0"/>
        <w:tabs>
          <w:tab w:leader="none" w:pos="1100" w:val="left"/>
        </w:tabs>
        <w:numPr>
          <w:ilvl w:val="0"/>
          <w:numId w:val="207"/>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85" w:lineRule="exact"/>
        <w:rPr>
          <w:rFonts w:ascii="Arial" w:cs="Arial" w:eastAsia="Arial" w:hAnsi="Arial"/>
          <w:sz w:val="21"/>
          <w:szCs w:val="21"/>
          <w:color w:val="010000"/>
        </w:rPr>
      </w:pPr>
    </w:p>
    <w:p>
      <w:pPr>
        <w:ind w:left="1720" w:hanging="415"/>
        <w:spacing w:after="0"/>
        <w:tabs>
          <w:tab w:leader="none" w:pos="1720" w:val="left"/>
        </w:tabs>
        <w:numPr>
          <w:ilvl w:val="1"/>
          <w:numId w:val="207"/>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w:t>
      </w:r>
    </w:p>
    <w:p>
      <w:pPr>
        <w:spacing w:after="0" w:line="92" w:lineRule="exact"/>
        <w:rPr>
          <w:rFonts w:ascii="Arial" w:cs="Arial" w:eastAsia="Arial" w:hAnsi="Arial"/>
          <w:sz w:val="19"/>
          <w:szCs w:val="19"/>
          <w:color w:val="010000"/>
        </w:rPr>
      </w:pPr>
    </w:p>
    <w:p>
      <w:pPr>
        <w:spacing w:after="0" w:line="287" w:lineRule="auto"/>
        <w:rPr>
          <w:rFonts w:ascii="Arial" w:cs="Arial" w:eastAsia="Arial" w:hAnsi="Arial"/>
          <w:sz w:val="19"/>
          <w:szCs w:val="19"/>
          <w:color w:val="010000"/>
        </w:rPr>
      </w:pPr>
      <w:r>
        <w:rPr>
          <w:rFonts w:ascii="Arial" w:cs="Arial" w:eastAsia="Arial" w:hAnsi="Arial"/>
          <w:sz w:val="22"/>
          <w:szCs w:val="22"/>
          <w:color w:val="auto"/>
        </w:rPr>
        <w:t>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861" w:right="259" w:bottom="1440" w:gutter="0" w:footer="0" w:header="0"/>
        </w:sectPr>
      </w:pPr>
    </w:p>
    <w:bookmarkStart w:id="153" w:name="page154"/>
    <w:bookmarkEnd w:id="153"/>
    <w:p>
      <w:pPr>
        <w:ind w:left="1740" w:hanging="435"/>
        <w:spacing w:after="0"/>
        <w:tabs>
          <w:tab w:leader="none" w:pos="1740" w:val="left"/>
        </w:tabs>
        <w:numPr>
          <w:ilvl w:val="1"/>
          <w:numId w:val="208"/>
        </w:numPr>
        <w:rPr>
          <w:rFonts w:ascii="Arial" w:cs="Arial" w:eastAsia="Arial" w:hAnsi="Arial"/>
          <w:sz w:val="21"/>
          <w:szCs w:val="21"/>
          <w:color w:val="010000"/>
        </w:rPr>
      </w:pPr>
      <w:r>
        <w:rPr>
          <w:rFonts w:ascii="Arial" w:cs="Arial" w:eastAsia="Arial" w:hAnsi="Arial"/>
          <w:sz w:val="21"/>
          <w:szCs w:val="21"/>
          <w:color w:val="auto"/>
        </w:rPr>
        <w:t>“Disability” shall mean that the Participant, by reason of any medically determinable physical or mental</w:t>
      </w:r>
    </w:p>
    <w:p>
      <w:pPr>
        <w:spacing w:after="0" w:line="69" w:lineRule="exact"/>
        <w:rPr>
          <w:rFonts w:ascii="Arial" w:cs="Arial" w:eastAsia="Arial" w:hAnsi="Arial"/>
          <w:sz w:val="21"/>
          <w:szCs w:val="21"/>
          <w:color w:val="010000"/>
        </w:rPr>
      </w:pPr>
    </w:p>
    <w:p>
      <w:pPr>
        <w:ind w:right="220"/>
        <w:spacing w:after="0" w:line="292" w:lineRule="auto"/>
        <w:rPr>
          <w:rFonts w:ascii="Arial" w:cs="Arial" w:eastAsia="Arial" w:hAnsi="Arial"/>
          <w:sz w:val="21"/>
          <w:szCs w:val="21"/>
          <w:color w:val="010000"/>
        </w:rPr>
      </w:pPr>
      <w:r>
        <w:rPr>
          <w:rFonts w:ascii="Arial" w:cs="Arial" w:eastAsia="Arial" w:hAnsi="Arial"/>
          <w:sz w:val="22"/>
          <w:szCs w:val="22"/>
          <w:color w:val="auto"/>
        </w:rPr>
        <w:t>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4" w:lineRule="exact"/>
        <w:rPr>
          <w:rFonts w:ascii="Arial" w:cs="Arial" w:eastAsia="Arial" w:hAnsi="Arial"/>
          <w:sz w:val="21"/>
          <w:szCs w:val="21"/>
          <w:color w:val="010000"/>
        </w:rPr>
      </w:pPr>
    </w:p>
    <w:p>
      <w:pPr>
        <w:ind w:left="1720" w:hanging="415"/>
        <w:spacing w:after="0"/>
        <w:tabs>
          <w:tab w:leader="none" w:pos="1720"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w:t>
      </w:r>
    </w:p>
    <w:p>
      <w:pPr>
        <w:spacing w:after="0" w:line="92" w:lineRule="exact"/>
        <w:rPr>
          <w:rFonts w:ascii="Arial" w:cs="Arial" w:eastAsia="Arial" w:hAnsi="Arial"/>
          <w:sz w:val="19"/>
          <w:szCs w:val="19"/>
          <w:color w:val="010000"/>
        </w:rPr>
      </w:pPr>
    </w:p>
    <w:p>
      <w:pPr>
        <w:spacing w:after="0" w:line="326" w:lineRule="auto"/>
        <w:rPr>
          <w:rFonts w:ascii="Arial" w:cs="Arial" w:eastAsia="Arial" w:hAnsi="Arial"/>
          <w:sz w:val="19"/>
          <w:szCs w:val="19"/>
          <w:color w:val="010000"/>
        </w:rPr>
      </w:pPr>
      <w:r>
        <w:rPr>
          <w:rFonts w:ascii="Arial" w:cs="Arial" w:eastAsia="Arial" w:hAnsi="Arial"/>
          <w:sz w:val="19"/>
          <w:szCs w:val="19"/>
          <w:color w:val="auto"/>
        </w:rPr>
        <w:t>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1" w:lineRule="exact"/>
        <w:rPr>
          <w:rFonts w:ascii="Arial" w:cs="Arial" w:eastAsia="Arial" w:hAnsi="Arial"/>
          <w:sz w:val="19"/>
          <w:szCs w:val="19"/>
          <w:color w:val="010000"/>
        </w:rPr>
      </w:pPr>
    </w:p>
    <w:p>
      <w:pPr>
        <w:ind w:right="40" w:firstLine="8"/>
        <w:spacing w:after="0" w:line="336" w:lineRule="auto"/>
        <w:tabs>
          <w:tab w:leader="none" w:pos="36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61" w:right="239" w:bottom="1440" w:gutter="0" w:footer="0" w:header="0"/>
        </w:sectPr>
      </w:pPr>
    </w:p>
    <w:bookmarkStart w:id="154" w:name="page155"/>
    <w:bookmarkEnd w:id="154"/>
    <w:p>
      <w:pPr>
        <w:ind w:firstLine="648"/>
        <w:spacing w:after="0" w:line="302"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860"/>
          </w:cols>
          <w:pgMar w:left="240" w:top="861" w:right="79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10.24</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Annual Vesting –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62" w:lineRule="exact"/>
        <w:rPr>
          <w:sz w:val="20"/>
          <w:szCs w:val="20"/>
          <w:color w:val="auto"/>
        </w:rPr>
      </w:pPr>
    </w:p>
    <w:p>
      <w:pPr>
        <w:ind w:right="980"/>
        <w:spacing w:after="0" w:line="246" w:lineRule="auto"/>
        <w:rPr>
          <w:sz w:val="20"/>
          <w:szCs w:val="20"/>
          <w:color w:val="auto"/>
        </w:rPr>
      </w:pPr>
      <w:r>
        <w:rPr>
          <w:rFonts w:ascii="Arial" w:cs="Arial" w:eastAsia="Arial" w:hAnsi="Arial"/>
          <w:sz w:val="22"/>
          <w:szCs w:val="22"/>
          <w:color w:val="auto"/>
        </w:rPr>
        <w:t xml:space="preserve">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2016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53" w:lineRule="auto"/>
        <w:tabs>
          <w:tab w:leader="none" w:pos="1459" w:val="left"/>
        </w:tabs>
        <w:numPr>
          <w:ilvl w:val="0"/>
          <w:numId w:val="210"/>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5" w:lineRule="exact"/>
        <w:rPr>
          <w:rFonts w:ascii="Arial" w:cs="Arial" w:eastAsia="Arial" w:hAnsi="Arial"/>
          <w:sz w:val="22"/>
          <w:szCs w:val="22"/>
          <w:color w:val="010000"/>
        </w:rPr>
      </w:pPr>
    </w:p>
    <w:p>
      <w:pPr>
        <w:ind w:right="60" w:firstLine="656"/>
        <w:spacing w:after="0" w:line="266" w:lineRule="auto"/>
        <w:tabs>
          <w:tab w:leader="none" w:pos="990" w:val="left"/>
        </w:tabs>
        <w:numPr>
          <w:ilvl w:val="0"/>
          <w:numId w:val="210"/>
        </w:numPr>
        <w:rPr>
          <w:rFonts w:ascii="Arial" w:cs="Arial" w:eastAsia="Arial" w:hAnsi="Arial"/>
          <w:sz w:val="21"/>
          <w:szCs w:val="21"/>
          <w:color w:val="010000"/>
        </w:rPr>
      </w:pPr>
      <w:r>
        <w:rPr>
          <w:rFonts w:ascii="Arial" w:cs="Arial" w:eastAsia="Arial" w:hAnsi="Arial"/>
          <w:sz w:val="21"/>
          <w:szCs w:val="21"/>
          <w:u w:val="single" w:color="auto"/>
          <w:color w:val="auto"/>
        </w:rPr>
        <w:t>RESTRICTIONS AND CONDITIONS</w:t>
      </w:r>
      <w:r>
        <w:rPr>
          <w:rFonts w:ascii="Arial" w:cs="Arial" w:eastAsia="Arial" w:hAnsi="Arial"/>
          <w:sz w:val="21"/>
          <w:szCs w:val="21"/>
          <w:color w:val="auto"/>
        </w:rPr>
        <w:t>. Subject to the Participant’s continuous employment with the Company, the Restriction Period applicable to the Restricted Shares shall lapse, and the Restricted Shares shall become vested, on the first anniversary of the Date of Grant. Except as provided in Section 3, the Restricted Shares will be forfeited if the Participant does not remain continuously in the employment of the Company through the specified lapsing date set forth above. So long as the shares of Common Stock are subject to restrictions imposed under the Plan and the Agreement:</w:t>
      </w:r>
    </w:p>
    <w:p>
      <w:pPr>
        <w:spacing w:after="0" w:line="174" w:lineRule="exact"/>
        <w:rPr>
          <w:rFonts w:ascii="Arial" w:cs="Arial" w:eastAsia="Arial" w:hAnsi="Arial"/>
          <w:sz w:val="21"/>
          <w:szCs w:val="21"/>
          <w:color w:val="010000"/>
        </w:rPr>
      </w:pPr>
    </w:p>
    <w:p>
      <w:pPr>
        <w:ind w:right="700" w:firstLine="1305"/>
        <w:spacing w:after="0" w:line="358" w:lineRule="auto"/>
        <w:tabs>
          <w:tab w:leader="none" w:pos="1716" w:val="left"/>
        </w:tabs>
        <w:numPr>
          <w:ilvl w:val="1"/>
          <w:numId w:val="210"/>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0"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210"/>
        </w:numPr>
        <w:rPr>
          <w:rFonts w:ascii="Arial" w:cs="Arial" w:eastAsia="Arial" w:hAnsi="Arial"/>
          <w:sz w:val="22"/>
          <w:szCs w:val="22"/>
          <w:color w:val="010000"/>
        </w:rPr>
      </w:pPr>
      <w:r>
        <w:rPr>
          <w:rFonts w:ascii="Arial" w:cs="Arial" w:eastAsia="Arial" w:hAnsi="Arial"/>
          <w:sz w:val="22"/>
          <w:szCs w:val="22"/>
          <w:color w:val="auto"/>
        </w:rPr>
        <w:t>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5" w:lineRule="exact"/>
        <w:rPr>
          <w:rFonts w:ascii="Arial" w:cs="Arial" w:eastAsia="Arial" w:hAnsi="Arial"/>
          <w:sz w:val="22"/>
          <w:szCs w:val="22"/>
          <w:color w:val="010000"/>
        </w:rPr>
      </w:pPr>
    </w:p>
    <w:p>
      <w:pPr>
        <w:ind w:right="320" w:firstLine="1305"/>
        <w:spacing w:after="0" w:line="276" w:lineRule="auto"/>
        <w:tabs>
          <w:tab w:leader="none" w:pos="1716" w:val="left"/>
        </w:tabs>
        <w:numPr>
          <w:ilvl w:val="1"/>
          <w:numId w:val="210"/>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60" w:lineRule="exact"/>
        <w:rPr>
          <w:rFonts w:ascii="Arial" w:cs="Arial" w:eastAsia="Arial" w:hAnsi="Arial"/>
          <w:sz w:val="22"/>
          <w:szCs w:val="22"/>
          <w:color w:val="010000"/>
        </w:rPr>
      </w:pPr>
    </w:p>
    <w:p>
      <w:pPr>
        <w:ind w:left="1740" w:hanging="435"/>
        <w:spacing w:after="0"/>
        <w:tabs>
          <w:tab w:leader="none" w:pos="1740" w:val="left"/>
        </w:tabs>
        <w:numPr>
          <w:ilvl w:val="1"/>
          <w:numId w:val="210"/>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33" w:lineRule="exact"/>
        <w:rPr>
          <w:sz w:val="20"/>
          <w:szCs w:val="20"/>
          <w:color w:val="auto"/>
        </w:rPr>
      </w:pPr>
    </w:p>
    <w:p>
      <w:pPr>
        <w:ind w:left="1300" w:right="140"/>
        <w:spacing w:after="0" w:line="250"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2016 Stock Incentive Plan and a Restricted Stock Award Agreement entered into between the registered owner and Dine Brands Global, Inc. Copies of such Plan and Agreement are on file in the offices of Dine Brands Global, Inc.”;</w:t>
      </w:r>
    </w:p>
    <w:p>
      <w:pPr>
        <w:spacing w:after="0" w:line="188" w:lineRule="exact"/>
        <w:rPr>
          <w:sz w:val="20"/>
          <w:szCs w:val="20"/>
          <w:color w:val="auto"/>
        </w:rPr>
      </w:pPr>
    </w:p>
    <w:p>
      <w:pPr>
        <w:ind w:left="1720" w:hanging="415"/>
        <w:spacing w:after="0"/>
        <w:tabs>
          <w:tab w:leader="none" w:pos="1720" w:val="left"/>
        </w:tabs>
        <w:numPr>
          <w:ilvl w:val="0"/>
          <w:numId w:val="211"/>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267" w:lineRule="exact"/>
        <w:rPr>
          <w:rFonts w:ascii="Arial" w:cs="Arial" w:eastAsia="Arial" w:hAnsi="Arial"/>
          <w:sz w:val="19"/>
          <w:szCs w:val="19"/>
          <w:color w:val="010000"/>
        </w:rPr>
      </w:pPr>
    </w:p>
    <w:p>
      <w:pPr>
        <w:ind w:left="1700" w:hanging="395"/>
        <w:spacing w:after="0"/>
        <w:tabs>
          <w:tab w:leader="none" w:pos="1700" w:val="left"/>
        </w:tabs>
        <w:numPr>
          <w:ilvl w:val="0"/>
          <w:numId w:val="211"/>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88" w:lineRule="exact"/>
        <w:rPr>
          <w:sz w:val="20"/>
          <w:szCs w:val="20"/>
          <w:color w:val="auto"/>
        </w:rPr>
      </w:pPr>
    </w:p>
    <w:p>
      <w:pPr>
        <w:ind w:left="1000" w:hanging="344"/>
        <w:spacing w:after="0"/>
        <w:tabs>
          <w:tab w:leader="none" w:pos="1000" w:val="left"/>
        </w:tabs>
        <w:numPr>
          <w:ilvl w:val="0"/>
          <w:numId w:val="212"/>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ectPr>
          <w:pgSz w:w="11900" w:h="16838" w:orient="portrait"/>
          <w:cols w:equalWidth="0" w:num="1">
            <w:col w:w="11420"/>
          </w:cols>
          <w:pgMar w:left="240" w:top="126" w:right="239" w:bottom="0" w:gutter="0" w:footer="0" w:header="0"/>
        </w:sectPr>
      </w:pPr>
    </w:p>
    <w:bookmarkStart w:id="156" w:name="page157"/>
    <w:bookmarkEnd w:id="156"/>
    <w:p>
      <w:pPr>
        <w:ind w:left="-8" w:right="80" w:firstLine="1305"/>
        <w:spacing w:after="0" w:line="260" w:lineRule="auto"/>
        <w:tabs>
          <w:tab w:leader="none" w:pos="1708" w:val="left"/>
        </w:tabs>
        <w:numPr>
          <w:ilvl w:val="2"/>
          <w:numId w:val="213"/>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Except as otherwise provided in this Section 3, the Restricted Shares will be forfeited if the Participant does not remain continuously in the employment of the Company through the specified lapsing date set forth in Section 2 above.</w:t>
      </w:r>
    </w:p>
    <w:p>
      <w:pPr>
        <w:spacing w:after="0" w:line="177" w:lineRule="exact"/>
        <w:rPr>
          <w:rFonts w:ascii="Arial" w:cs="Arial" w:eastAsia="Arial" w:hAnsi="Arial"/>
          <w:sz w:val="22"/>
          <w:szCs w:val="22"/>
          <w:color w:val="010000"/>
        </w:rPr>
      </w:pPr>
    </w:p>
    <w:p>
      <w:pPr>
        <w:ind w:left="-8" w:right="280" w:firstLine="1305"/>
        <w:spacing w:after="0" w:line="358" w:lineRule="auto"/>
        <w:tabs>
          <w:tab w:leader="none" w:pos="1720" w:val="left"/>
        </w:tabs>
        <w:numPr>
          <w:ilvl w:val="2"/>
          <w:numId w:val="213"/>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90" w:lineRule="exact"/>
        <w:rPr>
          <w:rFonts w:ascii="Arial" w:cs="Arial" w:eastAsia="Arial" w:hAnsi="Arial"/>
          <w:sz w:val="19"/>
          <w:szCs w:val="19"/>
          <w:color w:val="010000"/>
        </w:rPr>
      </w:pPr>
    </w:p>
    <w:p>
      <w:pPr>
        <w:ind w:left="-8" w:right="40" w:firstLine="1305"/>
        <w:spacing w:after="0" w:line="254" w:lineRule="auto"/>
        <w:tabs>
          <w:tab w:leader="none" w:pos="1708" w:val="left"/>
        </w:tabs>
        <w:numPr>
          <w:ilvl w:val="2"/>
          <w:numId w:val="213"/>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5" w:lineRule="exact"/>
        <w:rPr>
          <w:rFonts w:ascii="Arial" w:cs="Arial" w:eastAsia="Arial" w:hAnsi="Arial"/>
          <w:sz w:val="22"/>
          <w:szCs w:val="22"/>
          <w:color w:val="010000"/>
        </w:rPr>
      </w:pPr>
    </w:p>
    <w:p>
      <w:pPr>
        <w:ind w:left="-8" w:right="40" w:firstLine="656"/>
        <w:spacing w:after="0" w:line="292" w:lineRule="auto"/>
        <w:tabs>
          <w:tab w:leader="none" w:pos="982" w:val="left"/>
        </w:tabs>
        <w:numPr>
          <w:ilvl w:val="1"/>
          <w:numId w:val="214"/>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5" w:lineRule="exact"/>
        <w:rPr>
          <w:rFonts w:ascii="Arial" w:cs="Arial" w:eastAsia="Arial" w:hAnsi="Arial"/>
          <w:sz w:val="19"/>
          <w:szCs w:val="19"/>
          <w:color w:val="010000"/>
        </w:rPr>
      </w:pPr>
    </w:p>
    <w:p>
      <w:pPr>
        <w:ind w:left="-8" w:right="20" w:firstLine="656"/>
        <w:spacing w:after="0" w:line="290" w:lineRule="auto"/>
        <w:tabs>
          <w:tab w:leader="none" w:pos="982" w:val="left"/>
        </w:tabs>
        <w:numPr>
          <w:ilvl w:val="1"/>
          <w:numId w:val="214"/>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left="-8" w:firstLine="8"/>
        <w:spacing w:after="0" w:line="256" w:lineRule="auto"/>
        <w:tabs>
          <w:tab w:leader="none" w:pos="406"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left="-8" w:right="60" w:firstLine="656"/>
        <w:spacing w:after="0" w:line="251" w:lineRule="auto"/>
        <w:tabs>
          <w:tab w:leader="none" w:pos="982" w:val="left"/>
        </w:tabs>
        <w:numPr>
          <w:ilvl w:val="1"/>
          <w:numId w:val="215"/>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8" w:right="260" w:firstLine="656"/>
        <w:spacing w:after="0" w:line="301" w:lineRule="auto"/>
        <w:tabs>
          <w:tab w:leader="none" w:pos="982" w:val="left"/>
        </w:tabs>
        <w:numPr>
          <w:ilvl w:val="1"/>
          <w:numId w:val="215"/>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8" w:right="20" w:firstLine="656"/>
        <w:spacing w:after="0" w:line="286" w:lineRule="auto"/>
        <w:tabs>
          <w:tab w:leader="none" w:pos="982" w:val="left"/>
        </w:tabs>
        <w:numPr>
          <w:ilvl w:val="1"/>
          <w:numId w:val="215"/>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ectPr>
          <w:pgSz w:w="11900" w:h="16838" w:orient="portrait"/>
          <w:cols w:equalWidth="0" w:num="1">
            <w:col w:w="11412"/>
          </w:cols>
          <w:pgMar w:left="248" w:top="132" w:right="239" w:bottom="105" w:gutter="0" w:footer="0" w:header="0"/>
        </w:sectPr>
      </w:pPr>
    </w:p>
    <w:bookmarkStart w:id="157" w:name="page158"/>
    <w:bookmarkEnd w:id="157"/>
    <w:p>
      <w:pPr>
        <w:ind w:right="340" w:firstLine="656"/>
        <w:spacing w:after="0" w:line="276" w:lineRule="auto"/>
        <w:tabs>
          <w:tab w:leader="none" w:pos="990" w:val="left"/>
        </w:tabs>
        <w:numPr>
          <w:ilvl w:val="1"/>
          <w:numId w:val="216"/>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20" w:firstLine="656"/>
        <w:spacing w:after="0" w:line="300" w:lineRule="auto"/>
        <w:tabs>
          <w:tab w:leader="none" w:pos="1098" w:val="left"/>
        </w:tabs>
        <w:numPr>
          <w:ilvl w:val="1"/>
          <w:numId w:val="216"/>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right="200" w:firstLine="656"/>
        <w:spacing w:after="0" w:line="307" w:lineRule="auto"/>
        <w:tabs>
          <w:tab w:leader="none" w:pos="1090" w:val="left"/>
        </w:tabs>
        <w:numPr>
          <w:ilvl w:val="1"/>
          <w:numId w:val="216"/>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Board may amend the Plan as it shall deem advisable, subject to any requirement of stockholder approval required by applicable law, rule or regulation, including Section 162(m) of the Code and any rule of the New York Stock Exchange, or any other stock exchange on which shares of Common Stock are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may impair the rights of the Participant without the consent of the Participant.</w:t>
      </w:r>
    </w:p>
    <w:p>
      <w:pPr>
        <w:spacing w:after="0" w:line="138" w:lineRule="exact"/>
        <w:rPr>
          <w:rFonts w:ascii="Arial" w:cs="Arial" w:eastAsia="Arial" w:hAnsi="Arial"/>
          <w:sz w:val="19"/>
          <w:szCs w:val="19"/>
          <w:color w:val="010000"/>
        </w:rPr>
      </w:pPr>
    </w:p>
    <w:p>
      <w:pPr>
        <w:ind w:right="220" w:firstLine="656"/>
        <w:spacing w:after="0" w:line="260" w:lineRule="auto"/>
        <w:tabs>
          <w:tab w:leader="none" w:pos="1098" w:val="left"/>
        </w:tabs>
        <w:numPr>
          <w:ilvl w:val="1"/>
          <w:numId w:val="216"/>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20" w:firstLine="656"/>
        <w:spacing w:after="0" w:line="276" w:lineRule="auto"/>
        <w:tabs>
          <w:tab w:leader="none" w:pos="1098" w:val="left"/>
        </w:tabs>
        <w:numPr>
          <w:ilvl w:val="1"/>
          <w:numId w:val="21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1"/>
          <w:numId w:val="216"/>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1"/>
          <w:numId w:val="216"/>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20" w:firstLine="1305"/>
        <w:spacing w:after="0" w:line="264" w:lineRule="auto"/>
        <w:tabs>
          <w:tab w:leader="none" w:pos="1716" w:val="left"/>
        </w:tabs>
        <w:numPr>
          <w:ilvl w:val="2"/>
          <w:numId w:val="216"/>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5" w:lineRule="exact"/>
        <w:rPr>
          <w:rFonts w:ascii="Arial" w:cs="Arial" w:eastAsia="Arial" w:hAnsi="Arial"/>
          <w:sz w:val="21"/>
          <w:szCs w:val="21"/>
          <w:color w:val="010000"/>
        </w:rPr>
      </w:pPr>
    </w:p>
    <w:p>
      <w:pPr>
        <w:ind w:right="220" w:firstLine="1305"/>
        <w:spacing w:after="0" w:line="254" w:lineRule="auto"/>
        <w:tabs>
          <w:tab w:leader="none" w:pos="1728" w:val="left"/>
        </w:tabs>
        <w:numPr>
          <w:ilvl w:val="2"/>
          <w:numId w:val="216"/>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216"/>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217"/>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9"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420"/>
          </w:cols>
          <w:pgMar w:left="240" w:top="131" w:right="239" w:bottom="0" w:gutter="0" w:footer="0" w:header="0"/>
        </w:sectPr>
      </w:pPr>
    </w:p>
    <w:bookmarkStart w:id="158" w:name="page159"/>
    <w:bookmarkEnd w:id="158"/>
    <w:p>
      <w:pPr>
        <w:ind w:left="2700"/>
        <w:spacing w:after="0"/>
        <w:rPr>
          <w:sz w:val="20"/>
          <w:szCs w:val="20"/>
          <w:color w:val="auto"/>
        </w:rPr>
      </w:pPr>
      <w:r>
        <w:rPr>
          <w:rFonts w:ascii="Arial" w:cs="Arial" w:eastAsia="Arial" w:hAnsi="Arial"/>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9019"/>
          </w:cols>
          <w:pgMar w:left="1440" w:top="207"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10.25</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SAR Agreement – Employees</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2016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APPRECIATION RIGHTS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STOCK APPRECIATION RIGHTS AGREEMENT </w:t>
      </w:r>
      <w:r>
        <w:rPr>
          <w:rFonts w:ascii="Arial" w:cs="Arial" w:eastAsia="Arial" w:hAnsi="Arial"/>
          <w:sz w:val="21"/>
          <w:szCs w:val="21"/>
          <w:color w:val="auto"/>
        </w:rPr>
        <w:t>(the “Agreement”) is entered into as of ___________ (the</w:t>
      </w:r>
    </w:p>
    <w:p>
      <w:pPr>
        <w:spacing w:after="0" w:line="39"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 xml:space="preserve">“Date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Pursuant to the Dine Brands Global, Inc. 2016 Stock Incentive Plan (the “Plan”), the Compensation Committee of the Board of Directors of the Company (the “Committee”), as the administrator of the Plan, has determined that the Participant is to be granted a stock appreciation right (the “SAR”) with respect to shares of the Company’s common stock, par value $0.01 per share (the “Common Stock”), on the terms and conditions set forth herein, and hereby grants such SAR.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jc w:val="both"/>
        <w:ind w:right="40" w:firstLine="656"/>
        <w:spacing w:after="0" w:line="250" w:lineRule="auto"/>
        <w:tabs>
          <w:tab w:leader="none" w:pos="1459" w:val="left"/>
        </w:tabs>
        <w:numPr>
          <w:ilvl w:val="0"/>
          <w:numId w:val="218"/>
        </w:numPr>
        <w:rPr>
          <w:rFonts w:ascii="Arial" w:cs="Arial" w:eastAsia="Arial" w:hAnsi="Arial"/>
          <w:sz w:val="22"/>
          <w:szCs w:val="22"/>
          <w:color w:val="010000"/>
        </w:rPr>
      </w:pPr>
      <w:r>
        <w:rPr>
          <w:rFonts w:ascii="Arial" w:cs="Arial" w:eastAsia="Arial" w:hAnsi="Arial"/>
          <w:sz w:val="22"/>
          <w:szCs w:val="22"/>
          <w:u w:val="single" w:color="auto"/>
          <w:color w:val="auto"/>
        </w:rPr>
        <w:t>NUMBER OF SHARES SUBJECT TO SAR AND BASE PRICE</w:t>
      </w:r>
      <w:r>
        <w:rPr>
          <w:rFonts w:ascii="Arial" w:cs="Arial" w:eastAsia="Arial" w:hAnsi="Arial"/>
          <w:sz w:val="22"/>
          <w:szCs w:val="22"/>
          <w:color w:val="auto"/>
        </w:rPr>
        <w:t>. Pursuant to the terms of the Plan, the Company hereby grants to the Participant as of the Date of Grant an SAR with respect to _____ shares of Common Stock (“SAR Shares”), at a Base Price of $_________ per share (the “Base Price”), which is the Fair Market Value of a share of Common Stock as of the Date of Grant.</w:t>
      </w:r>
    </w:p>
    <w:p>
      <w:pPr>
        <w:spacing w:after="0" w:line="188" w:lineRule="exact"/>
        <w:rPr>
          <w:rFonts w:ascii="Arial" w:cs="Arial" w:eastAsia="Arial" w:hAnsi="Arial"/>
          <w:sz w:val="22"/>
          <w:szCs w:val="22"/>
          <w:color w:val="010000"/>
        </w:rPr>
      </w:pPr>
    </w:p>
    <w:p>
      <w:pPr>
        <w:ind w:left="1000" w:hanging="344"/>
        <w:spacing w:after="0"/>
        <w:tabs>
          <w:tab w:leader="none" w:pos="1000" w:val="left"/>
        </w:tabs>
        <w:numPr>
          <w:ilvl w:val="0"/>
          <w:numId w:val="218"/>
        </w:numPr>
        <w:rPr>
          <w:rFonts w:ascii="Arial" w:cs="Arial" w:eastAsia="Arial" w:hAnsi="Arial"/>
          <w:sz w:val="22"/>
          <w:szCs w:val="22"/>
          <w:color w:val="010000"/>
        </w:rPr>
      </w:pPr>
      <w:r>
        <w:rPr>
          <w:rFonts w:ascii="Arial" w:cs="Arial" w:eastAsia="Arial" w:hAnsi="Arial"/>
          <w:sz w:val="22"/>
          <w:szCs w:val="22"/>
          <w:u w:val="single" w:color="auto"/>
          <w:color w:val="auto"/>
        </w:rPr>
        <w:t>PERIOD OF SAR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180" w:firstLine="1305"/>
        <w:spacing w:after="0" w:line="254" w:lineRule="auto"/>
        <w:tabs>
          <w:tab w:leader="none" w:pos="1716" w:val="left"/>
        </w:tabs>
        <w:numPr>
          <w:ilvl w:val="1"/>
          <w:numId w:val="218"/>
        </w:numPr>
        <w:rPr>
          <w:rFonts w:ascii="Arial" w:cs="Arial" w:eastAsia="Arial" w:hAnsi="Arial"/>
          <w:sz w:val="22"/>
          <w:szCs w:val="22"/>
          <w:color w:val="010000"/>
        </w:rPr>
      </w:pPr>
      <w:r>
        <w:rPr>
          <w:rFonts w:ascii="Arial" w:cs="Arial" w:eastAsia="Arial" w:hAnsi="Arial"/>
          <w:sz w:val="22"/>
          <w:szCs w:val="22"/>
          <w:u w:val="single" w:color="auto"/>
          <w:color w:val="auto"/>
        </w:rPr>
        <w:t>Period of SAR</w:t>
      </w:r>
      <w:r>
        <w:rPr>
          <w:rFonts w:ascii="Arial" w:cs="Arial" w:eastAsia="Arial" w:hAnsi="Arial"/>
          <w:sz w:val="22"/>
          <w:szCs w:val="22"/>
          <w:color w:val="auto"/>
        </w:rPr>
        <w:t>. Unless the SAR is previously terminated pursuant to this Agreement, the term of the SAR and this Agreement shall commence on the Date of Grant and shall terminate upon the tenth anniversary of the Date of Grant. Upon termination of the SAR, all rights of the Participant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60" w:firstLine="1305"/>
        <w:spacing w:after="0" w:line="250" w:lineRule="auto"/>
        <w:tabs>
          <w:tab w:leader="none" w:pos="1728" w:val="left"/>
        </w:tabs>
        <w:numPr>
          <w:ilvl w:val="1"/>
          <w:numId w:val="218"/>
        </w:numPr>
        <w:rPr>
          <w:rFonts w:ascii="Arial" w:cs="Arial" w:eastAsia="Arial" w:hAnsi="Arial"/>
          <w:sz w:val="22"/>
          <w:szCs w:val="22"/>
          <w:color w:val="010000"/>
        </w:rPr>
      </w:pPr>
      <w:r>
        <w:rPr>
          <w:rFonts w:ascii="Arial" w:cs="Arial" w:eastAsia="Arial" w:hAnsi="Arial"/>
          <w:sz w:val="22"/>
          <w:szCs w:val="22"/>
          <w:u w:val="single" w:color="auto"/>
          <w:color w:val="auto"/>
        </w:rPr>
        <w:t>Conditions of Exercise</w:t>
      </w:r>
      <w:r>
        <w:rPr>
          <w:rFonts w:ascii="Arial" w:cs="Arial" w:eastAsia="Arial" w:hAnsi="Arial"/>
          <w:sz w:val="22"/>
          <w:szCs w:val="22"/>
          <w:color w:val="auto"/>
        </w:rPr>
        <w:t>. Subject to the Participant’s continued employment with or service to the Company, this SAR shall vest and become exercisable as to one-third (1/3) of the shares subject to the SAR on each of the first, second and third anniversaries of the Date of Grant. Notwithstanding anything in this Agreement to the contrary, the SAR may be exercised only with respect to whole shares of Common Stock, and in no case may the SAR be exercised with respect to a fraction of a share of Common Stock. The right of the Participant to exercise the SAR that has become exercisable as herein provided may only be exercised prior to the termination of the SAR.</w:t>
      </w:r>
    </w:p>
    <w:p>
      <w:pPr>
        <w:spacing w:after="0" w:line="188" w:lineRule="exact"/>
        <w:rPr>
          <w:rFonts w:ascii="Arial" w:cs="Arial" w:eastAsia="Arial" w:hAnsi="Arial"/>
          <w:sz w:val="22"/>
          <w:szCs w:val="22"/>
          <w:color w:val="010000"/>
        </w:rPr>
      </w:pPr>
    </w:p>
    <w:p>
      <w:pPr>
        <w:ind w:right="120" w:firstLine="1305"/>
        <w:spacing w:after="0" w:line="260" w:lineRule="auto"/>
        <w:tabs>
          <w:tab w:leader="none" w:pos="1716" w:val="left"/>
        </w:tabs>
        <w:numPr>
          <w:ilvl w:val="1"/>
          <w:numId w:val="218"/>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SAR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218"/>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60" w:firstLine="1305"/>
        <w:spacing w:after="0" w:line="276" w:lineRule="auto"/>
        <w:tabs>
          <w:tab w:leader="none" w:pos="1716" w:val="left"/>
        </w:tabs>
        <w:numPr>
          <w:ilvl w:val="1"/>
          <w:numId w:val="218"/>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otherwise provided in this Section 3, the SAR may not be exercised after the Participant has ceased to be employed or engaged by the Company.</w:t>
      </w:r>
    </w:p>
    <w:p>
      <w:pPr>
        <w:spacing w:after="0" w:line="160" w:lineRule="exact"/>
        <w:rPr>
          <w:rFonts w:ascii="Arial" w:cs="Arial" w:eastAsia="Arial" w:hAnsi="Arial"/>
          <w:sz w:val="22"/>
          <w:szCs w:val="22"/>
          <w:color w:val="010000"/>
        </w:rPr>
      </w:pPr>
    </w:p>
    <w:p>
      <w:pPr>
        <w:ind w:right="40" w:firstLine="1305"/>
        <w:spacing w:after="0" w:line="254" w:lineRule="auto"/>
        <w:tabs>
          <w:tab w:leader="none" w:pos="1728" w:val="left"/>
        </w:tabs>
        <w:numPr>
          <w:ilvl w:val="1"/>
          <w:numId w:val="21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If the Participant’s employment with or service to the Company terminates by reason of his or her death, the SAR shall become fully vested and exercisable and thereafter may be exercised by the legal representative of the estate or by the legatee of the Participant under the will of the Participant, for a period of twelve (12) months from the date of such death or until the expiration of the term of the SAR, whichever period is shorter.</w:t>
      </w:r>
    </w:p>
    <w:p>
      <w:pPr>
        <w:spacing w:after="0" w:line="185" w:lineRule="exact"/>
        <w:rPr>
          <w:rFonts w:ascii="Arial" w:cs="Arial" w:eastAsia="Arial" w:hAnsi="Arial"/>
          <w:sz w:val="22"/>
          <w:szCs w:val="22"/>
          <w:color w:val="010000"/>
        </w:rPr>
      </w:pPr>
    </w:p>
    <w:p>
      <w:pPr>
        <w:ind w:right="100" w:firstLine="1305"/>
        <w:spacing w:after="0" w:line="250" w:lineRule="auto"/>
        <w:tabs>
          <w:tab w:leader="none" w:pos="1716" w:val="left"/>
        </w:tabs>
        <w:numPr>
          <w:ilvl w:val="1"/>
          <w:numId w:val="218"/>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If the Participant’s employment with or service to the Company terminates by reason of Disability, the SAR shall become fully vested and exercisable and thereafter may be exercised for a period of twelve (12) months from the date of such termination of employment or service or until the expiration of the term of the SAR, whichever period is shorter,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Participant dies within such twelve-month period and prior to the expiration of the term of the SAR, the SAR shall thereafter be exercisable for a period of twelve (12) months from the time of death or until the expiration of the term of the SAR, whichever period is shorter.</w:t>
      </w:r>
    </w:p>
    <w:p>
      <w:pPr>
        <w:sectPr>
          <w:pgSz w:w="11900" w:h="16838" w:orient="portrait"/>
          <w:cols w:equalWidth="0" w:num="1">
            <w:col w:w="11420"/>
          </w:cols>
          <w:pgMar w:left="240" w:top="126" w:right="239" w:bottom="0" w:gutter="0" w:footer="0" w:header="0"/>
        </w:sectPr>
      </w:pPr>
    </w:p>
    <w:bookmarkStart w:id="160" w:name="page161"/>
    <w:bookmarkEnd w:id="160"/>
    <w:p>
      <w:pPr>
        <w:ind w:right="360" w:firstLine="1305"/>
        <w:spacing w:after="0" w:line="320" w:lineRule="auto"/>
        <w:tabs>
          <w:tab w:leader="none" w:pos="1728" w:val="left"/>
        </w:tabs>
        <w:numPr>
          <w:ilvl w:val="1"/>
          <w:numId w:val="219"/>
        </w:numPr>
        <w:rPr>
          <w:rFonts w:ascii="Arial" w:cs="Arial" w:eastAsia="Arial" w:hAnsi="Arial"/>
          <w:sz w:val="19"/>
          <w:szCs w:val="19"/>
          <w:color w:val="010000"/>
        </w:rPr>
      </w:pPr>
      <w:r>
        <w:rPr>
          <w:rFonts w:ascii="Arial" w:cs="Arial" w:eastAsia="Arial" w:hAnsi="Arial"/>
          <w:sz w:val="19"/>
          <w:szCs w:val="19"/>
          <w:u w:val="single" w:color="auto"/>
          <w:color w:val="auto"/>
        </w:rPr>
        <w:t>Retirement</w:t>
      </w:r>
      <w:r>
        <w:rPr>
          <w:rFonts w:ascii="Arial" w:cs="Arial" w:eastAsia="Arial" w:hAnsi="Arial"/>
          <w:sz w:val="19"/>
          <w:szCs w:val="19"/>
          <w:color w:val="auto"/>
        </w:rPr>
        <w:t>. If the Participant’s employment with or service to the Company terminates by reason of Retirement, the SAR may thereafter be exercised, to the extent it was exercisable at the time of such termination, for a period of twelve (12) months from the date of Retirement or until the expiration of the term of the SAR, whichever period is shorter.</w:t>
      </w:r>
    </w:p>
    <w:p>
      <w:pPr>
        <w:spacing w:after="0" w:line="125" w:lineRule="exact"/>
        <w:rPr>
          <w:rFonts w:ascii="Arial" w:cs="Arial" w:eastAsia="Arial" w:hAnsi="Arial"/>
          <w:sz w:val="19"/>
          <w:szCs w:val="19"/>
          <w:color w:val="010000"/>
        </w:rPr>
      </w:pPr>
    </w:p>
    <w:p>
      <w:pPr>
        <w:ind w:right="220" w:firstLine="1305"/>
        <w:spacing w:after="0" w:line="254" w:lineRule="auto"/>
        <w:tabs>
          <w:tab w:leader="none" w:pos="1716" w:val="left"/>
        </w:tabs>
        <w:numPr>
          <w:ilvl w:val="1"/>
          <w:numId w:val="219"/>
        </w:numPr>
        <w:rPr>
          <w:rFonts w:ascii="Arial" w:cs="Arial" w:eastAsia="Arial" w:hAnsi="Arial"/>
          <w:sz w:val="22"/>
          <w:szCs w:val="22"/>
          <w:color w:val="010000"/>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an Participant’s employment with or service to the Company terminates for any reason other than death, Disability or Retirement, the SAR may be exercised, to the extent it was exercisable at the time of such termination, until the earlier to occur of (i) three (3) months from the date of such termination or (ii) the expiration of the term of the SAR, whichever period is shorter.</w:t>
      </w:r>
    </w:p>
    <w:p>
      <w:pPr>
        <w:spacing w:after="0" w:line="185" w:lineRule="exact"/>
        <w:rPr>
          <w:rFonts w:ascii="Arial" w:cs="Arial" w:eastAsia="Arial" w:hAnsi="Arial"/>
          <w:sz w:val="22"/>
          <w:szCs w:val="22"/>
          <w:color w:val="010000"/>
        </w:rPr>
      </w:pPr>
    </w:p>
    <w:p>
      <w:pPr>
        <w:ind w:right="60" w:firstLine="1305"/>
        <w:spacing w:after="0" w:line="262" w:lineRule="auto"/>
        <w:tabs>
          <w:tab w:leader="none" w:pos="1692" w:val="left"/>
        </w:tabs>
        <w:numPr>
          <w:ilvl w:val="1"/>
          <w:numId w:val="219"/>
        </w:numPr>
        <w:rPr>
          <w:rFonts w:ascii="Arial" w:cs="Arial" w:eastAsia="Arial" w:hAnsi="Arial"/>
          <w:sz w:val="21"/>
          <w:szCs w:val="21"/>
          <w:color w:val="010000"/>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Upon the termination of the Participant’s employment to or service with the Company within a period of twenty-four (24) months following a Change in Control (i) by the Company other than for Cause, (ii) as a result of his or her Disability or (iii) by the Participant for Good Reason (as such terms are defined herein below or in the Plan), in lieu of shares of Common Stock issuable upon exercise of an outstanding SAR, whether or not then exercisable, the Company shall pay the Participant a lump sum amount (less any applicable taxes), in cash, equal to the product of (i) the excess of the Fair Market Value of the SAR Shares on such date of termination, over the Base Price, and (ii) the number of the then unexercised SAR Shares. The SAR shall be canceled upon the making of such payment.</w:t>
      </w:r>
    </w:p>
    <w:p>
      <w:pPr>
        <w:spacing w:after="0" w:line="180" w:lineRule="exact"/>
        <w:rPr>
          <w:rFonts w:ascii="Arial" w:cs="Arial" w:eastAsia="Arial" w:hAnsi="Arial"/>
          <w:sz w:val="21"/>
          <w:szCs w:val="21"/>
          <w:color w:val="010000"/>
        </w:rPr>
      </w:pPr>
    </w:p>
    <w:p>
      <w:pPr>
        <w:ind w:right="80" w:firstLine="1305"/>
        <w:spacing w:after="0" w:line="276" w:lineRule="auto"/>
        <w:tabs>
          <w:tab w:leader="none" w:pos="1728" w:val="left"/>
        </w:tabs>
        <w:numPr>
          <w:ilvl w:val="1"/>
          <w:numId w:val="219"/>
        </w:numPr>
        <w:rPr>
          <w:rFonts w:ascii="Arial" w:cs="Arial" w:eastAsia="Arial" w:hAnsi="Arial"/>
          <w:sz w:val="22"/>
          <w:szCs w:val="22"/>
          <w:color w:val="010000"/>
        </w:rPr>
      </w:pPr>
      <w:r>
        <w:rPr>
          <w:rFonts w:ascii="Arial" w:cs="Arial" w:eastAsia="Arial" w:hAnsi="Arial"/>
          <w:sz w:val="22"/>
          <w:szCs w:val="22"/>
          <w:u w:val="single" w:color="auto"/>
          <w:color w:val="auto"/>
        </w:rPr>
        <w:t>Termination of SAR</w:t>
      </w:r>
      <w:r>
        <w:rPr>
          <w:rFonts w:ascii="Arial" w:cs="Arial" w:eastAsia="Arial" w:hAnsi="Arial"/>
          <w:sz w:val="22"/>
          <w:szCs w:val="22"/>
          <w:color w:val="auto"/>
        </w:rPr>
        <w:t>. Notwithstanding anything in this Section 3 to the contrary, the SAR may not be exercised after the termination of the SAR.</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0"/>
          <w:numId w:val="220"/>
        </w:numPr>
        <w:rPr>
          <w:rFonts w:ascii="Arial" w:cs="Arial" w:eastAsia="Arial" w:hAnsi="Arial"/>
          <w:sz w:val="22"/>
          <w:szCs w:val="22"/>
          <w:color w:val="010000"/>
        </w:rPr>
      </w:pPr>
      <w:r>
        <w:rPr>
          <w:rFonts w:ascii="Arial" w:cs="Arial" w:eastAsia="Arial" w:hAnsi="Arial"/>
          <w:sz w:val="22"/>
          <w:szCs w:val="22"/>
          <w:u w:val="single" w:color="auto"/>
          <w:color w:val="auto"/>
        </w:rPr>
        <w:t>EXERCISE OF SAR</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firstLine="1305"/>
        <w:spacing w:after="0" w:line="260" w:lineRule="auto"/>
        <w:tabs>
          <w:tab w:leader="none" w:pos="1716" w:val="left"/>
        </w:tabs>
        <w:numPr>
          <w:ilvl w:val="1"/>
          <w:numId w:val="220"/>
        </w:numPr>
        <w:rPr>
          <w:rFonts w:ascii="Arial" w:cs="Arial" w:eastAsia="Arial" w:hAnsi="Arial"/>
          <w:sz w:val="22"/>
          <w:szCs w:val="22"/>
          <w:color w:val="010000"/>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This SAR may be exercised by (i) giving written notice of exercise to the Company, specifying the number of whole SAR Shares with respect to which the SAR is being exercised and (ii) executing such documents as the Company may reasonably request.</w:t>
      </w:r>
    </w:p>
    <w:p>
      <w:pPr>
        <w:spacing w:after="0" w:line="177" w:lineRule="exact"/>
        <w:rPr>
          <w:rFonts w:ascii="Arial" w:cs="Arial" w:eastAsia="Arial" w:hAnsi="Arial"/>
          <w:sz w:val="22"/>
          <w:szCs w:val="22"/>
          <w:color w:val="010000"/>
        </w:rPr>
      </w:pPr>
    </w:p>
    <w:p>
      <w:pPr>
        <w:ind w:right="60" w:firstLine="1305"/>
        <w:spacing w:after="0" w:line="264" w:lineRule="auto"/>
        <w:tabs>
          <w:tab w:leader="none" w:pos="1728" w:val="left"/>
        </w:tabs>
        <w:numPr>
          <w:ilvl w:val="1"/>
          <w:numId w:val="220"/>
        </w:numPr>
        <w:rPr>
          <w:rFonts w:ascii="Arial" w:cs="Arial" w:eastAsia="Arial" w:hAnsi="Arial"/>
          <w:sz w:val="21"/>
          <w:szCs w:val="21"/>
          <w:color w:val="010000"/>
        </w:rPr>
      </w:pPr>
      <w:r>
        <w:rPr>
          <w:rFonts w:ascii="Arial" w:cs="Arial" w:eastAsia="Arial" w:hAnsi="Arial"/>
          <w:sz w:val="21"/>
          <w:szCs w:val="21"/>
          <w:u w:val="single" w:color="auto"/>
          <w:color w:val="auto"/>
        </w:rPr>
        <w:t>Delivery of SAR Shares</w:t>
      </w:r>
      <w:r>
        <w:rPr>
          <w:rFonts w:ascii="Arial" w:cs="Arial" w:eastAsia="Arial" w:hAnsi="Arial"/>
          <w:sz w:val="21"/>
          <w:szCs w:val="21"/>
          <w:color w:val="auto"/>
        </w:rPr>
        <w:t>. Upon exercise of the SAR pursuant to paragraph (a) of this Section 4, and subject to the requirements set forth in Section 5 and Section 12, the Company shall issue or cause to be issued, and delivered as promptly as possible to the Participant, certificates representing a number of shares of Common Stock having a Fair Market Value, determined as of the date of exercise, equal to the product of (i) the excess of the Fair Market Value of a share of Common Stock on the date of exercise over the Base Price and (ii) the number of SAR Shares with respect to which the SAR was exercised. Such certificates shall be registered in the name of the Participant.</w:t>
      </w:r>
    </w:p>
    <w:p>
      <w:pPr>
        <w:spacing w:after="0" w:line="175" w:lineRule="exact"/>
        <w:rPr>
          <w:rFonts w:ascii="Arial" w:cs="Arial" w:eastAsia="Arial" w:hAnsi="Arial"/>
          <w:sz w:val="21"/>
          <w:szCs w:val="21"/>
          <w:color w:val="010000"/>
        </w:rPr>
      </w:pPr>
    </w:p>
    <w:p>
      <w:pPr>
        <w:ind w:right="120" w:firstLine="656"/>
        <w:spacing w:after="0" w:line="261" w:lineRule="auto"/>
        <w:tabs>
          <w:tab w:leader="none" w:pos="990" w:val="left"/>
        </w:tabs>
        <w:numPr>
          <w:ilvl w:val="0"/>
          <w:numId w:val="220"/>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SAR, Participant represents and agrees for himself or herself and his or her transferees by will or the laws of descent and distribution or pursuant to a qualified domestic relations order that, unless a registration statement under the Securities Act of 1933, as amended, is in effect as to the SAR Shares acquired upon any exercise of this SAR, (i) any and all SAR Shares so acquired shall be acquired for his or her personal account and not with a view to or for sale in connection with any distribution, and (ii) each notice of the exercise of any portion of this SAR shall be accompanied by a representation and warranty in writing, signed by the person entitled to exercise the same, that the SAR Shares are being so acquired in good faith for his or her personal account and not with a view to or for sale in connection with any distribution.</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If at any time the Company determines that the listing, registration or qualification of the shares of Common Stock subject to the SAR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Participant is prohibited except in compliance with the Securities Act of 1933, as amended, and the rules and regulations thereunder.</w:t>
      </w:r>
    </w:p>
    <w:p>
      <w:pPr>
        <w:spacing w:after="0" w:line="184" w:lineRule="exact"/>
        <w:rPr>
          <w:sz w:val="20"/>
          <w:szCs w:val="20"/>
          <w:color w:val="auto"/>
        </w:rPr>
      </w:pPr>
    </w:p>
    <w:p>
      <w:pPr>
        <w:ind w:right="100" w:firstLine="656"/>
        <w:spacing w:after="0" w:line="264" w:lineRule="auto"/>
        <w:tabs>
          <w:tab w:leader="none" w:pos="990" w:val="left"/>
        </w:tabs>
        <w:numPr>
          <w:ilvl w:val="0"/>
          <w:numId w:val="221"/>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SAR Shares and the Base Price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160" w:firstLine="656"/>
        <w:spacing w:after="0" w:line="294" w:lineRule="auto"/>
        <w:tabs>
          <w:tab w:leader="none" w:pos="990" w:val="left"/>
        </w:tabs>
        <w:numPr>
          <w:ilvl w:val="0"/>
          <w:numId w:val="221"/>
        </w:numPr>
        <w:rPr>
          <w:rFonts w:ascii="Arial" w:cs="Arial" w:eastAsia="Arial" w:hAnsi="Arial"/>
          <w:sz w:val="19"/>
          <w:szCs w:val="19"/>
          <w:color w:val="010000"/>
        </w:rPr>
      </w:pPr>
      <w:r>
        <w:rPr>
          <w:rFonts w:ascii="Arial" w:cs="Arial" w:eastAsia="Arial" w:hAnsi="Arial"/>
          <w:sz w:val="19"/>
          <w:szCs w:val="19"/>
          <w:u w:val="single" w:color="auto"/>
          <w:color w:val="auto"/>
        </w:rPr>
        <w:t>NON-TRANSFERABILITY OF SAR</w:t>
      </w:r>
      <w:r>
        <w:rPr>
          <w:rFonts w:ascii="Arial" w:cs="Arial" w:eastAsia="Arial" w:hAnsi="Arial"/>
          <w:sz w:val="19"/>
          <w:szCs w:val="19"/>
          <w:color w:val="auto"/>
        </w:rPr>
        <w:t>. The SAR and this Agreement shall not be transferable other than by will, the laws of descent and distribution, pursuant to beneficiary designation procedures approved by the Company. Notwithstanding the foregoing, the SAR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7, the SAR may be exercised or settled during the Participant’s lifetime only by the Participant or the Participant’s legal representative or similar person. Except as permitted by this Section 7, the SAR may not be sold, transferred, assigned, pledged, hypothecated, encumbered or otherwise disposed of (whether</w:t>
      </w:r>
    </w:p>
    <w:p>
      <w:pPr>
        <w:sectPr>
          <w:pgSz w:w="11900" w:h="16838" w:orient="portrait"/>
          <w:cols w:equalWidth="0" w:num="1">
            <w:col w:w="11420"/>
          </w:cols>
          <w:pgMar w:left="240" w:top="132" w:right="239" w:bottom="0" w:gutter="0" w:footer="0" w:header="0"/>
        </w:sectPr>
      </w:pPr>
    </w:p>
    <w:bookmarkStart w:id="161" w:name="page162"/>
    <w:bookmarkEnd w:id="161"/>
    <w:p>
      <w:pPr>
        <w:ind w:right="300"/>
        <w:spacing w:after="0" w:line="253" w:lineRule="auto"/>
        <w:rPr>
          <w:sz w:val="20"/>
          <w:szCs w:val="20"/>
          <w:color w:val="auto"/>
        </w:rPr>
      </w:pPr>
      <w:r>
        <w:rPr>
          <w:rFonts w:ascii="Arial" w:cs="Arial" w:eastAsia="Arial" w:hAnsi="Arial"/>
          <w:sz w:val="22"/>
          <w:szCs w:val="22"/>
          <w:color w:val="auto"/>
        </w:rPr>
        <w:t>by operation of law or otherwise) or be subject to execution, attachment or similar process. Upon any attempt to so sell, transfer, assign, pledge, hypothecate, encumber or otherwise dispose of the SAR, the SAR and all rights thereunder shall immediately become null and void.</w:t>
      </w:r>
    </w:p>
    <w:p>
      <w:pPr>
        <w:spacing w:after="0" w:line="186" w:lineRule="exact"/>
        <w:rPr>
          <w:sz w:val="20"/>
          <w:szCs w:val="20"/>
          <w:color w:val="auto"/>
        </w:rPr>
      </w:pPr>
    </w:p>
    <w:p>
      <w:pPr>
        <w:ind w:firstLine="656"/>
        <w:spacing w:after="0" w:line="287" w:lineRule="auto"/>
        <w:tabs>
          <w:tab w:leader="none" w:pos="990" w:val="left"/>
        </w:tabs>
        <w:numPr>
          <w:ilvl w:val="0"/>
          <w:numId w:val="222"/>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jc w:val="both"/>
        <w:ind w:right="60" w:firstLine="656"/>
        <w:spacing w:after="0" w:line="260" w:lineRule="auto"/>
        <w:tabs>
          <w:tab w:leader="none" w:pos="990" w:val="left"/>
        </w:tabs>
        <w:numPr>
          <w:ilvl w:val="0"/>
          <w:numId w:val="222"/>
        </w:numPr>
        <w:rPr>
          <w:rFonts w:ascii="Arial" w:cs="Arial" w:eastAsia="Arial" w:hAnsi="Arial"/>
          <w:sz w:val="22"/>
          <w:szCs w:val="22"/>
          <w:color w:val="010000"/>
        </w:rPr>
      </w:pPr>
      <w:r>
        <w:rPr>
          <w:rFonts w:ascii="Arial" w:cs="Arial" w:eastAsia="Arial" w:hAnsi="Arial"/>
          <w:sz w:val="22"/>
          <w:szCs w:val="22"/>
          <w:u w:val="single" w:color="auto"/>
          <w:color w:val="auto"/>
        </w:rPr>
        <w:t>RIGHTS OF PARTICIPANT IN COMMON STOCK</w:t>
      </w:r>
      <w:r>
        <w:rPr>
          <w:rFonts w:ascii="Arial" w:cs="Arial" w:eastAsia="Arial" w:hAnsi="Arial"/>
          <w:sz w:val="22"/>
          <w:szCs w:val="22"/>
          <w:color w:val="auto"/>
        </w:rPr>
        <w:t xml:space="preserve"> The Participant shall not be entitled to any rights as a stockholder of the Company with respect to any shares of Common Stock unless and until the Participant becomes a stockholder of record with respect to such shares of Common Stock.</w:t>
      </w:r>
    </w:p>
    <w:p>
      <w:pPr>
        <w:spacing w:after="0" w:line="177" w:lineRule="exact"/>
        <w:rPr>
          <w:rFonts w:ascii="Arial" w:cs="Arial" w:eastAsia="Arial" w:hAnsi="Arial"/>
          <w:sz w:val="22"/>
          <w:szCs w:val="22"/>
          <w:color w:val="010000"/>
        </w:rPr>
      </w:pPr>
    </w:p>
    <w:p>
      <w:pPr>
        <w:ind w:right="40" w:firstLine="656"/>
        <w:spacing w:after="0" w:line="266" w:lineRule="auto"/>
        <w:tabs>
          <w:tab w:leader="none" w:pos="1098" w:val="left"/>
        </w:tabs>
        <w:numPr>
          <w:ilvl w:val="0"/>
          <w:numId w:val="222"/>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174" w:lineRule="exact"/>
        <w:rPr>
          <w:rFonts w:ascii="Arial" w:cs="Arial" w:eastAsia="Arial" w:hAnsi="Arial"/>
          <w:sz w:val="21"/>
          <w:szCs w:val="21"/>
          <w:color w:val="010000"/>
        </w:rPr>
      </w:pPr>
    </w:p>
    <w:p>
      <w:pPr>
        <w:ind w:right="140" w:firstLine="656"/>
        <w:spacing w:after="0" w:line="301" w:lineRule="auto"/>
        <w:tabs>
          <w:tab w:leader="none" w:pos="1090" w:val="left"/>
        </w:tabs>
        <w:numPr>
          <w:ilvl w:val="0"/>
          <w:numId w:val="222"/>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6" w:lineRule="auto"/>
        <w:tabs>
          <w:tab w:leader="none" w:pos="1098" w:val="left"/>
        </w:tabs>
        <w:numPr>
          <w:ilvl w:val="0"/>
          <w:numId w:val="222"/>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SAR, payment by the Participant of any federal, state, local or other taxes which may be required to be withheld or paid in connection with the SAR.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(iv) a cash payment by a broker-dealer acceptable to the Company to whom the Participant has submitted an irrevocable notice of exercise or (v) any combination of (i), (ii) and (iii). Shares of Common Stock to be delivered or withheld may not have an aggregate Fair Market Value in excess of the amount determined by applying the minimum statutory withholding rate to the extent such excess withholding would result in adverse accounting treatment of the award, as determined by the Company. Any fraction of a share of Common Stock which would be required to satisfy such an obligation shall be disregarded and the remaining amount due shall be paid in cash by the Participant.</w:t>
      </w:r>
    </w:p>
    <w:p>
      <w:pPr>
        <w:spacing w:after="0" w:line="165" w:lineRule="exact"/>
        <w:rPr>
          <w:rFonts w:ascii="Arial" w:cs="Arial" w:eastAsia="Arial" w:hAnsi="Arial"/>
          <w:sz w:val="19"/>
          <w:szCs w:val="19"/>
          <w:color w:val="010000"/>
        </w:rPr>
      </w:pPr>
    </w:p>
    <w:p>
      <w:pPr>
        <w:ind w:firstLine="656"/>
        <w:spacing w:after="0" w:line="276" w:lineRule="auto"/>
        <w:tabs>
          <w:tab w:leader="none" w:pos="1098" w:val="left"/>
        </w:tabs>
        <w:numPr>
          <w:ilvl w:val="0"/>
          <w:numId w:val="222"/>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SAR and this Agreement are subject to all terms and conditions of the Plan.</w:t>
      </w:r>
    </w:p>
    <w:p>
      <w:pPr>
        <w:spacing w:after="0" w:line="160" w:lineRule="exact"/>
        <w:rPr>
          <w:rFonts w:ascii="Arial" w:cs="Arial" w:eastAsia="Arial" w:hAnsi="Arial"/>
          <w:sz w:val="22"/>
          <w:szCs w:val="22"/>
          <w:color w:val="010000"/>
        </w:rPr>
      </w:pPr>
    </w:p>
    <w:p>
      <w:pPr>
        <w:ind w:right="20" w:firstLine="656"/>
        <w:spacing w:after="0" w:line="266" w:lineRule="auto"/>
        <w:tabs>
          <w:tab w:leader="none" w:pos="1098" w:val="left"/>
        </w:tabs>
        <w:numPr>
          <w:ilvl w:val="0"/>
          <w:numId w:val="222"/>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SAR,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right="200" w:firstLine="656"/>
        <w:spacing w:after="0" w:line="320" w:lineRule="auto"/>
        <w:tabs>
          <w:tab w:leader="none" w:pos="1098" w:val="left"/>
        </w:tabs>
        <w:numPr>
          <w:ilvl w:val="0"/>
          <w:numId w:val="222"/>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 requirement of stockholder approval required by applicable law, rule or regulation, including Section 162(m) of the Internal Revenue Code of 1986, as amended (the “Code”), and any rule of the New York Stock Exchange, or any other stock exchange on</w:t>
      </w:r>
    </w:p>
    <w:p>
      <w:pPr>
        <w:sectPr>
          <w:pgSz w:w="11900" w:h="16838" w:orient="portrait"/>
          <w:cols w:equalWidth="0" w:num="1">
            <w:col w:w="11400"/>
          </w:cols>
          <w:pgMar w:left="240" w:top="132" w:right="259" w:bottom="0" w:gutter="0" w:footer="0" w:header="0"/>
        </w:sectPr>
      </w:pPr>
    </w:p>
    <w:bookmarkStart w:id="162" w:name="page163"/>
    <w:bookmarkEnd w:id="162"/>
    <w:p>
      <w:pPr>
        <w:ind w:right="80"/>
        <w:spacing w:after="0" w:line="263" w:lineRule="auto"/>
        <w:rPr>
          <w:sz w:val="20"/>
          <w:szCs w:val="20"/>
          <w:color w:val="auto"/>
        </w:rPr>
      </w:pPr>
      <w:r>
        <w:rPr>
          <w:rFonts w:ascii="Arial" w:cs="Arial" w:eastAsia="Arial" w:hAnsi="Arial"/>
          <w:sz w:val="22"/>
          <w:szCs w:val="22"/>
          <w:color w:val="auto"/>
        </w:rPr>
        <w:t xml:space="preserve">which shares of Common Stock are traded;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may impair the rights of the Participant without the consent of the Participant.</w:t>
      </w:r>
    </w:p>
    <w:p>
      <w:pPr>
        <w:spacing w:after="0" w:line="175" w:lineRule="exact"/>
        <w:rPr>
          <w:sz w:val="20"/>
          <w:szCs w:val="20"/>
          <w:color w:val="auto"/>
        </w:rPr>
      </w:pPr>
    </w:p>
    <w:p>
      <w:pPr>
        <w:ind w:right="220" w:firstLine="656"/>
        <w:spacing w:after="0" w:line="260" w:lineRule="auto"/>
        <w:tabs>
          <w:tab w:leader="none" w:pos="1098" w:val="left"/>
        </w:tabs>
        <w:numPr>
          <w:ilvl w:val="1"/>
          <w:numId w:val="223"/>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20" w:firstLine="656"/>
        <w:spacing w:after="0" w:line="276" w:lineRule="auto"/>
        <w:tabs>
          <w:tab w:leader="none" w:pos="1098" w:val="left"/>
        </w:tabs>
        <w:numPr>
          <w:ilvl w:val="1"/>
          <w:numId w:val="223"/>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80" w:firstLine="656"/>
        <w:spacing w:after="0" w:line="251" w:lineRule="auto"/>
        <w:tabs>
          <w:tab w:leader="none" w:pos="1098" w:val="left"/>
        </w:tabs>
        <w:numPr>
          <w:ilvl w:val="1"/>
          <w:numId w:val="223"/>
        </w:numPr>
        <w:rPr>
          <w:rFonts w:ascii="Arial" w:cs="Arial" w:eastAsia="Arial" w:hAnsi="Arial"/>
          <w:sz w:val="22"/>
          <w:szCs w:val="22"/>
          <w:color w:val="010000"/>
        </w:rPr>
      </w:pPr>
      <w:r>
        <w:rPr>
          <w:rFonts w:ascii="Arial" w:cs="Arial" w:eastAsia="Arial" w:hAnsi="Arial"/>
          <w:sz w:val="22"/>
          <w:szCs w:val="22"/>
          <w:u w:val="single" w:color="auto"/>
          <w:color w:val="auto"/>
        </w:rPr>
        <w:t>SAR SUBJECT TO CLAWBACK</w:t>
      </w:r>
      <w:r>
        <w:rPr>
          <w:rFonts w:ascii="Arial" w:cs="Arial" w:eastAsia="Arial" w:hAnsi="Arial"/>
          <w:sz w:val="22"/>
          <w:szCs w:val="22"/>
          <w:color w:val="auto"/>
        </w:rPr>
        <w:t>. The SAR and any cash payment or shares of Common Stock delivered pursuant to the SAR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89" w:lineRule="exact"/>
        <w:rPr>
          <w:rFonts w:ascii="Arial" w:cs="Arial" w:eastAsia="Arial" w:hAnsi="Arial"/>
          <w:sz w:val="22"/>
          <w:szCs w:val="22"/>
          <w:color w:val="010000"/>
        </w:rPr>
      </w:pPr>
    </w:p>
    <w:p>
      <w:pPr>
        <w:ind w:left="1100" w:hanging="444"/>
        <w:spacing w:after="0"/>
        <w:tabs>
          <w:tab w:leader="none" w:pos="1100" w:val="left"/>
        </w:tabs>
        <w:numPr>
          <w:ilvl w:val="1"/>
          <w:numId w:val="223"/>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20" w:firstLine="1305"/>
        <w:spacing w:after="0" w:line="264" w:lineRule="auto"/>
        <w:tabs>
          <w:tab w:leader="none" w:pos="1716" w:val="left"/>
        </w:tabs>
        <w:numPr>
          <w:ilvl w:val="2"/>
          <w:numId w:val="223"/>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5" w:lineRule="exact"/>
        <w:rPr>
          <w:rFonts w:ascii="Arial" w:cs="Arial" w:eastAsia="Arial" w:hAnsi="Arial"/>
          <w:sz w:val="21"/>
          <w:szCs w:val="21"/>
          <w:color w:val="010000"/>
        </w:rPr>
      </w:pPr>
    </w:p>
    <w:p>
      <w:pPr>
        <w:ind w:right="220" w:firstLine="1305"/>
        <w:spacing w:after="0" w:line="254" w:lineRule="auto"/>
        <w:tabs>
          <w:tab w:leader="none" w:pos="1728" w:val="left"/>
        </w:tabs>
        <w:numPr>
          <w:ilvl w:val="2"/>
          <w:numId w:val="223"/>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223"/>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224"/>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478790</wp:posOffset>
            </wp:positionV>
            <wp:extent cx="4114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ectPr>
          <w:pgSz w:w="11900" w:h="16838" w:orient="portrait"/>
          <w:cols w:equalWidth="0" w:num="1">
            <w:col w:w="11420"/>
          </w:cols>
          <w:pgMar w:left="240" w:top="13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w:t>
      </w:r>
    </w:p>
    <w:p>
      <w:pPr>
        <w:sectPr>
          <w:pgSz w:w="11900" w:h="16838" w:orient="portrait"/>
          <w:cols w:equalWidth="0" w:num="1">
            <w:col w:w="11420"/>
          </w:cols>
          <w:pgMar w:left="240" w:top="132" w:right="239" w:bottom="0" w:gutter="0" w:footer="0" w:header="0"/>
          <w:type w:val="continuous"/>
        </w:sectPr>
      </w:pPr>
    </w:p>
    <w:bookmarkStart w:id="163" w:name="page164"/>
    <w:bookmarkEnd w:id="163"/>
    <w:p>
      <w:pPr>
        <w:ind w:left="27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2627630</wp:posOffset>
            </wp:positionH>
            <wp:positionV relativeFrom="page">
              <wp:posOffset>389255</wp:posOffset>
            </wp:positionV>
            <wp:extent cx="4114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411480" cy="8890"/>
                    </a:xfrm>
                    <a:prstGeom prst="rect">
                      <a:avLst/>
                    </a:prstGeom>
                    <a:noFill/>
                  </pic:spPr>
                </pic:pic>
              </a:graphicData>
            </a:graphic>
          </wp:anchor>
        </w:drawing>
        <w:t>City/State/Zip</w:t>
      </w:r>
    </w:p>
    <w:p>
      <w:pPr>
        <w:sectPr>
          <w:pgSz w:w="11900" w:h="16838" w:orient="portrait"/>
          <w:cols w:equalWidth="0" w:num="1">
            <w:col w:w="9019"/>
          </w:cols>
          <w:pgMar w:left="1440" w:top="645"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3885"/>
        <w:spacing w:after="0"/>
        <w:rPr>
          <w:sz w:val="20"/>
          <w:szCs w:val="20"/>
          <w:color w:val="auto"/>
        </w:rPr>
      </w:pPr>
      <w:r>
        <w:rPr>
          <w:rFonts w:ascii="Arial" w:cs="Arial" w:eastAsia="Arial" w:hAnsi="Arial"/>
          <w:sz w:val="18"/>
          <w:szCs w:val="18"/>
          <w:b w:val="1"/>
          <w:bCs w:val="1"/>
          <w:color w:val="auto"/>
        </w:rPr>
        <w:t>DINE BRANDS GLOBAL, INC.</w:t>
      </w:r>
    </w:p>
    <w:p>
      <w:pPr>
        <w:spacing w:after="0" w:line="27" w:lineRule="exact"/>
        <w:rPr>
          <w:sz w:val="20"/>
          <w:szCs w:val="20"/>
          <w:color w:val="auto"/>
        </w:rPr>
      </w:pPr>
    </w:p>
    <w:p>
      <w:pPr>
        <w:ind w:left="1125" w:right="360" w:firstLine="567"/>
        <w:spacing w:after="0" w:line="250" w:lineRule="auto"/>
        <w:rPr>
          <w:sz w:val="20"/>
          <w:szCs w:val="20"/>
          <w:color w:val="auto"/>
        </w:rPr>
      </w:pPr>
      <w:r>
        <w:rPr>
          <w:rFonts w:ascii="Arial" w:cs="Arial" w:eastAsia="Arial" w:hAnsi="Arial"/>
          <w:sz w:val="18"/>
          <w:szCs w:val="18"/>
          <w:b w:val="1"/>
          <w:bCs w:val="1"/>
          <w:color w:val="auto"/>
        </w:rPr>
        <w:t>Computation of Debt Service Coverage Ratio for the Trailing Twelve Months Ended March 31, 2018 and Leverage Ratio as of March 31, 2018.</w:t>
      </w:r>
    </w:p>
    <w:p>
      <w:pPr>
        <w:spacing w:after="0" w:line="1" w:lineRule="exact"/>
        <w:rPr>
          <w:sz w:val="20"/>
          <w:szCs w:val="20"/>
          <w:color w:val="auto"/>
        </w:rPr>
      </w:pPr>
    </w:p>
    <w:tbl>
      <w:tblPr>
        <w:tblLayout w:type="fixed"/>
        <w:tblInd w:w="225"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5020" w:type="dxa"/>
            <w:vAlign w:val="bottom"/>
            <w:gridSpan w:val="2"/>
          </w:tcPr>
          <w:p>
            <w:pPr>
              <w:jc w:val="right"/>
              <w:ind w:right="2760"/>
              <w:spacing w:after="0"/>
              <w:rPr>
                <w:sz w:val="20"/>
                <w:szCs w:val="20"/>
                <w:color w:val="auto"/>
              </w:rPr>
            </w:pPr>
            <w:r>
              <w:rPr>
                <w:rFonts w:ascii="Arial" w:cs="Arial" w:eastAsia="Arial" w:hAnsi="Arial"/>
                <w:sz w:val="18"/>
                <w:szCs w:val="18"/>
                <w:b w:val="1"/>
                <w:bCs w:val="1"/>
                <w:color w:val="auto"/>
                <w:w w:val="91"/>
              </w:rPr>
              <w:t>(In thousands, except ratios)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3740" w:type="dxa"/>
            <w:vAlign w:val="bottom"/>
          </w:tcPr>
          <w:p>
            <w:pPr>
              <w:spacing w:after="0"/>
              <w:rPr>
                <w:sz w:val="20"/>
                <w:szCs w:val="20"/>
                <w:color w:val="auto"/>
              </w:rPr>
            </w:pPr>
            <w:r>
              <w:rPr>
                <w:rFonts w:ascii="Arial" w:cs="Arial" w:eastAsia="Arial" w:hAnsi="Arial"/>
                <w:sz w:val="18"/>
                <w:szCs w:val="18"/>
                <w:color w:val="auto"/>
              </w:rPr>
              <w:t>Leverage Ratio Calculation:</w:t>
            </w:r>
          </w:p>
        </w:tc>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 xml:space="preserve">Indebtedness, net </w:t>
            </w:r>
            <w:r>
              <w:rPr>
                <w:rFonts w:ascii="Arial" w:cs="Arial" w:eastAsia="Arial" w:hAnsi="Arial"/>
                <w:sz w:val="25"/>
                <w:szCs w:val="25"/>
                <w:color w:val="auto"/>
                <w:vertAlign w:val="superscript"/>
              </w:rPr>
              <w:t>(1)</w:t>
            </w:r>
          </w:p>
        </w:tc>
        <w:tc>
          <w:tcPr>
            <w:tcW w:w="5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1,291,615</w:t>
            </w:r>
          </w:p>
        </w:tc>
        <w:tc>
          <w:tcPr>
            <w:tcW w:w="0" w:type="dxa"/>
            <w:vAlign w:val="bottom"/>
          </w:tcPr>
          <w:p>
            <w:pPr>
              <w:spacing w:after="0"/>
              <w:rPr>
                <w:sz w:val="1"/>
                <w:szCs w:val="1"/>
                <w:color w:val="auto"/>
              </w:rPr>
            </w:pPr>
          </w:p>
        </w:tc>
      </w:tr>
      <w:tr>
        <w:trPr>
          <w:trHeight w:val="257"/>
        </w:trPr>
        <w:tc>
          <w:tcPr>
            <w:tcW w:w="3740" w:type="dxa"/>
            <w:vAlign w:val="bottom"/>
          </w:tcPr>
          <w:p>
            <w:pPr>
              <w:spacing w:after="0" w:line="257" w:lineRule="exact"/>
              <w:rPr>
                <w:sz w:val="20"/>
                <w:szCs w:val="20"/>
                <w:color w:val="auto"/>
              </w:rPr>
            </w:pPr>
            <w:r>
              <w:rPr>
                <w:rFonts w:ascii="Arial" w:cs="Arial" w:eastAsia="Arial" w:hAnsi="Arial"/>
                <w:sz w:val="18"/>
                <w:szCs w:val="18"/>
                <w:color w:val="auto"/>
              </w:rPr>
              <w:t>Covenant Adjusted EBITDA</w:t>
            </w:r>
            <w:r>
              <w:rPr>
                <w:rFonts w:ascii="Arial" w:cs="Arial" w:eastAsia="Arial" w:hAnsi="Arial"/>
                <w:sz w:val="25"/>
                <w:szCs w:val="25"/>
                <w:color w:val="auto"/>
                <w:vertAlign w:val="superscript"/>
              </w:rPr>
              <w:t>(1)</w:t>
            </w:r>
          </w:p>
        </w:tc>
        <w:tc>
          <w:tcPr>
            <w:tcW w:w="4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226,596</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Leverage Ratio</w:t>
            </w:r>
          </w:p>
        </w:tc>
        <w:tc>
          <w:tcPr>
            <w:tcW w:w="4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w w:val="92"/>
              </w:rPr>
              <w:t>Debt Service Coverage Ratio (DSCR) Calculation:</w:t>
            </w:r>
          </w:p>
        </w:tc>
        <w:tc>
          <w:tcPr>
            <w:tcW w:w="4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vMerge w:val="continue"/>
          </w:tcPr>
          <w:p>
            <w:pPr>
              <w:spacing w:after="0"/>
              <w:rPr>
                <w:sz w:val="20"/>
                <w:szCs w:val="20"/>
                <w:color w:val="auto"/>
              </w:rPr>
            </w:pPr>
          </w:p>
        </w:tc>
        <w:tc>
          <w:tcPr>
            <w:tcW w:w="4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 xml:space="preserve">Net Cash Flow </w:t>
            </w:r>
            <w:r>
              <w:rPr>
                <w:rFonts w:ascii="Arial" w:cs="Arial" w:eastAsia="Arial" w:hAnsi="Arial"/>
                <w:sz w:val="25"/>
                <w:szCs w:val="25"/>
                <w:color w:val="auto"/>
                <w:vertAlign w:val="superscript"/>
              </w:rPr>
              <w:t>(1)</w:t>
            </w:r>
          </w:p>
        </w:tc>
        <w:tc>
          <w:tcPr>
            <w:tcW w:w="5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255,565</w:t>
            </w:r>
          </w:p>
        </w:tc>
        <w:tc>
          <w:tcPr>
            <w:tcW w:w="0" w:type="dxa"/>
            <w:vAlign w:val="bottom"/>
          </w:tcPr>
          <w:p>
            <w:pPr>
              <w:spacing w:after="0"/>
              <w:rPr>
                <w:sz w:val="1"/>
                <w:szCs w:val="1"/>
                <w:color w:val="auto"/>
              </w:rPr>
            </w:pPr>
          </w:p>
        </w:tc>
      </w:tr>
      <w:tr>
        <w:trPr>
          <w:trHeight w:val="257"/>
        </w:trPr>
        <w:tc>
          <w:tcPr>
            <w:tcW w:w="3740" w:type="dxa"/>
            <w:vAlign w:val="bottom"/>
          </w:tcPr>
          <w:p>
            <w:pPr>
              <w:spacing w:after="0" w:line="257" w:lineRule="exact"/>
              <w:rPr>
                <w:sz w:val="20"/>
                <w:szCs w:val="20"/>
                <w:color w:val="auto"/>
              </w:rPr>
            </w:pPr>
            <w:r>
              <w:rPr>
                <w:rFonts w:ascii="Arial" w:cs="Arial" w:eastAsia="Arial" w:hAnsi="Arial"/>
                <w:sz w:val="18"/>
                <w:szCs w:val="18"/>
                <w:color w:val="auto"/>
              </w:rPr>
              <w:t xml:space="preserve">Debt Service </w:t>
            </w:r>
            <w:r>
              <w:rPr>
                <w:rFonts w:ascii="Arial" w:cs="Arial" w:eastAsia="Arial" w:hAnsi="Arial"/>
                <w:sz w:val="25"/>
                <w:szCs w:val="25"/>
                <w:color w:val="auto"/>
                <w:vertAlign w:val="superscript"/>
              </w:rPr>
              <w:t>(1)</w:t>
            </w:r>
          </w:p>
        </w:tc>
        <w:tc>
          <w:tcPr>
            <w:tcW w:w="4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66,425</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DSCR</w:t>
            </w:r>
          </w:p>
        </w:tc>
        <w:tc>
          <w:tcPr>
            <w:tcW w:w="4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45" w:right="20" w:hanging="245"/>
        <w:spacing w:after="0" w:line="252" w:lineRule="auto"/>
        <w:tabs>
          <w:tab w:leader="none" w:pos="245" w:val="left"/>
        </w:tabs>
        <w:numPr>
          <w:ilvl w:val="0"/>
          <w:numId w:val="225"/>
        </w:numPr>
        <w:rPr>
          <w:rFonts w:ascii="Arial" w:cs="Arial" w:eastAsia="Arial" w:hAnsi="Arial"/>
          <w:sz w:val="22"/>
          <w:szCs w:val="22"/>
          <w:color w:val="auto"/>
          <w:vertAlign w:val="superscript"/>
        </w:rPr>
      </w:pPr>
      <w:r>
        <w:rPr>
          <w:rFonts w:ascii="Arial" w:cs="Arial" w:eastAsia="Arial" w:hAnsi="Arial"/>
          <w:sz w:val="16"/>
          <w:szCs w:val="16"/>
          <w:color w:val="auto"/>
        </w:rPr>
        <w:t>Definitions of all components used in calculating the above ratios are found in the Base Indenture and the related Series 2014-1 Supplement to the Base Indenture, dated September 30, 2014, filed as Exhibits 4.1 and 4.2, respectively, to our Current Report on Form 8-K filed on October 3, 2014.</w:t>
      </w:r>
    </w:p>
    <w:p>
      <w:pPr>
        <w:sectPr>
          <w:pgSz w:w="11900" w:h="16838" w:orient="portrait"/>
          <w:cols w:equalWidth="0" w:num="1">
            <w:col w:w="10845"/>
          </w:cols>
          <w:pgMar w:left="815" w:top="580"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Dated: May 2, 2018</w:t>
            </w: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 Stephen P. Joyce</w:t>
            </w:r>
          </w:p>
        </w:tc>
      </w:tr>
      <w:tr>
        <w:trPr>
          <w:trHeight w:val="27"/>
        </w:trPr>
        <w:tc>
          <w:tcPr>
            <w:tcW w:w="64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2"/>
        </w:trPr>
        <w:tc>
          <w:tcPr>
            <w:tcW w:w="64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Stephen P. Joyce</w:t>
            </w:r>
          </w:p>
        </w:tc>
      </w:tr>
      <w:tr>
        <w:trPr>
          <w:trHeight w:val="216"/>
        </w:trPr>
        <w:tc>
          <w:tcPr>
            <w:tcW w:w="648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648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420"/>
          </w:cols>
          <w:pgMar w:left="240" w:top="5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Greggory H. Kalvin, certify that:</w:t>
      </w:r>
    </w:p>
    <w:p>
      <w:pPr>
        <w:spacing w:after="0" w:line="225" w:lineRule="exact"/>
        <w:rPr>
          <w:sz w:val="20"/>
          <w:szCs w:val="20"/>
          <w:color w:val="auto"/>
        </w:rPr>
      </w:pPr>
    </w:p>
    <w:p>
      <w:pPr>
        <w:ind w:left="680" w:hanging="672"/>
        <w:spacing w:after="0"/>
        <w:tabs>
          <w:tab w:leader="none" w:pos="6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Dated: May 2, 2018</w:t>
            </w:r>
          </w:p>
        </w:tc>
        <w:tc>
          <w:tcPr>
            <w:tcW w:w="3620" w:type="dxa"/>
            <w:vAlign w:val="bottom"/>
          </w:tcPr>
          <w:p>
            <w:pPr>
              <w:ind w:left="20"/>
              <w:spacing w:after="0"/>
              <w:rPr>
                <w:sz w:val="20"/>
                <w:szCs w:val="20"/>
                <w:color w:val="auto"/>
              </w:rPr>
            </w:pPr>
            <w:r>
              <w:rPr>
                <w:rFonts w:ascii="Arial" w:cs="Arial" w:eastAsia="Arial" w:hAnsi="Arial"/>
                <w:sz w:val="18"/>
                <w:szCs w:val="18"/>
                <w:color w:val="auto"/>
              </w:rPr>
              <w:t>/s/ Greggory H. Kalvin</w:t>
            </w:r>
          </w:p>
        </w:tc>
      </w:tr>
      <w:tr>
        <w:trPr>
          <w:trHeight w:val="27"/>
        </w:trPr>
        <w:tc>
          <w:tcPr>
            <w:tcW w:w="658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65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5"/>
              </w:rPr>
              <w:t>Greggory H. Kalvin</w:t>
            </w:r>
          </w:p>
        </w:tc>
      </w:tr>
      <w:tr>
        <w:trPr>
          <w:trHeight w:val="216"/>
        </w:trPr>
        <w:tc>
          <w:tcPr>
            <w:tcW w:w="65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4"/>
              </w:rPr>
              <w:t>Interim Chief Financial Officer,</w:t>
            </w:r>
          </w:p>
        </w:tc>
      </w:tr>
      <w:tr>
        <w:trPr>
          <w:trHeight w:val="216"/>
        </w:trPr>
        <w:tc>
          <w:tcPr>
            <w:tcW w:w="65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1"/>
              </w:rPr>
              <w:t>Senior Vice President, Corporate Controller</w:t>
            </w:r>
          </w:p>
        </w:tc>
      </w:tr>
      <w:tr>
        <w:trPr>
          <w:trHeight w:val="230"/>
        </w:trPr>
        <w:tc>
          <w:tcPr>
            <w:tcW w:w="658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ectPr>
          <w:pgSz w:w="11900" w:h="16838" w:orient="portrait"/>
          <w:cols w:equalWidth="0" w:num="1">
            <w:col w:w="11420"/>
          </w:cols>
          <w:pgMar w:left="240" w:top="5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connection with the Quarterly Report on Form 10-Q of Dine Brands Global, Inc. (the “Company”) for the quarter ended March 31, 2018, as filed with the Securities and Exchange Commission on May 2, 2018 (the “Report”), Stephen P. Joyce, as Chief Executive Officer of the Company, hereby certifies, pursuant to 18 U.S.C. Section 1350, as adopted pursuant to Section 906 of the Sarbanes-Oxley Act of 2002, to the best of her knowledge, that:</w:t>
      </w:r>
    </w:p>
    <w:p>
      <w:pPr>
        <w:spacing w:after="0" w:line="147" w:lineRule="exact"/>
        <w:rPr>
          <w:sz w:val="20"/>
          <w:szCs w:val="20"/>
          <w:color w:val="auto"/>
        </w:rPr>
      </w:pPr>
    </w:p>
    <w:p>
      <w:pPr>
        <w:ind w:left="1660" w:hanging="518"/>
        <w:spacing w:after="0"/>
        <w:tabs>
          <w:tab w:leader="none" w:pos="16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2, 2018</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31750</wp:posOffset>
            </wp:positionV>
            <wp:extent cx="2263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the Quarterly Report on Form 10-Q of Dine Brands Global, Inc. (the “Company”) for the quarter ended March 31, 2018, as filed with the Securities and Exchange Commission on May 2, 2018 (the “Report”), Greggory H. Kalvin, as Chief Financial Officer of the Company, hereby certifies, pursuant to 18 U.S.C. Section 1350, as adopted pursuant to Section 906 of the Sarbanes-Oxley Act of 2002, to the best of his knowledge, that:</w:t>
      </w:r>
    </w:p>
    <w:p>
      <w:pPr>
        <w:spacing w:after="0" w:line="147" w:lineRule="exact"/>
        <w:rPr>
          <w:sz w:val="20"/>
          <w:szCs w:val="20"/>
          <w:color w:val="auto"/>
        </w:rPr>
      </w:pPr>
    </w:p>
    <w:p>
      <w:pPr>
        <w:ind w:left="1660" w:hanging="518"/>
        <w:spacing w:after="0"/>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Greggory H. Kalvin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263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400"/>
        <w:spacing w:after="0"/>
        <w:rPr>
          <w:sz w:val="20"/>
          <w:szCs w:val="20"/>
          <w:color w:val="auto"/>
        </w:rPr>
      </w:pPr>
      <w:r>
        <w:rPr>
          <w:rFonts w:ascii="Arial" w:cs="Arial" w:eastAsia="Arial" w:hAnsi="Arial"/>
          <w:sz w:val="18"/>
          <w:szCs w:val="18"/>
          <w:color w:val="auto"/>
        </w:rPr>
        <w:t>Greggory H. Kalvin</w:t>
      </w:r>
    </w:p>
    <w:p>
      <w:pPr>
        <w:spacing w:after="0" w:line="23"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Senior Vice President, Corporate Controller</w:t>
      </w:r>
    </w:p>
    <w:p>
      <w:pPr>
        <w:spacing w:after="0" w:line="9"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(Principal Accounting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9B0904"/>
    <w:multiLevelType w:val="hybridMultilevel"/>
    <w:lvl w:ilvl="0">
      <w:lvlJc w:val="left"/>
      <w:lvlText w:val="x"/>
      <w:numFmt w:val="bullet"/>
      <w:start w:val="1"/>
    </w:lvl>
  </w:abstractNum>
  <w:abstractNum w:abstractNumId="1">
    <w:nsid w:val="6AA7B75C"/>
    <w:multiLevelType w:val="hybridMultilevel"/>
    <w:lvl w:ilvl="0">
      <w:lvlJc w:val="left"/>
      <w:lvlText w:val="o"/>
      <w:numFmt w:val="bullet"/>
      <w:start w:val="1"/>
    </w:lvl>
  </w:abstractNum>
  <w:abstractNum w:abstractNumId="2">
    <w:nsid w:val="1DF029D3"/>
    <w:multiLevelType w:val="hybridMultilevel"/>
    <w:lvl w:ilvl="0">
      <w:lvlJc w:val="left"/>
      <w:lvlText w:val="%1."/>
      <w:numFmt w:val="decimal"/>
      <w:start w:val="3"/>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1."/>
      <w:numFmt w:val="decimal"/>
      <w:start w:val="5"/>
    </w:lvl>
  </w:abstractNum>
  <w:abstractNum w:abstractNumId="5">
    <w:nsid w:val="3DB012B3"/>
    <w:multiLevelType w:val="hybridMultilevel"/>
    <w:lvl w:ilvl="0">
      <w:lvlJc w:val="left"/>
      <w:lvlText w:val="%1."/>
      <w:numFmt w:val="decimal"/>
      <w:start w:val="11"/>
    </w:lvl>
  </w:abstractNum>
  <w:abstractNum w:abstractNumId="6">
    <w:nsid w:val="2708C9AF"/>
    <w:multiLevelType w:val="hybridMultilevel"/>
    <w:lvl w:ilvl="0">
      <w:lvlJc w:val="left"/>
      <w:lvlText w:val="(%1)"/>
      <w:numFmt w:val="lowerLetter"/>
      <w:start w:val="1"/>
    </w:lvl>
    <w:lvl w:ilvl="1">
      <w:lvlJc w:val="left"/>
      <w:lvlText w:val="(%2)"/>
      <w:numFmt w:val="lowerLetter"/>
      <w:start w:val="2"/>
    </w:lvl>
  </w:abstractNum>
  <w:abstractNum w:abstractNumId="7">
    <w:nsid w:val="5B25ACE2"/>
    <w:multiLevelType w:val="hybridMultilevel"/>
    <w:lvl w:ilvl="0">
      <w:lvlJc w:val="left"/>
      <w:lvlText w:val="(%1)"/>
      <w:numFmt w:val="lowerLetter"/>
      <w:start w:val="3"/>
    </w:lvl>
  </w:abstractNum>
  <w:abstractNum w:abstractNumId="8">
    <w:nsid w:val="175DFCF0"/>
    <w:multiLevelType w:val="hybridMultilevel"/>
    <w:lvl w:ilvl="0">
      <w:lvlJc w:val="left"/>
      <w:lvlText w:val="•"/>
      <w:numFmt w:val="bullet"/>
      <w:start w:val="1"/>
    </w:lvl>
  </w:abstractNum>
  <w:abstractNum w:abstractNumId="9">
    <w:nsid w:val="4F97E3E4"/>
    <w:multiLevelType w:val="hybridMultilevel"/>
    <w:lvl w:ilvl="0">
      <w:lvlJc w:val="left"/>
      <w:lvlText w:val="(%1)"/>
      <w:numFmt w:val="decimal"/>
      <w:start w:val="1"/>
    </w:lvl>
  </w:abstractNum>
  <w:abstractNum w:abstractNumId="10">
    <w:nsid w:val="53B0A9E"/>
    <w:multiLevelType w:val="hybridMultilevel"/>
    <w:lvl w:ilvl="0">
      <w:lvlJc w:val="left"/>
      <w:lvlText w:val="(%1)"/>
      <w:numFmt w:val="decimal"/>
      <w:start w:val="1"/>
    </w:lvl>
  </w:abstractNum>
  <w:abstractNum w:abstractNumId="11">
    <w:nsid w:val="34FD6B4F"/>
    <w:multiLevelType w:val="hybridMultilevel"/>
    <w:lvl w:ilvl="0">
      <w:lvlJc w:val="left"/>
      <w:lvlText w:val="•"/>
      <w:numFmt w:val="bullet"/>
      <w:start w:val="1"/>
    </w:lvl>
  </w:abstractNum>
  <w:abstractNum w:abstractNumId="12">
    <w:nsid w:val="5915FF32"/>
    <w:multiLevelType w:val="hybridMultilevel"/>
    <w:lvl w:ilvl="0">
      <w:lvlJc w:val="left"/>
      <w:lvlText w:val="(%1)"/>
      <w:numFmt w:val="lowerLetter"/>
      <w:start w:val="1"/>
    </w:lvl>
  </w:abstractNum>
  <w:abstractNum w:abstractNumId="13">
    <w:nsid w:val="56438D15"/>
    <w:multiLevelType w:val="hybridMultilevel"/>
    <w:lvl w:ilvl="0">
      <w:lvlJc w:val="left"/>
      <w:lvlText w:val="**"/>
      <w:numFmt w:val="bullet"/>
      <w:start w:val="1"/>
    </w:lvl>
  </w:abstractNum>
  <w:abstractNum w:abstractNumId="14">
    <w:nsid w:val="519E3149"/>
    <w:multiLevelType w:val="hybridMultilevel"/>
    <w:lvl w:ilvl="0">
      <w:lvlJc w:val="left"/>
      <w:lvlText w:val="***"/>
      <w:numFmt w:val="bullet"/>
      <w:start w:val="1"/>
    </w:lvl>
  </w:abstractNum>
  <w:abstractNum w:abstractNumId="15">
    <w:nsid w:val="2C6E4AFD"/>
    <w:multiLevelType w:val="hybridMultilevel"/>
    <w:lvl w:ilvl="0">
      <w:lvlJc w:val="left"/>
      <w:lvlText w:val="†"/>
      <w:numFmt w:val="bullet"/>
      <w:start w:val="1"/>
    </w:lvl>
  </w:abstractNum>
  <w:abstractNum w:abstractNumId="16">
    <w:nsid w:val="17A1B582"/>
    <w:multiLevelType w:val="hybridMultilevel"/>
    <w:lvl w:ilvl="0">
      <w:lvlJc w:val="left"/>
      <w:lvlText w:val="#"/>
      <w:numFmt w:val="bullet"/>
      <w:start w:val="1"/>
    </w:lvl>
  </w:abstractNum>
  <w:abstractNum w:abstractNumId="17">
    <w:nsid w:val="4DF72E4E"/>
    <w:multiLevelType w:val="hybridMultilevel"/>
    <w:lvl w:ilvl="0">
      <w:lvlJc w:val="left"/>
      <w:lvlText w:val="%1."/>
      <w:numFmt w:val="upperLetter"/>
      <w:start w:val="9"/>
    </w:lvl>
  </w:abstractNum>
  <w:abstractNum w:abstractNumId="18">
    <w:nsid w:val="5046B5A9"/>
    <w:multiLevelType w:val="hybridMultilevel"/>
    <w:lvl w:ilvl="0">
      <w:lvlJc w:val="left"/>
      <w:lvlText w:val="%1."/>
      <w:numFmt w:val="upperLetter"/>
      <w:start w:val="35"/>
    </w:lvl>
  </w:abstractNum>
  <w:abstractNum w:abstractNumId="19">
    <w:nsid w:val="5D888A08"/>
    <w:multiLevelType w:val="hybridMultilevel"/>
    <w:lvl w:ilvl="0">
      <w:lvlJc w:val="left"/>
      <w:lvlText w:val="(%1)"/>
      <w:numFmt w:val="lowerLetter"/>
      <w:start w:val="1"/>
    </w:lvl>
  </w:abstractNum>
  <w:abstractNum w:abstractNumId="20">
    <w:nsid w:val="2A082C70"/>
    <w:multiLevelType w:val="hybridMultilevel"/>
    <w:lvl w:ilvl="0">
      <w:lvlJc w:val="left"/>
      <w:lvlText w:val="(%1)"/>
      <w:numFmt w:val="lowerLetter"/>
      <w:start w:val="1"/>
    </w:lvl>
  </w:abstractNum>
  <w:abstractNum w:abstractNumId="21">
    <w:nsid w:val="5EC6AFD4"/>
    <w:multiLevelType w:val="hybridMultilevel"/>
    <w:lvl w:ilvl="0">
      <w:lvlJc w:val="left"/>
      <w:lvlText w:val="%1"/>
      <w:numFmt w:val="decimal"/>
      <w:start w:val="1"/>
    </w:lvl>
    <w:lvl w:ilvl="1">
      <w:lvlJc w:val="left"/>
      <w:lvlText w:val="(%2)"/>
      <w:numFmt w:val="lowerLetter"/>
      <w:start w:val="1"/>
    </w:lvl>
  </w:abstractNum>
  <w:abstractNum w:abstractNumId="22">
    <w:nsid w:val="19E21BB2"/>
    <w:multiLevelType w:val="hybridMultilevel"/>
    <w:lvl w:ilvl="0">
      <w:lvlJc w:val="left"/>
      <w:lvlText w:val="(%1)"/>
      <w:numFmt w:val="decimal"/>
      <w:start w:val="12"/>
    </w:lvl>
    <w:lvl w:ilvl="1">
      <w:lvlJc w:val="left"/>
      <w:lvlText w:val="(%2)"/>
      <w:numFmt w:val="lowerLetter"/>
      <w:start w:val="2"/>
    </w:lvl>
  </w:abstractNum>
  <w:abstractNum w:abstractNumId="23">
    <w:nsid w:val="75E0858A"/>
    <w:multiLevelType w:val="hybridMultilevel"/>
    <w:lvl w:ilvl="0">
      <w:lvlJc w:val="left"/>
      <w:lvlText w:val="%1."/>
      <w:numFmt w:val="upperLetter"/>
      <w:start w:val="61"/>
    </w:lvl>
  </w:abstractNum>
  <w:abstractNum w:abstractNumId="24">
    <w:nsid w:val="57A61A29"/>
    <w:multiLevelType w:val="hybridMultilevel"/>
    <w:lvl w:ilvl="0">
      <w:lvlJc w:val="left"/>
      <w:lvlText w:val="(%1)"/>
      <w:numFmt w:val="lowerLetter"/>
      <w:start w:val="1"/>
    </w:lvl>
  </w:abstractNum>
  <w:abstractNum w:abstractNumId="25">
    <w:nsid w:val="5399C654"/>
    <w:multiLevelType w:val="hybridMultilevel"/>
    <w:lvl w:ilvl="0">
      <w:lvlJc w:val="left"/>
      <w:lvlText w:val="(%1)"/>
      <w:numFmt w:val="lowerLetter"/>
      <w:start w:val="3"/>
    </w:lvl>
  </w:abstractNum>
  <w:abstractNum w:abstractNumId="26">
    <w:nsid w:val="20EE1348"/>
    <w:multiLevelType w:val="hybridMultilevel"/>
    <w:lvl w:ilvl="0">
      <w:lvlJc w:val="left"/>
      <w:lvlText w:val="(%1)"/>
      <w:numFmt w:val="lowerLetter"/>
      <w:start w:val="1"/>
    </w:lvl>
  </w:abstractNum>
  <w:abstractNum w:abstractNumId="27">
    <w:nsid w:val="4427069A"/>
    <w:multiLevelType w:val="hybridMultilevel"/>
    <w:lvl w:ilvl="0">
      <w:lvlJc w:val="left"/>
      <w:lvlText w:val="(%1)"/>
      <w:numFmt w:val="lowerLetter"/>
      <w:start w:val="1"/>
    </w:lvl>
  </w:abstractNum>
  <w:abstractNum w:abstractNumId="28">
    <w:nsid w:val="B37E80A"/>
    <w:multiLevelType w:val="hybridMultilevel"/>
    <w:lvl w:ilvl="0">
      <w:lvlJc w:val="left"/>
      <w:lvlText w:val="%1."/>
      <w:numFmt w:val="upperLetter"/>
      <w:start w:val="22"/>
    </w:lvl>
  </w:abstractNum>
  <w:abstractNum w:abstractNumId="29">
    <w:nsid w:val="2157F6BC"/>
    <w:multiLevelType w:val="hybridMultilevel"/>
    <w:lvl w:ilvl="0">
      <w:lvlJc w:val="left"/>
      <w:lvlText w:val="(%1)"/>
      <w:numFmt w:val="lowerRoman"/>
      <w:start w:val="1"/>
    </w:lvl>
  </w:abstractNum>
  <w:abstractNum w:abstractNumId="30">
    <w:nsid w:val="704E1DD5"/>
    <w:multiLevelType w:val="hybridMultilevel"/>
    <w:lvl w:ilvl="0">
      <w:lvlJc w:val="left"/>
      <w:lvlText w:val="(%1)"/>
      <w:numFmt w:val="lowerLetter"/>
      <w:start w:val="1"/>
    </w:lvl>
    <w:lvl w:ilvl="1">
      <w:lvlJc w:val="left"/>
      <w:lvlText w:val="(%2)"/>
      <w:numFmt w:val="decimal"/>
      <w:start w:val="1"/>
    </w:lvl>
  </w:abstractNum>
  <w:abstractNum w:abstractNumId="31">
    <w:nsid w:val="57D2F10E"/>
    <w:multiLevelType w:val="hybridMultilevel"/>
    <w:lvl w:ilvl="0">
      <w:lvlJc w:val="left"/>
      <w:lvlText w:val="(%1)"/>
      <w:numFmt w:val="lowerLetter"/>
      <w:start w:val="2"/>
    </w:lvl>
    <w:lvl w:ilvl="1">
      <w:lvlJc w:val="left"/>
      <w:lvlText w:val="(%2)"/>
      <w:numFmt w:val="decimal"/>
      <w:start w:val="1"/>
    </w:lvl>
  </w:abstractNum>
  <w:abstractNum w:abstractNumId="32">
    <w:nsid w:val="BFFAE18"/>
    <w:multiLevelType w:val="hybridMultilevel"/>
    <w:lvl w:ilvl="0">
      <w:lvlJc w:val="left"/>
      <w:lvlText w:val="%1."/>
      <w:numFmt w:val="decimal"/>
      <w:start w:val="1"/>
    </w:lvl>
  </w:abstractNum>
  <w:abstractNum w:abstractNumId="33">
    <w:nsid w:val="E3E47A8"/>
    <w:multiLevelType w:val="hybridMultilevel"/>
    <w:lvl w:ilvl="0">
      <w:lvlJc w:val="left"/>
      <w:lvlText w:val="%1."/>
      <w:numFmt w:val="decimal"/>
      <w:start w:val="3"/>
    </w:lvl>
  </w:abstractNum>
  <w:abstractNum w:abstractNumId="34">
    <w:nsid w:val="2E48F044"/>
    <w:multiLevelType w:val="hybridMultilevel"/>
    <w:lvl w:ilvl="0">
      <w:lvlJc w:val="left"/>
      <w:lvlText w:val="%1"/>
      <w:numFmt w:val="decimal"/>
      <w:start w:val="1"/>
    </w:lvl>
    <w:lvl w:ilvl="1">
      <w:lvlJc w:val="left"/>
      <w:lvlText w:val="%2."/>
      <w:numFmt w:val="decimal"/>
      <w:start w:val="5"/>
    </w:lvl>
  </w:abstractNum>
  <w:abstractNum w:abstractNumId="35">
    <w:nsid w:val="49D0FEAC"/>
    <w:multiLevelType w:val="hybridMultilevel"/>
    <w:lvl w:ilvl="0">
      <w:lvlJc w:val="left"/>
      <w:lvlText w:val="(%1)"/>
      <w:numFmt w:val="decimal"/>
      <w:start w:val="50"/>
    </w:lvl>
    <w:lvl w:ilvl="1">
      <w:lvlJc w:val="left"/>
      <w:lvlText w:val="%2."/>
      <w:numFmt w:val="decimal"/>
      <w:start w:val="6"/>
    </w:lvl>
  </w:abstractNum>
  <w:abstractNum w:abstractNumId="36">
    <w:nsid w:val="4BEE5A5B"/>
    <w:multiLevelType w:val="hybridMultilevel"/>
    <w:lvl w:ilvl="0">
      <w:lvlJc w:val="left"/>
      <w:lvlText w:val="(%1)"/>
      <w:numFmt w:val="lowerLetter"/>
      <w:start w:val="35"/>
    </w:lvl>
    <w:lvl w:ilvl="1">
      <w:lvlJc w:val="left"/>
      <w:lvlText w:val="%2"/>
      <w:numFmt w:val="decimal"/>
      <w:start w:val="1"/>
    </w:lvl>
  </w:abstractNum>
  <w:abstractNum w:abstractNumId="37">
    <w:nsid w:val="5551B9F3"/>
    <w:multiLevelType w:val="hybridMultilevel"/>
    <w:lvl w:ilvl="0">
      <w:lvlJc w:val="left"/>
      <w:lvlText w:val="(%1)"/>
      <w:numFmt w:val="lowerLetter"/>
      <w:start w:val="1"/>
    </w:lvl>
    <w:lvl w:ilvl="1">
      <w:lvlJc w:val="left"/>
      <w:lvlText w:val="%2."/>
      <w:numFmt w:val="decimal"/>
      <w:start w:val="14"/>
    </w:lvl>
  </w:abstractNum>
  <w:abstractNum w:abstractNumId="38">
    <w:nsid w:val="24F6AB8E"/>
    <w:multiLevelType w:val="hybridMultilevel"/>
    <w:lvl w:ilvl="0">
      <w:lvlJc w:val="left"/>
      <w:lvlText w:val="%1."/>
      <w:numFmt w:val="decimal"/>
      <w:start w:val="1"/>
    </w:lvl>
    <w:lvl w:ilvl="1">
      <w:lvlJc w:val="left"/>
      <w:lvlText w:val="(%2)"/>
      <w:numFmt w:val="lowerLetter"/>
      <w:start w:val="1"/>
    </w:lvl>
  </w:abstractNum>
  <w:abstractNum w:abstractNumId="39">
    <w:nsid w:val="634C574C"/>
    <w:multiLevelType w:val="hybridMultilevel"/>
    <w:lvl w:ilvl="0">
      <w:lvlJc w:val="left"/>
      <w:lvlText w:val="%1."/>
      <w:numFmt w:val="decimal"/>
      <w:start w:val="5"/>
    </w:lvl>
  </w:abstractNum>
  <w:abstractNum w:abstractNumId="40">
    <w:nsid w:val="24E99DD7"/>
    <w:multiLevelType w:val="hybridMultilevel"/>
    <w:lvl w:ilvl="0">
      <w:lvlJc w:val="left"/>
      <w:lvlText w:val="%1."/>
      <w:numFmt w:val="decimal"/>
      <w:start w:val="10"/>
    </w:lvl>
    <w:lvl w:ilvl="1">
      <w:lvlJc w:val="left"/>
      <w:lvlText w:val="(%2)"/>
      <w:numFmt w:val="lowerLetter"/>
      <w:start w:val="1"/>
    </w:lvl>
  </w:abstractNum>
  <w:abstractNum w:abstractNumId="41">
    <w:nsid w:val="2A31B62D"/>
    <w:multiLevelType w:val="hybridMultilevel"/>
    <w:lvl w:ilvl="0">
      <w:lvlJc w:val="left"/>
      <w:lvlText w:val="%1."/>
      <w:numFmt w:val="decimal"/>
      <w:start w:val="1"/>
    </w:lvl>
    <w:lvl w:ilvl="1">
      <w:lvlJc w:val="left"/>
      <w:lvlText w:val="(%2)"/>
      <w:numFmt w:val="lowerLetter"/>
      <w:start w:val="1"/>
    </w:lvl>
  </w:abstractNum>
  <w:abstractNum w:abstractNumId="42">
    <w:nsid w:val="1849C29B"/>
    <w:multiLevelType w:val="hybridMultilevel"/>
    <w:lvl w:ilvl="0">
      <w:lvlJc w:val="left"/>
      <w:lvlText w:val="%1."/>
      <w:numFmt w:val="decimal"/>
      <w:start w:val="4"/>
    </w:lvl>
  </w:abstractNum>
  <w:abstractNum w:abstractNumId="43">
    <w:nsid w:val="7DFF9D09"/>
    <w:multiLevelType w:val="hybridMultilevel"/>
    <w:lvl w:ilvl="0">
      <w:lvlJc w:val="left"/>
      <w:lvlText w:val="%1."/>
      <w:numFmt w:val="decimal"/>
      <w:start w:val="10"/>
    </w:lvl>
  </w:abstractNum>
  <w:abstractNum w:abstractNumId="44">
    <w:nsid w:val="754342"/>
    <w:multiLevelType w:val="hybridMultilevel"/>
    <w:lvl w:ilvl="0">
      <w:lvlJc w:val="left"/>
      <w:lvlText w:val="%1."/>
      <w:numFmt w:val="lowerRoman"/>
      <w:start w:val="1"/>
    </w:lvl>
  </w:abstractNum>
  <w:abstractNum w:abstractNumId="45">
    <w:nsid w:val="69E7F3E5"/>
    <w:multiLevelType w:val="hybridMultilevel"/>
    <w:lvl w:ilvl="0">
      <w:lvlJc w:val="left"/>
      <w:lvlText w:val="%1."/>
      <w:numFmt w:val="decimal"/>
      <w:start w:val="13"/>
    </w:lvl>
  </w:abstractNum>
  <w:abstractNum w:abstractNumId="46">
    <w:nsid w:val="2A6DE806"/>
    <w:multiLevelType w:val="hybridMultilevel"/>
    <w:lvl w:ilvl="0">
      <w:lvlJc w:val="left"/>
      <w:lvlText w:val="%1."/>
      <w:numFmt w:val="decimal"/>
      <w:start w:val="14"/>
    </w:lvl>
  </w:abstractNum>
  <w:abstractNum w:abstractNumId="47">
    <w:nsid w:val="1816F8C4"/>
    <w:multiLevelType w:val="hybridMultilevel"/>
    <w:lvl w:ilvl="0">
      <w:lvlJc w:val="left"/>
      <w:lvlText w:val="%1."/>
      <w:numFmt w:val="decimal"/>
      <w:start w:val="18"/>
    </w:lvl>
  </w:abstractNum>
  <w:abstractNum w:abstractNumId="48">
    <w:nsid w:val="37DF2233"/>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49">
    <w:nsid w:val="7AB49DAF"/>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50">
    <w:nsid w:val="759F82CD"/>
    <w:multiLevelType w:val="hybridMultilevel"/>
    <w:lvl w:ilvl="0">
      <w:lvlJc w:val="left"/>
      <w:lvlText w:val="%1."/>
      <w:numFmt w:val="decimal"/>
      <w:start w:val="1"/>
    </w:lvl>
    <w:lvl w:ilvl="1">
      <w:lvlJc w:val="left"/>
      <w:lvlText w:val="(%2)"/>
      <w:numFmt w:val="lowerLetter"/>
      <w:start w:val="1"/>
    </w:lvl>
  </w:abstractNum>
  <w:abstractNum w:abstractNumId="51">
    <w:nsid w:val="61E74EA3"/>
    <w:multiLevelType w:val="hybridMultilevel"/>
    <w:lvl w:ilvl="0">
      <w:lvlJc w:val="left"/>
      <w:lvlText w:val="%1."/>
      <w:numFmt w:val="decimal"/>
      <w:start w:val="3"/>
    </w:lvl>
  </w:abstractNum>
  <w:abstractNum w:abstractNumId="52">
    <w:nsid w:val="597B4D84"/>
    <w:multiLevelType w:val="hybridMultilevel"/>
    <w:lvl w:ilvl="0">
      <w:lvlJc w:val="left"/>
      <w:lvlText w:val="%1."/>
      <w:numFmt w:val="decimal"/>
      <w:start w:val="10"/>
    </w:lvl>
    <w:lvl w:ilvl="1">
      <w:lvlJc w:val="left"/>
      <w:lvlText w:val="(%2)"/>
      <w:numFmt w:val="lowerLetter"/>
      <w:start w:val="1"/>
    </w:lvl>
  </w:abstractNum>
  <w:abstractNum w:abstractNumId="53">
    <w:nsid w:val="F819E7F"/>
    <w:multiLevelType w:val="hybridMultilevel"/>
    <w:lvl w:ilvl="0">
      <w:lvlJc w:val="left"/>
      <w:lvlText w:val="(%1)"/>
      <w:numFmt w:val="lowerLetter"/>
      <w:start w:val="3"/>
    </w:lvl>
  </w:abstractNum>
  <w:abstractNum w:abstractNumId="54">
    <w:nsid w:val="57C7D42D"/>
    <w:multiLevelType w:val="hybridMultilevel"/>
    <w:lvl w:ilvl="0">
      <w:lvlJc w:val="left"/>
      <w:lvlText w:val="(%1)"/>
      <w:numFmt w:val="decimal"/>
      <w:start w:val="1"/>
    </w:lvl>
  </w:abstractNum>
  <w:abstractNum w:abstractNumId="55">
    <w:nsid w:val="312167AD"/>
    <w:multiLevelType w:val="hybridMultilevel"/>
    <w:lvl w:ilvl="0">
      <w:lvlJc w:val="left"/>
      <w:lvlText w:val="(%1)"/>
      <w:numFmt w:val="decimal"/>
      <w:start w:val="2"/>
    </w:lvl>
  </w:abstractNum>
  <w:abstractNum w:abstractNumId="56">
    <w:nsid w:val="631B64D4"/>
    <w:multiLevelType w:val="hybridMultilevel"/>
    <w:lvl w:ilvl="0">
      <w:lvlJc w:val="left"/>
      <w:lvlText w:val="%1."/>
      <w:numFmt w:val="decimal"/>
      <w:start w:val="1"/>
    </w:lvl>
    <w:lvl w:ilvl="1">
      <w:lvlJc w:val="left"/>
      <w:lvlText w:val="(%2)"/>
      <w:numFmt w:val="lowerLetter"/>
      <w:start w:val="1"/>
    </w:lvl>
  </w:abstractNum>
  <w:abstractNum w:abstractNumId="57">
    <w:nsid w:val="78B5E776"/>
    <w:multiLevelType w:val="hybridMultilevel"/>
    <w:lvl w:ilvl="0">
      <w:lvlJc w:val="left"/>
      <w:lvlText w:val="%1."/>
      <w:numFmt w:val="decimal"/>
      <w:start w:val="5"/>
    </w:lvl>
  </w:abstractNum>
  <w:abstractNum w:abstractNumId="58">
    <w:nsid w:val="75486E47"/>
    <w:multiLevelType w:val="hybridMultilevel"/>
    <w:lvl w:ilvl="0">
      <w:lvlJc w:val="left"/>
      <w:lvlText w:val="%1."/>
      <w:numFmt w:val="decimal"/>
      <w:start w:val="10"/>
    </w:lvl>
  </w:abstractNum>
  <w:abstractNum w:abstractNumId="59">
    <w:nsid w:val="6E534CDE"/>
    <w:multiLevelType w:val="hybridMultilevel"/>
    <w:lvl w:ilvl="0">
      <w:lvlJc w:val="left"/>
      <w:lvlText w:val="%1."/>
      <w:numFmt w:val="lowerRoman"/>
      <w:start w:val="1"/>
    </w:lvl>
  </w:abstractNum>
  <w:abstractNum w:abstractNumId="60">
    <w:nsid w:val="1A0DDE32"/>
    <w:multiLevelType w:val="hybridMultilevel"/>
    <w:lvl w:ilvl="0">
      <w:lvlJc w:val="left"/>
      <w:lvlText w:val="%1."/>
      <w:numFmt w:val="decimal"/>
      <w:start w:val="13"/>
    </w:lvl>
  </w:abstractNum>
  <w:abstractNum w:abstractNumId="61">
    <w:nsid w:val="65968C1C"/>
    <w:multiLevelType w:val="hybridMultilevel"/>
    <w:lvl w:ilvl="0">
      <w:lvlJc w:val="left"/>
      <w:lvlText w:val="%1."/>
      <w:numFmt w:val="decimal"/>
      <w:start w:val="14"/>
    </w:lvl>
  </w:abstractNum>
  <w:abstractNum w:abstractNumId="62">
    <w:nsid w:val="46263DEC"/>
    <w:multiLevelType w:val="hybridMultilevel"/>
    <w:lvl w:ilvl="0">
      <w:lvlJc w:val="left"/>
      <w:lvlText w:val="%1."/>
      <w:numFmt w:val="decimal"/>
      <w:start w:val="18"/>
    </w:lvl>
  </w:abstractNum>
  <w:abstractNum w:abstractNumId="63">
    <w:nsid w:val="260D8C4A"/>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64">
    <w:nsid w:val="73D4D3C4"/>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65">
    <w:nsid w:val="746F2E30"/>
    <w:multiLevelType w:val="hybridMultilevel"/>
    <w:lvl w:ilvl="0">
      <w:lvlJc w:val="left"/>
      <w:lvlText w:val="%1."/>
      <w:numFmt w:val="decimal"/>
      <w:start w:val="1"/>
    </w:lvl>
    <w:lvl w:ilvl="1">
      <w:lvlJc w:val="left"/>
      <w:lvlText w:val="(%2)"/>
      <w:numFmt w:val="lowerLetter"/>
      <w:start w:val="1"/>
    </w:lvl>
  </w:abstractNum>
  <w:abstractNum w:abstractNumId="66">
    <w:nsid w:val="6FDE8AF6"/>
    <w:multiLevelType w:val="hybridMultilevel"/>
    <w:lvl w:ilvl="0">
      <w:lvlJc w:val="left"/>
      <w:lvlText w:val="%1."/>
      <w:numFmt w:val="decimal"/>
      <w:start w:val="5"/>
    </w:lvl>
  </w:abstractNum>
  <w:abstractNum w:abstractNumId="67">
    <w:nsid w:val="3FC32E20"/>
    <w:multiLevelType w:val="hybridMultilevel"/>
    <w:lvl w:ilvl="0">
      <w:lvlJc w:val="left"/>
      <w:lvlText w:val="%1."/>
      <w:numFmt w:val="decimal"/>
      <w:start w:val="10"/>
    </w:lvl>
  </w:abstractNum>
  <w:abstractNum w:abstractNumId="68">
    <w:nsid w:val="49C0E823"/>
    <w:multiLevelType w:val="hybridMultilevel"/>
    <w:lvl w:ilvl="0">
      <w:lvlJc w:val="left"/>
      <w:lvlText w:val="%1."/>
      <w:numFmt w:val="lowerRoman"/>
      <w:start w:val="1"/>
    </w:lvl>
  </w:abstractNum>
  <w:abstractNum w:abstractNumId="69">
    <w:nsid w:val="14D53685"/>
    <w:multiLevelType w:val="hybridMultilevel"/>
    <w:lvl w:ilvl="0">
      <w:lvlJc w:val="left"/>
      <w:lvlText w:val="%1."/>
      <w:numFmt w:val="decimal"/>
      <w:start w:val="13"/>
    </w:lvl>
  </w:abstractNum>
  <w:abstractNum w:abstractNumId="70">
    <w:nsid w:val="230F856C"/>
    <w:multiLevelType w:val="hybridMultilevel"/>
    <w:lvl w:ilvl="0">
      <w:lvlJc w:val="left"/>
      <w:lvlText w:val="%1."/>
      <w:numFmt w:val="decimal"/>
      <w:start w:val="14"/>
    </w:lvl>
  </w:abstractNum>
  <w:abstractNum w:abstractNumId="71">
    <w:nsid w:val="6EAA85FB"/>
    <w:multiLevelType w:val="hybridMultilevel"/>
    <w:lvl w:ilvl="0">
      <w:lvlJc w:val="left"/>
      <w:lvlText w:val="%1."/>
      <w:numFmt w:val="decimal"/>
      <w:start w:val="18"/>
    </w:lvl>
  </w:abstractNum>
  <w:abstractNum w:abstractNumId="72">
    <w:nsid w:val="3F06ECB2"/>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73">
    <w:nsid w:val="3B594807"/>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74">
    <w:nsid w:val="6CAA2304"/>
    <w:multiLevelType w:val="hybridMultilevel"/>
    <w:lvl w:ilvl="0">
      <w:lvlJc w:val="left"/>
      <w:lvlText w:val="%1."/>
      <w:numFmt w:val="decimal"/>
      <w:start w:val="1"/>
    </w:lvl>
    <w:lvl w:ilvl="1">
      <w:lvlJc w:val="left"/>
      <w:lvlText w:val="(%2)"/>
      <w:numFmt w:val="lowerLetter"/>
      <w:start w:val="1"/>
    </w:lvl>
  </w:abstractNum>
  <w:abstractNum w:abstractNumId="75">
    <w:nsid w:val="3F7C2FF4"/>
    <w:multiLevelType w:val="hybridMultilevel"/>
    <w:lvl w:ilvl="0">
      <w:lvlJc w:val="left"/>
      <w:lvlText w:val="%1."/>
      <w:numFmt w:val="decimal"/>
      <w:start w:val="5"/>
    </w:lvl>
  </w:abstractNum>
  <w:abstractNum w:abstractNumId="76">
    <w:nsid w:val="25413BEC"/>
    <w:multiLevelType w:val="hybridMultilevel"/>
    <w:lvl w:ilvl="0">
      <w:lvlJc w:val="left"/>
      <w:lvlText w:val="%1."/>
      <w:numFmt w:val="decimal"/>
      <w:start w:val="10"/>
    </w:lvl>
    <w:lvl w:ilvl="1">
      <w:lvlJc w:val="left"/>
      <w:lvlText w:val="(%2)"/>
      <w:numFmt w:val="lowerLetter"/>
      <w:start w:val="1"/>
    </w:lvl>
  </w:abstractNum>
  <w:abstractNum w:abstractNumId="77">
    <w:nsid w:val="17180B0B"/>
    <w:multiLevelType w:val="hybridMultilevel"/>
    <w:lvl w:ilvl="0">
      <w:lvlJc w:val="left"/>
      <w:lvlText w:val="%1."/>
      <w:numFmt w:val="decimal"/>
      <w:start w:val="1"/>
    </w:lvl>
    <w:lvl w:ilvl="1">
      <w:lvlJc w:val="left"/>
      <w:lvlText w:val="(%2)"/>
      <w:numFmt w:val="lowerLetter"/>
      <w:start w:val="1"/>
    </w:lvl>
  </w:abstractNum>
  <w:abstractNum w:abstractNumId="78">
    <w:nsid w:val="579328B9"/>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79">
    <w:nsid w:val="5D205E20"/>
    <w:multiLevelType w:val="hybridMultilevel"/>
    <w:lvl w:ilvl="0">
      <w:lvlJc w:val="left"/>
      <w:lvlText w:val="(%1)"/>
      <w:numFmt w:val="decimal"/>
      <w:start w:val="12"/>
    </w:lvl>
    <w:lvl w:ilvl="1">
      <w:lvlJc w:val="left"/>
      <w:lvlText w:val="%2."/>
      <w:numFmt w:val="decimal"/>
      <w:start w:val="3"/>
    </w:lvl>
    <w:lvl w:ilvl="2">
      <w:lvlJc w:val="left"/>
      <w:lvlText w:val="(%3)"/>
      <w:numFmt w:val="lowerLetter"/>
      <w:start w:val="5"/>
    </w:lvl>
  </w:abstractNum>
  <w:abstractNum w:abstractNumId="80">
    <w:nsid w:val="11CCA8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1">
    <w:nsid w:val="4D32AB86"/>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82">
    <w:nsid w:val="3F07ACC3"/>
    <w:multiLevelType w:val="hybridMultilevel"/>
    <w:lvl w:ilvl="0">
      <w:lvlJc w:val="left"/>
      <w:lvlText w:val="%1."/>
      <w:numFmt w:val="decimal"/>
      <w:start w:val="6"/>
    </w:lvl>
  </w:abstractNum>
  <w:abstractNum w:abstractNumId="83">
    <w:nsid w:val="6B47F63E"/>
    <w:multiLevelType w:val="hybridMultilevel"/>
    <w:lvl w:ilvl="0">
      <w:lvlJc w:val="left"/>
      <w:lvlText w:val="%1"/>
      <w:numFmt w:val="decimal"/>
      <w:start w:val="1"/>
    </w:lvl>
    <w:lvl w:ilvl="1">
      <w:lvlJc w:val="left"/>
      <w:lvlText w:val="%2."/>
      <w:numFmt w:val="decimal"/>
      <w:start w:val="8"/>
    </w:lvl>
  </w:abstractNum>
  <w:abstractNum w:abstractNumId="84">
    <w:nsid w:val="5CB44A05"/>
    <w:multiLevelType w:val="hybridMultilevel"/>
    <w:lvl w:ilvl="0">
      <w:lvlJc w:val="left"/>
      <w:lvlText w:val="(%1)"/>
      <w:numFmt w:val="decimal"/>
      <w:start w:val="50"/>
    </w:lvl>
    <w:lvl w:ilvl="1">
      <w:lvlJc w:val="left"/>
      <w:lvlText w:val="%2."/>
      <w:numFmt w:val="decimal"/>
      <w:start w:val="9"/>
    </w:lvl>
  </w:abstractNum>
  <w:abstractNum w:abstractNumId="85">
    <w:nsid w:val="16CF80F1"/>
    <w:multiLevelType w:val="hybridMultilevel"/>
    <w:lvl w:ilvl="0">
      <w:lvlJc w:val="left"/>
      <w:lvlText w:val="%1"/>
      <w:numFmt w:val="lowerRoman"/>
      <w:start w:val="1"/>
    </w:lvl>
    <w:lvl w:ilvl="1">
      <w:lvlJc w:val="left"/>
      <w:lvlText w:val="%2."/>
      <w:numFmt w:val="decimal"/>
      <w:start w:val="15"/>
    </w:lvl>
    <w:lvl w:ilvl="2">
      <w:lvlJc w:val="left"/>
      <w:lvlText w:val="(%3)"/>
      <w:numFmt w:val="lowerLetter"/>
      <w:start w:val="1"/>
    </w:lvl>
  </w:abstractNum>
  <w:abstractNum w:abstractNumId="86">
    <w:nsid w:val="1C695DE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87">
    <w:nsid w:val="3FCFAED9"/>
    <w:multiLevelType w:val="hybridMultilevel"/>
    <w:lvl w:ilvl="0">
      <w:lvlJc w:val="left"/>
      <w:lvlText w:val="%1."/>
      <w:numFmt w:val="decimal"/>
      <w:start w:val="1"/>
    </w:lvl>
    <w:lvl w:ilvl="1">
      <w:lvlJc w:val="left"/>
      <w:lvlText w:val="(%2)"/>
      <w:numFmt w:val="lowerLetter"/>
      <w:start w:val="1"/>
    </w:lvl>
  </w:abstractNum>
  <w:abstractNum w:abstractNumId="88">
    <w:nsid w:val="F856867"/>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89">
    <w:nsid w:val="11B1CC33"/>
    <w:multiLevelType w:val="hybridMultilevel"/>
    <w:lvl w:ilvl="0">
      <w:lvlJc w:val="left"/>
      <w:lvlText w:val="(%1)"/>
      <w:numFmt w:val="decimal"/>
      <w:start w:val="12"/>
    </w:lvl>
    <w:lvl w:ilvl="1">
      <w:lvlJc w:val="left"/>
      <w:lvlText w:val="%2."/>
      <w:numFmt w:val="decimal"/>
      <w:start w:val="3"/>
    </w:lvl>
    <w:lvl w:ilvl="2">
      <w:lvlJc w:val="left"/>
      <w:lvlText w:val="(%3)"/>
      <w:numFmt w:val="lowerLetter"/>
      <w:start w:val="5"/>
    </w:lvl>
  </w:abstractNum>
  <w:abstractNum w:abstractNumId="90">
    <w:nsid w:val="2E22FB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1">
    <w:nsid w:val="29934699"/>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92">
    <w:nsid w:val="77485850"/>
    <w:multiLevelType w:val="hybridMultilevel"/>
    <w:lvl w:ilvl="0">
      <w:lvlJc w:val="left"/>
      <w:lvlText w:val="%1."/>
      <w:numFmt w:val="decimal"/>
      <w:start w:val="6"/>
    </w:lvl>
  </w:abstractNum>
  <w:abstractNum w:abstractNumId="93">
    <w:nsid w:val="744939A3"/>
    <w:multiLevelType w:val="hybridMultilevel"/>
    <w:lvl w:ilvl="0">
      <w:lvlJc w:val="left"/>
      <w:lvlText w:val="%1"/>
      <w:numFmt w:val="decimal"/>
      <w:start w:val="1"/>
    </w:lvl>
    <w:lvl w:ilvl="1">
      <w:lvlJc w:val="left"/>
      <w:lvlText w:val="%2."/>
      <w:numFmt w:val="decimal"/>
      <w:start w:val="7"/>
    </w:lvl>
  </w:abstractNum>
  <w:abstractNum w:abstractNumId="94">
    <w:nsid w:val="4FA0D2E3"/>
    <w:multiLevelType w:val="hybridMultilevel"/>
    <w:lvl w:ilvl="0">
      <w:lvlJc w:val="left"/>
      <w:lvlText w:val="(%1)"/>
      <w:numFmt w:val="decimal"/>
      <w:start w:val="50"/>
    </w:lvl>
    <w:lvl w:ilvl="1">
      <w:lvlJc w:val="left"/>
      <w:lvlText w:val="%2."/>
      <w:numFmt w:val="decimal"/>
      <w:start w:val="9"/>
    </w:lvl>
  </w:abstractNum>
  <w:abstractNum w:abstractNumId="95">
    <w:nsid w:val="6B1D2C14"/>
    <w:multiLevelType w:val="hybridMultilevel"/>
    <w:lvl w:ilvl="0">
      <w:lvlJc w:val="left"/>
      <w:lvlText w:val="%1."/>
      <w:numFmt w:val="decimal"/>
      <w:start w:val="13"/>
    </w:lvl>
  </w:abstractNum>
  <w:abstractNum w:abstractNumId="96">
    <w:nsid w:val="68B867D3"/>
    <w:multiLevelType w:val="hybridMultilevel"/>
    <w:lvl w:ilvl="0">
      <w:lvlJc w:val="left"/>
      <w:lvlText w:val="%1."/>
      <w:numFmt w:val="lowerRoman"/>
      <w:start w:val="1"/>
    </w:lvl>
  </w:abstractNum>
  <w:abstractNum w:abstractNumId="97">
    <w:nsid w:val="3F7F5DD9"/>
    <w:multiLevelType w:val="hybridMultilevel"/>
    <w:lvl w:ilvl="0">
      <w:lvlJc w:val="left"/>
      <w:lvlText w:val="%1."/>
      <w:numFmt w:val="decimal"/>
      <w:start w:val="16"/>
    </w:lvl>
  </w:abstractNum>
  <w:abstractNum w:abstractNumId="98">
    <w:nsid w:val="2AE05A34"/>
    <w:multiLevelType w:val="hybridMultilevel"/>
    <w:lvl w:ilvl="0">
      <w:lvlJc w:val="left"/>
      <w:lvlText w:val="%1."/>
      <w:numFmt w:val="decimal"/>
      <w:start w:val="17"/>
    </w:lvl>
  </w:abstractNum>
  <w:abstractNum w:abstractNumId="99">
    <w:nsid w:val="32794FF7"/>
    <w:multiLevelType w:val="hybridMultilevel"/>
    <w:lvl w:ilvl="0">
      <w:lvlJc w:val="left"/>
      <w:lvlText w:val="%1"/>
      <w:numFmt w:val="lowerRoman"/>
      <w:start w:val="1"/>
    </w:lvl>
    <w:lvl w:ilvl="1">
      <w:lvlJc w:val="left"/>
      <w:lvlText w:val="%2."/>
      <w:numFmt w:val="decimal"/>
      <w:start w:val="21"/>
    </w:lvl>
    <w:lvl w:ilvl="2">
      <w:lvlJc w:val="left"/>
      <w:lvlText w:val="(%3)"/>
      <w:numFmt w:val="lowerLetter"/>
      <w:start w:val="1"/>
    </w:lvl>
  </w:abstractNum>
  <w:abstractNum w:abstractNumId="100">
    <w:nsid w:val="5454945E"/>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01">
    <w:nsid w:val="4DEFDFA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2">
    <w:nsid w:val="2123D5F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03">
    <w:nsid w:val="135B811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04">
    <w:nsid w:val="94927A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05">
    <w:nsid w:val="DCDF8F6"/>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2"/>
    </w:lvl>
  </w:abstractNum>
  <w:abstractNum w:abstractNumId="106">
    <w:nsid w:val="52D7B105"/>
    <w:multiLevelType w:val="hybridMultilevel"/>
    <w:lvl w:ilvl="0">
      <w:lvlJc w:val="left"/>
      <w:lvlText w:val="%1."/>
      <w:numFmt w:val="decimal"/>
      <w:start w:val="6"/>
    </w:lvl>
  </w:abstractNum>
  <w:abstractNum w:abstractNumId="107">
    <w:nsid w:val="2E8A6394"/>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108">
    <w:nsid w:val="24E60401"/>
    <w:multiLevelType w:val="hybridMultilevel"/>
    <w:lvl w:ilvl="0">
      <w:lvlJc w:val="left"/>
      <w:lvlText w:val="(%1)"/>
      <w:numFmt w:val="decimal"/>
      <w:start w:val="50"/>
    </w:lvl>
    <w:lvl w:ilvl="1">
      <w:lvlJc w:val="left"/>
      <w:lvlText w:val="%2."/>
      <w:numFmt w:val="decimal"/>
      <w:start w:val="9"/>
    </w:lvl>
    <w:lvl w:ilvl="2">
      <w:lvlJc w:val="left"/>
      <w:lvlText w:val="(%3)"/>
      <w:numFmt w:val="lowerLetter"/>
      <w:start w:val="1"/>
    </w:lvl>
  </w:abstractNum>
  <w:abstractNum w:abstractNumId="109">
    <w:nsid w:val="2A6AD9BE"/>
    <w:multiLevelType w:val="hybridMultilevel"/>
    <w:lvl w:ilvl="0">
      <w:lvlJc w:val="left"/>
      <w:lvlText w:val="(%1)"/>
      <w:numFmt w:val="lowerLetter"/>
      <w:start w:val="2"/>
    </w:lvl>
  </w:abstractNum>
  <w:abstractNum w:abstractNumId="110">
    <w:nsid w:val="BAAC1B4"/>
    <w:multiLevelType w:val="hybridMultilevel"/>
    <w:lvl w:ilvl="0">
      <w:lvlJc w:val="left"/>
      <w:lvlText w:val="%1."/>
      <w:numFmt w:val="decimal"/>
      <w:start w:val="1"/>
    </w:lvl>
    <w:lvl w:ilvl="1">
      <w:lvlJc w:val="left"/>
      <w:lvlText w:val="(%2)"/>
      <w:numFmt w:val="lowerLetter"/>
      <w:start w:val="1"/>
    </w:lvl>
  </w:abstractNum>
  <w:abstractNum w:abstractNumId="111">
    <w:nsid w:val="36B2AC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12">
    <w:nsid w:val="779D8544"/>
    <w:multiLevelType w:val="hybridMultilevel"/>
    <w:lvl w:ilvl="0">
      <w:lvlJc w:val="left"/>
      <w:lvlText w:val="(%1)"/>
      <w:numFmt w:val="decimal"/>
      <w:start w:val="12"/>
    </w:lvl>
    <w:lvl w:ilvl="1">
      <w:lvlJc w:val="left"/>
      <w:lvlText w:val="%2."/>
      <w:numFmt w:val="decimal"/>
      <w:start w:val="3"/>
    </w:lvl>
    <w:lvl w:ilvl="2">
      <w:lvlJc w:val="left"/>
      <w:lvlText w:val="(%3)"/>
      <w:numFmt w:val="lowerLetter"/>
      <w:start w:val="6"/>
    </w:lvl>
  </w:abstractNum>
  <w:abstractNum w:abstractNumId="113">
    <w:nsid w:val="4AB26E7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4">
    <w:nsid w:val="21FAA2F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15">
    <w:nsid w:val="5451CF49"/>
    <w:multiLevelType w:val="hybridMultilevel"/>
    <w:lvl w:ilvl="0">
      <w:lvlJc w:val="left"/>
      <w:lvlText w:val="%1."/>
      <w:numFmt w:val="decimal"/>
      <w:start w:val="6"/>
    </w:lvl>
  </w:abstractNum>
  <w:abstractNum w:abstractNumId="116">
    <w:nsid w:val="6181EF69"/>
    <w:multiLevelType w:val="hybridMultilevel"/>
    <w:lvl w:ilvl="0">
      <w:lvlJc w:val="left"/>
      <w:lvlText w:val="%1"/>
      <w:numFmt w:val="lowerRoman"/>
      <w:start w:val="1"/>
    </w:lvl>
    <w:lvl w:ilvl="1">
      <w:lvlJc w:val="left"/>
      <w:lvlText w:val="%2."/>
      <w:numFmt w:val="decimal"/>
      <w:start w:val="13"/>
    </w:lvl>
    <w:lvl w:ilvl="2">
      <w:lvlJc w:val="left"/>
      <w:lvlText w:val="(%3)"/>
      <w:numFmt w:val="lowerLetter"/>
      <w:start w:val="1"/>
    </w:lvl>
  </w:abstractNum>
  <w:abstractNum w:abstractNumId="117">
    <w:nsid w:val="3E6400E6"/>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18">
    <w:nsid w:val="14217E23"/>
    <w:multiLevelType w:val="hybridMultilevel"/>
    <w:lvl w:ilvl="0">
      <w:lvlJc w:val="left"/>
      <w:lvlText w:val="(%1)"/>
      <w:numFmt w:val="decimal"/>
      <w:start w:val="1"/>
    </w:lvl>
  </w:abstractNum>
  <w:abstractNum w:abstractNumId="119">
    <w:nsid w:val="710757D0"/>
    <w:multiLevelType w:val="hybridMultilevel"/>
    <w:lvl w:ilvl="0">
      <w:lvlJc w:val="left"/>
      <w:lvlText w:val="(%1)"/>
      <w:numFmt w:val="decimal"/>
      <w:start w:val="2"/>
    </w:lvl>
  </w:abstractNum>
  <w:abstractNum w:abstractNumId="120">
    <w:nsid w:val="5015CD1A"/>
    <w:multiLevelType w:val="hybridMultilevel"/>
    <w:lvl w:ilvl="0">
      <w:lvlJc w:val="left"/>
      <w:lvlText w:val="%1."/>
      <w:numFmt w:val="decimal"/>
      <w:start w:val="1"/>
    </w:lvl>
  </w:abstractNum>
  <w:abstractNum w:abstractNumId="121">
    <w:nsid w:val="424479DA"/>
    <w:multiLevelType w:val="hybridMultilevel"/>
    <w:lvl w:ilvl="0">
      <w:lvlJc w:val="left"/>
      <w:lvlText w:val="(%1)"/>
      <w:numFmt w:val="lowerLetter"/>
      <w:start w:val="1"/>
    </w:lvl>
  </w:abstractNum>
  <w:abstractNum w:abstractNumId="122">
    <w:nsid w:val="1A9A9E69"/>
    <w:multiLevelType w:val="hybridMultilevel"/>
    <w:lvl w:ilvl="0">
      <w:lvlJc w:val="left"/>
      <w:lvlText w:val="%1."/>
      <w:numFmt w:val="decimal"/>
      <w:start w:val="3"/>
    </w:lvl>
  </w:abstractNum>
  <w:abstractNum w:abstractNumId="123">
    <w:nsid w:val="475E256A"/>
    <w:multiLevelType w:val="hybridMultilevel"/>
    <w:lvl w:ilvl="0">
      <w:lvlJc w:val="left"/>
      <w:lvlText w:val="%1."/>
      <w:numFmt w:val="decimal"/>
      <w:start w:val="11"/>
    </w:lvl>
  </w:abstractNum>
  <w:abstractNum w:abstractNumId="124">
    <w:nsid w:val="368DB37E"/>
    <w:multiLevelType w:val="hybridMultilevel"/>
    <w:lvl w:ilvl="0">
      <w:lvlJc w:val="left"/>
      <w:lvlText w:val="(%1)"/>
      <w:numFmt w:val="lowerLetter"/>
      <w:start w:val="1"/>
    </w:lvl>
  </w:abstractNum>
  <w:abstractNum w:abstractNumId="125">
    <w:nsid w:val="6A3B714C"/>
    <w:multiLevelType w:val="hybridMultilevel"/>
    <w:lvl w:ilvl="0">
      <w:lvlJc w:val="left"/>
      <w:lvlText w:val="%1"/>
      <w:numFmt w:val="lowerRoman"/>
      <w:start w:val="1"/>
    </w:lvl>
    <w:lvl w:ilvl="1">
      <w:lvlJc w:val="left"/>
      <w:lvlText w:val="(%2)"/>
      <w:numFmt w:val="lowerLetter"/>
      <w:start w:val="3"/>
    </w:lvl>
  </w:abstractNum>
  <w:abstractNum w:abstractNumId="126">
    <w:nsid w:val="327B517E"/>
    <w:multiLevelType w:val="hybridMultilevel"/>
    <w:lvl w:ilvl="0">
      <w:lvlJc w:val="left"/>
      <w:lvlText w:val="(%1)"/>
      <w:numFmt w:val="lowerRoman"/>
      <w:start w:val="4"/>
    </w:lvl>
    <w:lvl w:ilvl="1">
      <w:lvlJc w:val="left"/>
      <w:lvlText w:val="%2"/>
      <w:numFmt w:val="lowerLetter"/>
      <w:start w:val="1"/>
    </w:lvl>
  </w:abstractNum>
  <w:abstractNum w:abstractNumId="127">
    <w:nsid w:val="1F461B51"/>
    <w:multiLevelType w:val="hybridMultilevel"/>
    <w:lvl w:ilvl="0">
      <w:lvlJc w:val="left"/>
      <w:lvlText w:val="(%1)"/>
      <w:numFmt w:val="lowerRoman"/>
      <w:start w:val="1"/>
    </w:lvl>
  </w:abstractNum>
  <w:abstractNum w:abstractNumId="128">
    <w:nsid w:val="29BACF25"/>
    <w:multiLevelType w:val="hybridMultilevel"/>
    <w:lvl w:ilvl="0">
      <w:lvlJc w:val="left"/>
      <w:lvlText w:val="%1."/>
      <w:numFmt w:val="decimal"/>
      <w:start w:val="1"/>
    </w:lvl>
  </w:abstractNum>
  <w:abstractNum w:abstractNumId="129">
    <w:nsid w:val="5D5BABB3"/>
    <w:multiLevelType w:val="hybridMultilevel"/>
    <w:lvl w:ilvl="0">
      <w:lvlJc w:val="left"/>
      <w:lvlText w:val="(%1)"/>
      <w:numFmt w:val="lowerLetter"/>
      <w:start w:val="1"/>
    </w:lvl>
  </w:abstractNum>
  <w:abstractNum w:abstractNumId="130">
    <w:nsid w:val="51BF6B48"/>
    <w:multiLevelType w:val="hybridMultilevel"/>
    <w:lvl w:ilvl="0">
      <w:lvlJc w:val="left"/>
      <w:lvlText w:val="%1."/>
      <w:numFmt w:val="decimal"/>
      <w:start w:val="3"/>
    </w:lvl>
  </w:abstractNum>
  <w:abstractNum w:abstractNumId="131">
    <w:nsid w:val="7E0F6384"/>
    <w:multiLevelType w:val="hybridMultilevel"/>
    <w:lvl w:ilvl="0">
      <w:lvlJc w:val="left"/>
      <w:lvlText w:val="%1."/>
      <w:numFmt w:val="decimal"/>
      <w:start w:val="11"/>
    </w:lvl>
  </w:abstractNum>
  <w:abstractNum w:abstractNumId="132">
    <w:nsid w:val="2B4B8B53"/>
    <w:multiLevelType w:val="hybridMultilevel"/>
    <w:lvl w:ilvl="0">
      <w:lvlJc w:val="left"/>
      <w:lvlText w:val="(%1)"/>
      <w:numFmt w:val="lowerLetter"/>
      <w:start w:val="1"/>
    </w:lvl>
  </w:abstractNum>
  <w:abstractNum w:abstractNumId="133">
    <w:nsid w:val="72E3413A"/>
    <w:multiLevelType w:val="hybridMultilevel"/>
    <w:lvl w:ilvl="0">
      <w:lvlJc w:val="left"/>
      <w:lvlText w:val="%1"/>
      <w:numFmt w:val="lowerRoman"/>
      <w:start w:val="1"/>
    </w:lvl>
    <w:lvl w:ilvl="1">
      <w:lvlJc w:val="left"/>
      <w:lvlText w:val="(%2)"/>
      <w:numFmt w:val="lowerLetter"/>
      <w:start w:val="2"/>
    </w:lvl>
  </w:abstractNum>
  <w:abstractNum w:abstractNumId="134">
    <w:nsid w:val="116AE494"/>
    <w:multiLevelType w:val="hybridMultilevel"/>
    <w:lvl w:ilvl="0">
      <w:lvlJc w:val="left"/>
      <w:lvlText w:val="(%1)"/>
      <w:numFmt w:val="lowerRoman"/>
      <w:start w:val="4"/>
    </w:lvl>
    <w:lvl w:ilvl="1">
      <w:lvlJc w:val="left"/>
      <w:lvlText w:val="%2"/>
      <w:numFmt w:val="lowerLetter"/>
      <w:start w:val="1"/>
    </w:lvl>
  </w:abstractNum>
  <w:abstractNum w:abstractNumId="135">
    <w:nsid w:val="3494B2FB"/>
    <w:multiLevelType w:val="hybridMultilevel"/>
    <w:lvl w:ilvl="0">
      <w:lvlJc w:val="left"/>
      <w:lvlText w:val="(%1)"/>
      <w:numFmt w:val="lowerRoman"/>
      <w:start w:val="1"/>
    </w:lvl>
  </w:abstractNum>
  <w:abstractNum w:abstractNumId="136">
    <w:nsid w:val="B13A31"/>
    <w:multiLevelType w:val="hybridMultilevel"/>
    <w:lvl w:ilvl="0">
      <w:lvlJc w:val="left"/>
      <w:lvlText w:val="%1."/>
      <w:numFmt w:val="decimal"/>
      <w:start w:val="1"/>
    </w:lvl>
  </w:abstractNum>
  <w:abstractNum w:abstractNumId="137">
    <w:nsid w:val="64429599"/>
    <w:multiLevelType w:val="hybridMultilevel"/>
    <w:lvl w:ilvl="0">
      <w:lvlJc w:val="left"/>
      <w:lvlText w:val="(%1)"/>
      <w:numFmt w:val="lowerLetter"/>
      <w:start w:val="1"/>
    </w:lvl>
  </w:abstractNum>
  <w:abstractNum w:abstractNumId="138">
    <w:nsid w:val="631F1690"/>
    <w:multiLevelType w:val="hybridMultilevel"/>
    <w:lvl w:ilvl="0">
      <w:lvlJc w:val="left"/>
      <w:lvlText w:val="%1."/>
      <w:numFmt w:val="decimal"/>
      <w:start w:val="3"/>
    </w:lvl>
  </w:abstractNum>
  <w:abstractNum w:abstractNumId="139">
    <w:nsid w:val="25973E32"/>
    <w:multiLevelType w:val="hybridMultilevel"/>
    <w:lvl w:ilvl="0">
      <w:lvlJc w:val="left"/>
      <w:lvlText w:val="%1."/>
      <w:numFmt w:val="decimal"/>
      <w:start w:val="14"/>
    </w:lvl>
  </w:abstractNum>
  <w:abstractNum w:abstractNumId="140">
    <w:nsid w:val="EAD6F57"/>
    <w:multiLevelType w:val="hybridMultilevel"/>
    <w:lvl w:ilvl="0">
      <w:lvlJc w:val="left"/>
      <w:lvlText w:val="%1"/>
      <w:numFmt w:val="lowerRoman"/>
      <w:start w:val="1"/>
    </w:lvl>
    <w:lvl w:ilvl="1">
      <w:lvlJc w:val="left"/>
      <w:lvlText w:val="(%2)"/>
      <w:numFmt w:val="lowerLetter"/>
      <w:start w:val="1"/>
    </w:lvl>
  </w:abstractNum>
  <w:abstractNum w:abstractNumId="141">
    <w:nsid w:val="6EC9D844"/>
    <w:multiLevelType w:val="hybridMultilevel"/>
    <w:lvl w:ilvl="0">
      <w:lvlJc w:val="left"/>
      <w:lvlText w:val="(%1)"/>
      <w:numFmt w:val="lowerRoman"/>
      <w:start w:val="4"/>
    </w:lvl>
    <w:lvl w:ilvl="1">
      <w:lvlJc w:val="left"/>
      <w:lvlText w:val="%2"/>
      <w:numFmt w:val="lowerLetter"/>
      <w:start w:val="1"/>
    </w:lvl>
  </w:abstractNum>
  <w:abstractNum w:abstractNumId="142">
    <w:nsid w:val="5C49EAEE"/>
    <w:multiLevelType w:val="hybridMultilevel"/>
    <w:lvl w:ilvl="0">
      <w:lvlJc w:val="left"/>
      <w:lvlText w:val="(%1)"/>
      <w:numFmt w:val="lowerRoman"/>
      <w:start w:val="1"/>
    </w:lvl>
  </w:abstractNum>
  <w:abstractNum w:abstractNumId="143">
    <w:nsid w:val="64AF49B"/>
    <w:multiLevelType w:val="hybridMultilevel"/>
    <w:lvl w:ilvl="0">
      <w:lvlJc w:val="left"/>
      <w:lvlText w:val="%1."/>
      <w:numFmt w:val="decimal"/>
      <w:start w:val="1"/>
    </w:lvl>
  </w:abstractNum>
  <w:abstractNum w:abstractNumId="144">
    <w:nsid w:val="397C46BC"/>
    <w:multiLevelType w:val="hybridMultilevel"/>
    <w:lvl w:ilvl="0">
      <w:lvlJc w:val="left"/>
      <w:lvlText w:val="(%1)"/>
      <w:numFmt w:val="lowerLetter"/>
      <w:start w:val="1"/>
    </w:lvl>
  </w:abstractNum>
  <w:abstractNum w:abstractNumId="145">
    <w:nsid w:val="7E448DE9"/>
    <w:multiLevelType w:val="hybridMultilevel"/>
    <w:lvl w:ilvl="0">
      <w:lvlJc w:val="left"/>
      <w:lvlText w:val="%1."/>
      <w:numFmt w:val="decimal"/>
      <w:start w:val="3"/>
    </w:lvl>
  </w:abstractNum>
  <w:abstractNum w:abstractNumId="146">
    <w:nsid w:val="5A9CC3E5"/>
    <w:multiLevelType w:val="hybridMultilevel"/>
    <w:lvl w:ilvl="0">
      <w:lvlJc w:val="left"/>
      <w:lvlText w:val="%1."/>
      <w:numFmt w:val="decimal"/>
      <w:start w:val="14"/>
    </w:lvl>
  </w:abstractNum>
  <w:abstractNum w:abstractNumId="147">
    <w:nsid w:val="1AFE3625"/>
    <w:multiLevelType w:val="hybridMultilevel"/>
    <w:lvl w:ilvl="0">
      <w:lvlJc w:val="left"/>
      <w:lvlText w:val="%1"/>
      <w:numFmt w:val="lowerRoman"/>
      <w:start w:val="1"/>
    </w:lvl>
    <w:lvl w:ilvl="1">
      <w:lvlJc w:val="left"/>
      <w:lvlText w:val="(%2)"/>
      <w:numFmt w:val="lowerLetter"/>
      <w:start w:val="1"/>
    </w:lvl>
  </w:abstractNum>
  <w:abstractNum w:abstractNumId="148">
    <w:nsid w:val="3CA88ECF"/>
    <w:multiLevelType w:val="hybridMultilevel"/>
    <w:lvl w:ilvl="0">
      <w:lvlJc w:val="left"/>
      <w:lvlText w:val="(%1)"/>
      <w:numFmt w:val="lowerRoman"/>
      <w:start w:val="4"/>
    </w:lvl>
    <w:lvl w:ilvl="1">
      <w:lvlJc w:val="left"/>
      <w:lvlText w:val="%2"/>
      <w:numFmt w:val="lowerLetter"/>
      <w:start w:val="1"/>
    </w:lvl>
  </w:abstractNum>
  <w:abstractNum w:abstractNumId="149">
    <w:nsid w:val="6EBE4208"/>
    <w:multiLevelType w:val="hybridMultilevel"/>
    <w:lvl w:ilvl="0">
      <w:lvlJc w:val="left"/>
      <w:lvlText w:val="%1."/>
      <w:numFmt w:val="decimal"/>
      <w:start w:val="1"/>
    </w:lvl>
  </w:abstractNum>
  <w:abstractNum w:abstractNumId="150">
    <w:nsid w:val="C058DF5"/>
    <w:multiLevelType w:val="hybridMultilevel"/>
    <w:lvl w:ilvl="0">
      <w:lvlJc w:val="left"/>
      <w:lvlText w:val="(%1)"/>
      <w:numFmt w:val="lowerLetter"/>
      <w:start w:val="1"/>
    </w:lvl>
  </w:abstractNum>
  <w:abstractNum w:abstractNumId="151">
    <w:nsid w:val="CBE5BE9"/>
    <w:multiLevelType w:val="hybridMultilevel"/>
    <w:lvl w:ilvl="0">
      <w:lvlJc w:val="left"/>
      <w:lvlText w:val="(%1)"/>
      <w:numFmt w:val="lowerLetter"/>
      <w:start w:val="2"/>
    </w:lvl>
  </w:abstractNum>
  <w:abstractNum w:abstractNumId="152">
    <w:nsid w:val="3102BBE2"/>
    <w:multiLevelType w:val="hybridMultilevel"/>
    <w:lvl w:ilvl="0">
      <w:lvlJc w:val="left"/>
      <w:lvlText w:val="(%1)"/>
      <w:numFmt w:val="lowerRoman"/>
      <w:start w:val="1"/>
    </w:lvl>
  </w:abstractNum>
  <w:abstractNum w:abstractNumId="153">
    <w:nsid w:val="26A02C5E"/>
    <w:multiLevelType w:val="hybridMultilevel"/>
    <w:lvl w:ilvl="0">
      <w:lvlJc w:val="left"/>
      <w:lvlText w:val="%1."/>
      <w:numFmt w:val="decimal"/>
      <w:start w:val="1"/>
    </w:lvl>
    <w:lvl w:ilvl="1">
      <w:lvlJc w:val="left"/>
      <w:lvlText w:val="(%2)"/>
      <w:numFmt w:val="lowerLetter"/>
      <w:start w:val="1"/>
    </w:lvl>
  </w:abstractNum>
  <w:abstractNum w:abstractNumId="154">
    <w:nsid w:val="541C8153"/>
    <w:multiLevelType w:val="hybridMultilevel"/>
    <w:lvl w:ilvl="0">
      <w:lvlJc w:val="left"/>
      <w:lvlText w:val="(%1)"/>
      <w:numFmt w:val="lowerLetter"/>
      <w:start w:val="5"/>
    </w:lvl>
  </w:abstractNum>
  <w:abstractNum w:abstractNumId="155">
    <w:nsid w:val="67906F60"/>
    <w:multiLevelType w:val="hybridMultilevel"/>
    <w:lvl w:ilvl="0">
      <w:lvlJc w:val="left"/>
      <w:lvlText w:val="(%1)"/>
      <w:numFmt w:val="lowerLetter"/>
      <w:start w:val="6"/>
    </w:lvl>
  </w:abstractNum>
  <w:abstractNum w:abstractNumId="156">
    <w:nsid w:val="10DB9DAA"/>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57">
    <w:nsid w:val="697D2D2"/>
    <w:multiLevelType w:val="hybridMultilevel"/>
    <w:lvl w:ilvl="0">
      <w:lvlJc w:val="left"/>
      <w:lvlText w:val="(%1)"/>
      <w:numFmt w:val="decimal"/>
      <w:start w:val="50"/>
    </w:lvl>
    <w:lvl w:ilvl="1">
      <w:lvlJc w:val="left"/>
      <w:lvlText w:val="%2."/>
      <w:numFmt w:val="decimal"/>
      <w:start w:val="6"/>
    </w:lvl>
    <w:lvl w:ilvl="2">
      <w:lvlJc w:val="left"/>
      <w:lvlText w:val="%3"/>
      <w:numFmt w:val="lowerLetter"/>
      <w:start w:val="1"/>
    </w:lvl>
  </w:abstractNum>
  <w:abstractNum w:abstractNumId="158">
    <w:nsid w:val="6D68AB2"/>
    <w:multiLevelType w:val="hybridMultilevel"/>
    <w:lvl w:ilvl="0">
      <w:lvlJc w:val="left"/>
      <w:lvlText w:val="%1."/>
      <w:numFmt w:val="decimal"/>
      <w:start w:val="8"/>
    </w:lvl>
    <w:lvl w:ilvl="1">
      <w:lvlJc w:val="left"/>
      <w:lvlText w:val="(%2)"/>
      <w:numFmt w:val="lowerLetter"/>
      <w:start w:val="1"/>
    </w:lvl>
  </w:abstractNum>
  <w:abstractNum w:abstractNumId="159">
    <w:nsid w:val="3A966CD0"/>
    <w:multiLevelType w:val="hybridMultilevel"/>
    <w:lvl w:ilvl="0">
      <w:lvlJc w:val="left"/>
      <w:lvlText w:val="%1"/>
      <w:numFmt w:val="lowerRoman"/>
      <w:start w:val="1"/>
    </w:lvl>
    <w:lvl w:ilvl="1">
      <w:lvlJc w:val="left"/>
      <w:lvlText w:val="(%2)"/>
      <w:numFmt w:val="lowerLetter"/>
      <w:start w:val="3"/>
    </w:lvl>
  </w:abstractNum>
  <w:abstractNum w:abstractNumId="160">
    <w:nsid w:val="63F37E85"/>
    <w:multiLevelType w:val="hybridMultilevel"/>
    <w:lvl w:ilvl="0">
      <w:lvlJc w:val="left"/>
      <w:lvlText w:val="(%1)"/>
      <w:numFmt w:val="lowerRoman"/>
      <w:start w:val="4"/>
    </w:lvl>
    <w:lvl w:ilvl="1">
      <w:lvlJc w:val="left"/>
      <w:lvlText w:val="%2"/>
      <w:numFmt w:val="lowerLetter"/>
      <w:start w:val="1"/>
    </w:lvl>
  </w:abstractNum>
  <w:abstractNum w:abstractNumId="161">
    <w:nsid w:val="5895F5FA"/>
    <w:multiLevelType w:val="hybridMultilevel"/>
    <w:lvl w:ilvl="0">
      <w:lvlJc w:val="left"/>
      <w:lvlText w:val="%1."/>
      <w:numFmt w:val="decimal"/>
      <w:start w:val="1"/>
    </w:lvl>
    <w:lvl w:ilvl="1">
      <w:lvlJc w:val="left"/>
      <w:lvlText w:val="(%2)"/>
      <w:numFmt w:val="lowerLetter"/>
      <w:start w:val="1"/>
    </w:lvl>
  </w:abstractNum>
  <w:abstractNum w:abstractNumId="162">
    <w:nsid w:val="38A5D054"/>
    <w:multiLevelType w:val="hybridMultilevel"/>
    <w:lvl w:ilvl="0">
      <w:lvlJc w:val="left"/>
      <w:lvlText w:val="(%1)"/>
      <w:numFmt w:val="lowerLetter"/>
      <w:start w:val="5"/>
    </w:lvl>
  </w:abstractNum>
  <w:abstractNum w:abstractNumId="163">
    <w:nsid w:val="F3F09D8"/>
    <w:multiLevelType w:val="hybridMultilevel"/>
    <w:lvl w:ilvl="0">
      <w:lvlJc w:val="left"/>
      <w:lvlText w:val="%1."/>
      <w:numFmt w:val="decimal"/>
      <w:start w:val="3"/>
    </w:lvl>
  </w:abstractNum>
  <w:abstractNum w:abstractNumId="164">
    <w:nsid w:val="4B79373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5">
    <w:nsid w:val="4A10B4E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6">
    <w:nsid w:val="43D3BCD4"/>
    <w:multiLevelType w:val="hybridMultilevel"/>
    <w:lvl w:ilvl="0">
      <w:lvlJc w:val="left"/>
      <w:lvlText w:val="(%1)"/>
      <w:numFmt w:val="decimal"/>
      <w:start w:val="50"/>
    </w:lvl>
    <w:lvl w:ilvl="1">
      <w:lvlJc w:val="left"/>
      <w:lvlText w:val="%2."/>
      <w:numFmt w:val="decimal"/>
      <w:start w:val="6"/>
    </w:lvl>
    <w:lvl w:ilvl="2">
      <w:lvlJc w:val="left"/>
      <w:lvlText w:val="%3"/>
      <w:numFmt w:val="lowerLetter"/>
      <w:start w:val="1"/>
    </w:lvl>
  </w:abstractNum>
  <w:abstractNum w:abstractNumId="167">
    <w:nsid w:val="4C2A7166"/>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168">
    <w:nsid w:val="2E534A8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69">
    <w:nsid w:val="26F2D364"/>
    <w:multiLevelType w:val="hybridMultilevel"/>
    <w:lvl w:ilvl="0">
      <w:lvlJc w:val="left"/>
      <w:lvlText w:val="%1."/>
      <w:numFmt w:val="decimal"/>
      <w:start w:val="1"/>
    </w:lvl>
    <w:lvl w:ilvl="1">
      <w:lvlJc w:val="left"/>
      <w:lvlText w:val="(%2)"/>
      <w:numFmt w:val="lowerLetter"/>
      <w:start w:val="1"/>
    </w:lvl>
  </w:abstractNum>
  <w:abstractNum w:abstractNumId="170">
    <w:nsid w:val="71C1AF98"/>
    <w:multiLevelType w:val="hybridMultilevel"/>
    <w:lvl w:ilvl="0">
      <w:lvlJc w:val="left"/>
      <w:lvlText w:val="(%1)"/>
      <w:numFmt w:val="lowerLetter"/>
      <w:start w:val="5"/>
    </w:lvl>
  </w:abstractNum>
  <w:abstractNum w:abstractNumId="171">
    <w:nsid w:val="3D00B9D9"/>
    <w:multiLevelType w:val="hybridMultilevel"/>
    <w:lvl w:ilvl="0">
      <w:lvlJc w:val="left"/>
      <w:lvlText w:val="%1."/>
      <w:numFmt w:val="decimal"/>
      <w:start w:val="3"/>
    </w:lvl>
  </w:abstractNum>
  <w:abstractNum w:abstractNumId="172">
    <w:nsid w:val="15BCAB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3">
    <w:nsid w:val="4E0B9A87"/>
    <w:multiLevelType w:val="hybridMultilevel"/>
    <w:lvl w:ilvl="0">
      <w:lvlJc w:val="left"/>
      <w:lvlText w:val="(%1)"/>
      <w:numFmt w:val="decimal"/>
      <w:start w:val="24"/>
    </w:lvl>
    <w:lvl w:ilvl="1">
      <w:lvlJc w:val="left"/>
      <w:lvlText w:val="%2."/>
      <w:numFmt w:val="decimal"/>
      <w:start w:val="4"/>
    </w:lvl>
    <w:lvl w:ilvl="2">
      <w:lvlJc w:val="left"/>
      <w:lvlText w:val="%3"/>
      <w:numFmt w:val="lowerLetter"/>
      <w:start w:val="1"/>
    </w:lvl>
  </w:abstractNum>
  <w:abstractNum w:abstractNumId="174">
    <w:nsid w:val="434BAE75"/>
    <w:multiLevelType w:val="hybridMultilevel"/>
    <w:lvl w:ilvl="0">
      <w:lvlJc w:val="left"/>
      <w:lvlText w:val="(%1)"/>
      <w:numFmt w:val="decimal"/>
      <w:start w:val="50"/>
    </w:lvl>
    <w:lvl w:ilvl="1">
      <w:lvlJc w:val="left"/>
      <w:lvlText w:val="%2."/>
      <w:numFmt w:val="decimal"/>
      <w:start w:val="6"/>
    </w:lvl>
    <w:lvl w:ilvl="2">
      <w:lvlJc w:val="left"/>
      <w:lvlText w:val="%3"/>
      <w:numFmt w:val="lowerLetter"/>
      <w:start w:val="1"/>
    </w:lvl>
  </w:abstractNum>
  <w:abstractNum w:abstractNumId="175">
    <w:nsid w:val="4F38F265"/>
    <w:multiLevelType w:val="hybridMultilevel"/>
    <w:lvl w:ilvl="0">
      <w:lvlJc w:val="left"/>
      <w:lvlText w:val="%1."/>
      <w:numFmt w:val="decimal"/>
      <w:start w:val="12"/>
    </w:lvl>
    <w:lvl w:ilvl="1">
      <w:lvlJc w:val="left"/>
      <w:lvlText w:val="(%2)"/>
      <w:numFmt w:val="lowerLetter"/>
      <w:start w:val="1"/>
    </w:lvl>
  </w:abstractNum>
  <w:abstractNum w:abstractNumId="176">
    <w:nsid w:val="4C502870"/>
    <w:multiLevelType w:val="hybridMultilevel"/>
    <w:lvl w:ilvl="0">
      <w:lvlJc w:val="left"/>
      <w:lvlText w:val="%1."/>
      <w:numFmt w:val="decimal"/>
      <w:start w:val="1"/>
    </w:lvl>
    <w:lvl w:ilvl="1">
      <w:lvlJc w:val="left"/>
      <w:lvlText w:val="(%2)"/>
      <w:numFmt w:val="lowerLetter"/>
      <w:start w:val="1"/>
    </w:lvl>
  </w:abstractNum>
  <w:abstractNum w:abstractNumId="177">
    <w:nsid w:val="1DE8725A"/>
    <w:multiLevelType w:val="hybridMultilevel"/>
    <w:lvl w:ilvl="0">
      <w:lvlJc w:val="left"/>
      <w:lvlText w:val="(%1)"/>
      <w:numFmt w:val="lowerLetter"/>
      <w:start w:val="5"/>
    </w:lvl>
  </w:abstractNum>
  <w:abstractNum w:abstractNumId="178">
    <w:nsid w:val="6A37288A"/>
    <w:multiLevelType w:val="hybridMultilevel"/>
    <w:lvl w:ilvl="0">
      <w:lvlJc w:val="left"/>
      <w:lvlText w:val="%1."/>
      <w:numFmt w:val="decimal"/>
      <w:start w:val="3"/>
    </w:lvl>
  </w:abstractNum>
  <w:abstractNum w:abstractNumId="179">
    <w:nsid w:val="8F8B73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80">
    <w:nsid w:val="CA6B46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81">
    <w:nsid w:val="763CB680"/>
    <w:multiLevelType w:val="hybridMultilevel"/>
    <w:lvl w:ilvl="0">
      <w:lvlJc w:val="left"/>
      <w:lvlText w:val="(%1)"/>
      <w:numFmt w:val="decimal"/>
      <w:start w:val="50"/>
    </w:lvl>
    <w:lvl w:ilvl="1">
      <w:lvlJc w:val="left"/>
      <w:lvlText w:val="%2."/>
      <w:numFmt w:val="decimal"/>
      <w:start w:val="6"/>
    </w:lvl>
    <w:lvl w:ilvl="2">
      <w:lvlJc w:val="left"/>
      <w:lvlText w:val="%3"/>
      <w:numFmt w:val="lowerLetter"/>
      <w:start w:val="1"/>
    </w:lvl>
  </w:abstractNum>
  <w:abstractNum w:abstractNumId="182">
    <w:nsid w:val="15B71329"/>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183">
    <w:nsid w:val="3DA9704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84">
    <w:nsid w:val="1CDCE2DE"/>
    <w:multiLevelType w:val="hybridMultilevel"/>
    <w:lvl w:ilvl="0">
      <w:lvlJc w:val="left"/>
      <w:lvlText w:val="%1."/>
      <w:numFmt w:val="decimal"/>
      <w:start w:val="1"/>
    </w:lvl>
    <w:lvl w:ilvl="1">
      <w:lvlJc w:val="left"/>
      <w:lvlText w:val="(%2)"/>
      <w:numFmt w:val="lowerLetter"/>
      <w:start w:val="1"/>
    </w:lvl>
  </w:abstractNum>
  <w:abstractNum w:abstractNumId="185">
    <w:nsid w:val="69D3947C"/>
    <w:multiLevelType w:val="hybridMultilevel"/>
    <w:lvl w:ilvl="0">
      <w:lvlJc w:val="left"/>
      <w:lvlText w:val="(%1)"/>
      <w:numFmt w:val="lowerLetter"/>
      <w:start w:val="5"/>
    </w:lvl>
  </w:abstractNum>
  <w:abstractNum w:abstractNumId="186">
    <w:nsid w:val="2539DFA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87">
    <w:nsid w:val="2DB88089"/>
    <w:multiLevelType w:val="hybridMultilevel"/>
    <w:lvl w:ilvl="0">
      <w:lvlJc w:val="left"/>
      <w:lvlText w:val="(%1)"/>
      <w:numFmt w:val="decimal"/>
      <w:start w:val="50"/>
    </w:lvl>
    <w:lvl w:ilvl="1">
      <w:lvlJc w:val="left"/>
      <w:lvlText w:val="%2."/>
      <w:numFmt w:val="decimal"/>
      <w:start w:val="6"/>
    </w:lvl>
    <w:lvl w:ilvl="2">
      <w:lvlJc w:val="left"/>
      <w:lvlText w:val="%3"/>
      <w:numFmt w:val="lowerLetter"/>
      <w:start w:val="1"/>
    </w:lvl>
  </w:abstractNum>
  <w:abstractNum w:abstractNumId="188">
    <w:nsid w:val="706B674E"/>
    <w:multiLevelType w:val="hybridMultilevel"/>
    <w:lvl w:ilvl="0">
      <w:lvlJc w:val="left"/>
      <w:lvlText w:val="%1."/>
      <w:numFmt w:val="decimal"/>
      <w:start w:val="9"/>
    </w:lvl>
    <w:lvl w:ilvl="1">
      <w:lvlJc w:val="left"/>
      <w:lvlText w:val="(%2)"/>
      <w:numFmt w:val="lowerLetter"/>
      <w:start w:val="1"/>
    </w:lvl>
  </w:abstractNum>
  <w:abstractNum w:abstractNumId="189">
    <w:nsid w:val="2C106A57"/>
    <w:multiLevelType w:val="hybridMultilevel"/>
    <w:lvl w:ilvl="0">
      <w:lvlJc w:val="left"/>
      <w:lvlText w:val="(%1)"/>
      <w:numFmt w:val="lowerRoman"/>
      <w:start w:val="4"/>
    </w:lvl>
  </w:abstractNum>
  <w:abstractNum w:abstractNumId="190">
    <w:nsid w:val="684EED59"/>
    <w:multiLevelType w:val="hybridMultilevel"/>
    <w:lvl w:ilvl="0">
      <w:lvlJc w:val="left"/>
      <w:lvlText w:val="%1."/>
      <w:numFmt w:val="decimal"/>
      <w:start w:val="1"/>
    </w:lvl>
    <w:lvl w:ilvl="1">
      <w:lvlJc w:val="left"/>
      <w:lvlText w:val="(%2)"/>
      <w:numFmt w:val="lowerLetter"/>
      <w:start w:val="1"/>
    </w:lvl>
  </w:abstractNum>
  <w:abstractNum w:abstractNumId="191">
    <w:nsid w:val="545EE5D3"/>
    <w:multiLevelType w:val="hybridMultilevel"/>
    <w:lvl w:ilvl="0">
      <w:lvlJc w:val="left"/>
      <w:lvlText w:val="(%1)"/>
      <w:numFmt w:val="lowerLetter"/>
      <w:start w:val="5"/>
    </w:lvl>
  </w:abstractNum>
  <w:abstractNum w:abstractNumId="192">
    <w:nsid w:val="4A66051"/>
    <w:multiLevelType w:val="hybridMultilevel"/>
    <w:lvl w:ilvl="0">
      <w:lvlJc w:val="left"/>
      <w:lvlText w:val="%1."/>
      <w:numFmt w:val="decimal"/>
      <w:start w:val="3"/>
    </w:lvl>
  </w:abstractNum>
  <w:abstractNum w:abstractNumId="193">
    <w:nsid w:val="20F4BDA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4">
    <w:nsid w:val="639DEFA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95">
    <w:nsid w:val="501F9786"/>
    <w:multiLevelType w:val="hybridMultilevel"/>
    <w:lvl w:ilvl="0">
      <w:lvlJc w:val="left"/>
      <w:lvlText w:val="(%1)"/>
      <w:numFmt w:val="decimal"/>
      <w:start w:val="50"/>
    </w:lvl>
    <w:lvl w:ilvl="1">
      <w:lvlJc w:val="left"/>
      <w:lvlText w:val="%2."/>
      <w:numFmt w:val="decimal"/>
      <w:start w:val="6"/>
    </w:lvl>
    <w:lvl w:ilvl="2">
      <w:lvlJc w:val="left"/>
      <w:lvlText w:val="%3"/>
      <w:numFmt w:val="lowerLetter"/>
      <w:start w:val="1"/>
    </w:lvl>
  </w:abstractNum>
  <w:abstractNum w:abstractNumId="196">
    <w:nsid w:val="6B057295"/>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197">
    <w:nsid w:val="2771AC80"/>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98">
    <w:nsid w:val="1C4A08EC"/>
    <w:multiLevelType w:val="hybridMultilevel"/>
    <w:lvl w:ilvl="0">
      <w:lvlJc w:val="left"/>
      <w:lvlText w:val="%1."/>
      <w:numFmt w:val="decimal"/>
      <w:start w:val="1"/>
    </w:lvl>
    <w:lvl w:ilvl="1">
      <w:lvlJc w:val="left"/>
      <w:lvlText w:val="(%2)"/>
      <w:numFmt w:val="lowerLetter"/>
      <w:start w:val="1"/>
    </w:lvl>
  </w:abstractNum>
  <w:abstractNum w:abstractNumId="199">
    <w:nsid w:val="1958BD17"/>
    <w:multiLevelType w:val="hybridMultilevel"/>
    <w:lvl w:ilvl="0">
      <w:lvlJc w:val="left"/>
      <w:lvlText w:val="(%1)"/>
      <w:numFmt w:val="lowerLetter"/>
      <w:start w:val="2"/>
    </w:lvl>
  </w:abstractNum>
  <w:abstractNum w:abstractNumId="200">
    <w:nsid w:val="4E647FE4"/>
    <w:multiLevelType w:val="hybridMultilevel"/>
    <w:lvl w:ilvl="0">
      <w:lvlJc w:val="left"/>
      <w:lvlText w:val="(%1)"/>
      <w:numFmt w:val="lowerLetter"/>
      <w:start w:val="5"/>
    </w:lvl>
  </w:abstractNum>
  <w:abstractNum w:abstractNumId="201">
    <w:nsid w:val="E0BB885"/>
    <w:multiLevelType w:val="hybridMultilevel"/>
    <w:lvl w:ilvl="0">
      <w:lvlJc w:val="left"/>
      <w:lvlText w:val="%1."/>
      <w:numFmt w:val="decimal"/>
      <w:start w:val="3"/>
    </w:lvl>
    <w:lvl w:ilvl="1">
      <w:lvlJc w:val="left"/>
      <w:lvlText w:val="(%2)"/>
      <w:numFmt w:val="lowerLetter"/>
      <w:start w:val="1"/>
    </w:lvl>
  </w:abstractNum>
  <w:abstractNum w:abstractNumId="202">
    <w:nsid w:val="565976F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03">
    <w:nsid w:val="64212B8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04">
    <w:nsid w:val="5C17530C"/>
    <w:multiLevelType w:val="hybridMultilevel"/>
    <w:lvl w:ilvl="0">
      <w:lvlJc w:val="left"/>
      <w:lvlText w:val="(%1)"/>
      <w:numFmt w:val="decimal"/>
      <w:start w:val="50"/>
    </w:lvl>
    <w:lvl w:ilvl="1">
      <w:lvlJc w:val="left"/>
      <w:lvlText w:val="%2"/>
      <w:numFmt w:val="decimal"/>
      <w:start w:val="1"/>
    </w:lvl>
    <w:lvl w:ilvl="2">
      <w:lvlJc w:val="left"/>
      <w:lvlText w:val="%3"/>
      <w:numFmt w:val="lowerLetter"/>
      <w:start w:val="1"/>
    </w:lvl>
  </w:abstractNum>
  <w:abstractNum w:abstractNumId="205">
    <w:nsid w:val="19A52566"/>
    <w:multiLevelType w:val="hybridMultilevel"/>
    <w:lvl w:ilvl="0">
      <w:lvlJc w:val="left"/>
      <w:lvlText w:val="%1."/>
      <w:numFmt w:val="decimal"/>
      <w:start w:val="6"/>
    </w:lvl>
  </w:abstractNum>
  <w:abstractNum w:abstractNumId="206">
    <w:nsid w:val="335A1DF1"/>
    <w:multiLevelType w:val="hybridMultilevel"/>
    <w:lvl w:ilvl="0">
      <w:lvlJc w:val="left"/>
      <w:lvlText w:val="%1."/>
      <w:numFmt w:val="decimal"/>
      <w:start w:val="11"/>
    </w:lvl>
    <w:lvl w:ilvl="1">
      <w:lvlJc w:val="left"/>
      <w:lvlText w:val="(%2)"/>
      <w:numFmt w:val="lowerLetter"/>
      <w:start w:val="1"/>
    </w:lvl>
  </w:abstractNum>
  <w:abstractNum w:abstractNumId="207">
    <w:nsid w:val="28677B7C"/>
    <w:multiLevelType w:val="hybridMultilevel"/>
    <w:lvl w:ilvl="0">
      <w:lvlJc w:val="left"/>
      <w:lvlText w:val="%1"/>
      <w:numFmt w:val="lowerRoman"/>
      <w:start w:val="1"/>
    </w:lvl>
    <w:lvl w:ilvl="1">
      <w:lvlJc w:val="left"/>
      <w:lvlText w:val="(%2)"/>
      <w:numFmt w:val="lowerLetter"/>
      <w:start w:val="2"/>
    </w:lvl>
  </w:abstractNum>
  <w:abstractNum w:abstractNumId="208">
    <w:nsid w:val="378D97C0"/>
    <w:multiLevelType w:val="hybridMultilevel"/>
    <w:lvl w:ilvl="0">
      <w:lvlJc w:val="left"/>
      <w:lvlText w:val="(%1)"/>
      <w:numFmt w:val="lowerRoman"/>
      <w:start w:val="4"/>
    </w:lvl>
    <w:lvl w:ilvl="1">
      <w:lvlJc w:val="left"/>
      <w:lvlText w:val="%2"/>
      <w:numFmt w:val="lowerLetter"/>
      <w:start w:val="1"/>
    </w:lvl>
  </w:abstractNum>
  <w:abstractNum w:abstractNumId="209">
    <w:nsid w:val="1D91467C"/>
    <w:multiLevelType w:val="hybridMultilevel"/>
    <w:lvl w:ilvl="0">
      <w:lvlJc w:val="left"/>
      <w:lvlText w:val="%1."/>
      <w:numFmt w:val="decimal"/>
      <w:start w:val="1"/>
    </w:lvl>
    <w:lvl w:ilvl="1">
      <w:lvlJc w:val="left"/>
      <w:lvlText w:val="(%2)"/>
      <w:numFmt w:val="lowerLetter"/>
      <w:start w:val="1"/>
    </w:lvl>
  </w:abstractNum>
  <w:abstractNum w:abstractNumId="210">
    <w:nsid w:val="316032BB"/>
    <w:multiLevelType w:val="hybridMultilevel"/>
    <w:lvl w:ilvl="0">
      <w:lvlJc w:val="left"/>
      <w:lvlText w:val="(%1)"/>
      <w:numFmt w:val="lowerLetter"/>
      <w:start w:val="5"/>
    </w:lvl>
  </w:abstractNum>
  <w:abstractNum w:abstractNumId="211">
    <w:nsid w:val="44344C22"/>
    <w:multiLevelType w:val="hybridMultilevel"/>
    <w:lvl w:ilvl="0">
      <w:lvlJc w:val="left"/>
      <w:lvlText w:val="%1."/>
      <w:numFmt w:val="decimal"/>
      <w:start w:val="3"/>
    </w:lvl>
  </w:abstractNum>
  <w:abstractNum w:abstractNumId="212">
    <w:nsid w:val="13CDFC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3">
    <w:nsid w:val="471745E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14">
    <w:nsid w:val="1DDBC66"/>
    <w:multiLevelType w:val="hybridMultilevel"/>
    <w:lvl w:ilvl="0">
      <w:lvlJc w:val="left"/>
      <w:lvlText w:val="(%1)"/>
      <w:numFmt w:val="decimal"/>
      <w:start w:val="50"/>
    </w:lvl>
    <w:lvl w:ilvl="1">
      <w:lvlJc w:val="left"/>
      <w:lvlText w:val="%2."/>
      <w:numFmt w:val="decimal"/>
      <w:start w:val="6"/>
    </w:lvl>
    <w:lvl w:ilvl="2">
      <w:lvlJc w:val="left"/>
      <w:lvlText w:val="%3"/>
      <w:numFmt w:val="lowerLetter"/>
      <w:start w:val="1"/>
    </w:lvl>
  </w:abstractNum>
  <w:abstractNum w:abstractNumId="215">
    <w:nsid w:val="30AADFDA"/>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216">
    <w:nsid w:val="30EADA61"/>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17">
    <w:nsid w:val="27179C0B"/>
    <w:multiLevelType w:val="hybridMultilevel"/>
    <w:lvl w:ilvl="0">
      <w:lvlJc w:val="left"/>
      <w:lvlText w:val="%1."/>
      <w:numFmt w:val="decimal"/>
      <w:start w:val="1"/>
    </w:lvl>
    <w:lvl w:ilvl="1">
      <w:lvlJc w:val="left"/>
      <w:lvlText w:val="(%2)"/>
      <w:numFmt w:val="lowerLetter"/>
      <w:start w:val="1"/>
    </w:lvl>
  </w:abstractNum>
  <w:abstractNum w:abstractNumId="218">
    <w:nsid w:val="5E636063"/>
    <w:multiLevelType w:val="hybridMultilevel"/>
    <w:lvl w:ilvl="0">
      <w:lvlJc w:val="left"/>
      <w:lvlText w:val="%1"/>
      <w:numFmt w:val="decimal"/>
      <w:start w:val="1"/>
    </w:lvl>
    <w:lvl w:ilvl="1">
      <w:lvlJc w:val="left"/>
      <w:lvlText w:val="(%2)"/>
      <w:numFmt w:val="lowerLetter"/>
      <w:start w:val="4"/>
    </w:lvl>
  </w:abstractNum>
  <w:abstractNum w:abstractNumId="219">
    <w:nsid w:val="215641AF"/>
    <w:multiLevelType w:val="hybridMultilevel"/>
    <w:lvl w:ilvl="0">
      <w:lvlJc w:val="left"/>
      <w:lvlText w:val="%1."/>
      <w:numFmt w:val="decimal"/>
      <w:start w:val="4"/>
    </w:lvl>
    <w:lvl w:ilvl="1">
      <w:lvlJc w:val="left"/>
      <w:lvlText w:val="(%2)"/>
      <w:numFmt w:val="lowerLetter"/>
      <w:start w:val="1"/>
    </w:lvl>
  </w:abstractNum>
  <w:abstractNum w:abstractNumId="220">
    <w:nsid w:val="53280662"/>
    <w:multiLevelType w:val="hybridMultilevel"/>
    <w:lvl w:ilvl="0">
      <w:lvlJc w:val="left"/>
      <w:lvlText w:val="%1."/>
      <w:numFmt w:val="decimal"/>
      <w:start w:val="6"/>
    </w:lvl>
  </w:abstractNum>
  <w:abstractNum w:abstractNumId="221">
    <w:nsid w:val="46B24DBC"/>
    <w:multiLevelType w:val="hybridMultilevel"/>
    <w:lvl w:ilvl="0">
      <w:lvlJc w:val="left"/>
      <w:lvlText w:val="%1."/>
      <w:numFmt w:val="decimal"/>
      <w:start w:val="8"/>
    </w:lvl>
  </w:abstractNum>
  <w:abstractNum w:abstractNumId="222">
    <w:nsid w:val="75B52783"/>
    <w:multiLevelType w:val="hybridMultilevel"/>
    <w:lvl w:ilvl="0">
      <w:lvlJc w:val="left"/>
      <w:lvlText w:val="%1"/>
      <w:numFmt w:val="lowerRoman"/>
      <w:start w:val="1"/>
    </w:lvl>
    <w:lvl w:ilvl="1">
      <w:lvlJc w:val="left"/>
      <w:lvlText w:val="%2."/>
      <w:numFmt w:val="decimal"/>
      <w:start w:val="16"/>
    </w:lvl>
    <w:lvl w:ilvl="2">
      <w:lvlJc w:val="left"/>
      <w:lvlText w:val="(%3)"/>
      <w:numFmt w:val="lowerLetter"/>
      <w:start w:val="1"/>
    </w:lvl>
  </w:abstractNum>
  <w:abstractNum w:abstractNumId="223">
    <w:nsid w:val="57CE66B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24">
    <w:nsid w:val="67A70B69"/>
    <w:multiLevelType w:val="hybridMultilevel"/>
    <w:lvl w:ilvl="0">
      <w:lvlJc w:val="left"/>
      <w:lvlText w:val="(%1)"/>
      <w:numFmt w:val="decimal"/>
      <w:start w:val="1"/>
    </w:lvl>
  </w:abstractNum>
  <w:abstractNum w:abstractNumId="225">
    <w:nsid w:val="5953172F"/>
    <w:multiLevelType w:val="hybridMultilevel"/>
    <w:lvl w:ilvl="0">
      <w:lvlJc w:val="left"/>
      <w:lvlText w:val="%1."/>
      <w:numFmt w:val="decimal"/>
      <w:start w:val="1"/>
    </w:lvl>
  </w:abstractNum>
  <w:abstractNum w:abstractNumId="226">
    <w:nsid w:val="27EDFE3A"/>
    <w:multiLevelType w:val="hybridMultilevel"/>
    <w:lvl w:ilvl="0">
      <w:lvlJc w:val="left"/>
      <w:lvlText w:val="(%1)"/>
      <w:numFmt w:val="lowerLetter"/>
      <w:start w:val="1"/>
    </w:lvl>
  </w:abstractNum>
  <w:abstractNum w:abstractNumId="227">
    <w:nsid w:val="52AC7DFF"/>
    <w:multiLevelType w:val="hybridMultilevel"/>
    <w:lvl w:ilvl="0">
      <w:lvlJc w:val="left"/>
      <w:lvlText w:val="(%1)"/>
      <w:numFmt w:val="lowerLetter"/>
      <w:start w:val="2"/>
    </w:lvl>
  </w:abstractNum>
  <w:abstractNum w:abstractNumId="228">
    <w:nsid w:val="C4C3AF"/>
    <w:multiLevelType w:val="hybridMultilevel"/>
    <w:lvl w:ilvl="0">
      <w:lvlJc w:val="left"/>
      <w:lvlText w:val="(%1)"/>
      <w:numFmt w:val="lowerLetter"/>
      <w:start w:val="3"/>
    </w:lvl>
  </w:abstractNum>
  <w:abstractNum w:abstractNumId="229">
    <w:nsid w:val="44380727"/>
    <w:multiLevelType w:val="hybridMultilevel"/>
    <w:lvl w:ilvl="0">
      <w:lvlJc w:val="left"/>
      <w:lvlText w:val="%1."/>
      <w:numFmt w:val="decimal"/>
      <w:start w:val="5"/>
    </w:lvl>
    <w:lvl w:ilvl="1">
      <w:lvlJc w:val="left"/>
      <w:lvlText w:val="(%2)"/>
      <w:numFmt w:val="lowerLetter"/>
      <w:start w:val="1"/>
    </w:lvl>
  </w:abstractNum>
  <w:abstractNum w:abstractNumId="230">
    <w:nsid w:val="6C053B16"/>
    <w:multiLevelType w:val="hybridMultilevel"/>
    <w:lvl w:ilvl="0">
      <w:lvlJc w:val="left"/>
      <w:lvlText w:val="%1."/>
      <w:numFmt w:val="decimal"/>
      <w:start w:val="1"/>
    </w:lvl>
  </w:abstractNum>
  <w:abstractNum w:abstractNumId="231">
    <w:nsid w:val="4F294393"/>
    <w:multiLevelType w:val="hybridMultilevel"/>
    <w:lvl w:ilvl="0">
      <w:lvlJc w:val="left"/>
      <w:lvlText w:val="(%1)"/>
      <w:numFmt w:val="lowerLetter"/>
      <w:start w:val="1"/>
    </w:lvl>
  </w:abstractNum>
  <w:abstractNum w:abstractNumId="232">
    <w:nsid w:val="5243BFAC"/>
    <w:multiLevelType w:val="hybridMultilevel"/>
    <w:lvl w:ilvl="0">
      <w:lvlJc w:val="left"/>
      <w:lvlText w:val="(%1)"/>
      <w:numFmt w:val="lowerLetter"/>
      <w:start w:val="2"/>
    </w:lvl>
  </w:abstractNum>
  <w:abstractNum w:abstractNumId="233">
    <w:nsid w:val="425EB207"/>
    <w:multiLevelType w:val="hybridMultilevel"/>
    <w:lvl w:ilvl="0">
      <w:lvlJc w:val="left"/>
      <w:lvlText w:val="(%1)"/>
      <w:numFmt w:val="lowerLetter"/>
      <w:start w:val="3"/>
    </w:lvl>
  </w:abstractNum>
  <w:abstractNum w:abstractNumId="234">
    <w:nsid w:val="334A6F1F"/>
    <w:multiLevelType w:val="hybridMultilevel"/>
    <w:lvl w:ilvl="0">
      <w:lvlJc w:val="left"/>
      <w:lvlText w:val="%1."/>
      <w:numFmt w:val="decimal"/>
      <w:start w:val="5"/>
    </w:lvl>
    <w:lvl w:ilvl="1">
      <w:lvlJc w:val="left"/>
      <w:lvlText w:val="(%2)"/>
      <w:numFmt w:val="lowerLetter"/>
      <w:start w:val="1"/>
    </w:lvl>
  </w:abstractNum>
  <w:abstractNum w:abstractNumId="235">
    <w:nsid w:val="2E5B12B8"/>
    <w:multiLevelType w:val="hybridMultilevel"/>
    <w:lvl w:ilvl="0">
      <w:lvlJc w:val="left"/>
      <w:lvlText w:val="(%1)"/>
      <w:numFmt w:val="decimal"/>
      <w:start w:val="1"/>
    </w:lvl>
  </w:abstractNum>
  <w:abstractNum w:abstractNumId="236">
    <w:nsid w:val="5C03D76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18" Type="http://schemas.openxmlformats.org/officeDocument/2006/relationships/hyperlink" Target="http://www.sec.gov/Archives/edgar/data/49754/000004975418000003/din-12312017x10kxex31.htm" TargetMode="External"/><Relationship Id="rId19" Type="http://schemas.openxmlformats.org/officeDocument/2006/relationships/hyperlink" Target="http://www.sec.gov/Archives/edgar/data/49754/000004975418000003/din-12312017x10kx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2019-12-05T06:24:48Z</dcterms:created>
  <dcterms:modified xsi:type="dcterms:W3CDTF">2019-12-05T06:24:48Z</dcterms:modified>
</cp:coreProperties>
</file>