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ind w:right="460" w:firstLine="326"/>
        <w:spacing w:after="0" w:line="238" w:lineRule="auto"/>
        <w:tabs>
          <w:tab w:leader="none" w:pos="746"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jc w:val="center"/>
        <w:ind w:right="-79"/>
        <w:spacing w:after="0" w:line="216" w:lineRule="auto"/>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jc w:val="center"/>
        <w:ind w:right="-79"/>
        <w:spacing w:after="0" w:line="217" w:lineRule="auto"/>
        <w:rPr>
          <w:sz w:val="20"/>
          <w:szCs w:val="20"/>
          <w:color w:val="auto"/>
        </w:rPr>
      </w:pPr>
      <w:r>
        <w:rPr>
          <w:rFonts w:ascii="Times New Roman" w:cs="Times New Roman" w:eastAsia="Times New Roman" w:hAnsi="Times New Roman"/>
          <w:sz w:val="18"/>
          <w:szCs w:val="18"/>
          <w:b w:val="1"/>
          <w:bCs w:val="1"/>
          <w:color w:val="auto"/>
        </w:rPr>
        <w:t>OR</w:t>
      </w:r>
    </w:p>
    <w:p>
      <w:pPr>
        <w:ind w:left="720" w:hanging="394"/>
        <w:spacing w:after="0" w:line="220" w:lineRule="auto"/>
        <w:tabs>
          <w:tab w:leader="none" w:pos="7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216" w:lineRule="auto"/>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1934</w:t>
      </w:r>
    </w:p>
    <w:p>
      <w:pPr>
        <w:spacing w:after="0" w:line="1" w:lineRule="exact"/>
        <w:rPr>
          <w:sz w:val="24"/>
          <w:szCs w:val="24"/>
          <w:color w:val="auto"/>
        </w:rPr>
      </w:pPr>
    </w:p>
    <w:p>
      <w:pPr>
        <w:ind w:left="366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001-15283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1011555</wp:posOffset>
            </wp:positionH>
            <wp:positionV relativeFrom="paragraph">
              <wp:posOffset>0</wp:posOffset>
            </wp:positionV>
            <wp:extent cx="1438910" cy="7194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8910" cy="7194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0</wp:posOffset>
            </wp:positionV>
            <wp:extent cx="1438910" cy="719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8910" cy="7194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Dine Brands Global, Inc.</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 w:lineRule="exact"/>
        <w:rPr>
          <w:sz w:val="24"/>
          <w:szCs w:val="24"/>
          <w:color w:val="auto"/>
        </w:rPr>
      </w:pPr>
    </w:p>
    <w:tbl>
      <w:tblPr>
        <w:tblLayout w:type="fixed"/>
        <w:tblInd w:w="1860" w:type="dxa"/>
        <w:tblCellMar>
          <w:top w:w="0" w:type="dxa"/>
          <w:left w:w="0" w:type="dxa"/>
          <w:bottom w:w="0" w:type="dxa"/>
          <w:right w:w="0" w:type="dxa"/>
        </w:tblCellMar>
      </w:tblPr>
      <w:tr>
        <w:trPr>
          <w:trHeight w:val="210"/>
        </w:trPr>
        <w:tc>
          <w:tcPr>
            <w:tcW w:w="4680" w:type="dxa"/>
            <w:vAlign w:val="bottom"/>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40" w:type="dxa"/>
            <w:vAlign w:val="bottom"/>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95-3038279</w:t>
            </w:r>
          </w:p>
        </w:tc>
      </w:tr>
      <w:tr>
        <w:trPr>
          <w:trHeight w:val="210"/>
        </w:trPr>
        <w:tc>
          <w:tcPr>
            <w:tcW w:w="4680" w:type="dxa"/>
            <w:vAlign w:val="bottom"/>
          </w:tcPr>
          <w:p>
            <w:pPr>
              <w:jc w:val="center"/>
              <w:ind w:right="780"/>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2740" w:type="dxa"/>
            <w:vAlign w:val="bottom"/>
          </w:tcPr>
          <w:p>
            <w:pPr>
              <w:jc w:val="center"/>
              <w:ind w:left="340"/>
              <w:spacing w:after="0"/>
              <w:rPr>
                <w:sz w:val="20"/>
                <w:szCs w:val="20"/>
                <w:color w:val="auto"/>
              </w:rPr>
            </w:pPr>
            <w:r>
              <w:rPr>
                <w:rFonts w:ascii="Times New Roman" w:cs="Times New Roman" w:eastAsia="Times New Roman" w:hAnsi="Times New Roman"/>
                <w:sz w:val="16"/>
                <w:szCs w:val="16"/>
                <w:color w:val="auto"/>
                <w:w w:val="99"/>
              </w:rPr>
              <w:t>(I.R.S. Employer Identification No.)</w:t>
            </w:r>
          </w:p>
        </w:tc>
      </w:tr>
      <w:tr>
        <w:trPr>
          <w:trHeight w:val="213"/>
        </w:trPr>
        <w:tc>
          <w:tcPr>
            <w:tcW w:w="4680" w:type="dxa"/>
            <w:vAlign w:val="bottom"/>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8"/>
              </w:rPr>
              <w:t>10 West Walnut Street, 5th Floor</w:t>
            </w:r>
          </w:p>
        </w:tc>
        <w:tc>
          <w:tcPr>
            <w:tcW w:w="2740" w:type="dxa"/>
            <w:vAlign w:val="bottom"/>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91103</w:t>
            </w:r>
          </w:p>
        </w:tc>
      </w:tr>
      <w:tr>
        <w:trPr>
          <w:trHeight w:val="213"/>
        </w:trPr>
        <w:tc>
          <w:tcPr>
            <w:tcW w:w="4680" w:type="dxa"/>
            <w:vAlign w:val="bottom"/>
          </w:tcPr>
          <w:p>
            <w:pPr>
              <w:jc w:val="right"/>
              <w:ind w:right="2300"/>
              <w:spacing w:after="0"/>
              <w:rPr>
                <w:sz w:val="20"/>
                <w:szCs w:val="20"/>
                <w:color w:val="auto"/>
              </w:rPr>
            </w:pPr>
            <w:r>
              <w:rPr>
                <w:rFonts w:ascii="Times New Roman" w:cs="Times New Roman" w:eastAsia="Times New Roman" w:hAnsi="Times New Roman"/>
                <w:sz w:val="16"/>
                <w:szCs w:val="16"/>
                <w:b w:val="1"/>
                <w:bCs w:val="1"/>
                <w:color w:val="auto"/>
              </w:rPr>
              <w:t>Pasadena CA</w:t>
            </w:r>
          </w:p>
        </w:tc>
        <w:tc>
          <w:tcPr>
            <w:tcW w:w="2740" w:type="dxa"/>
            <w:vAlign w:val="bottom"/>
          </w:tcPr>
          <w:p>
            <w:pPr>
              <w:spacing w:after="0"/>
              <w:rPr>
                <w:sz w:val="18"/>
                <w:szCs w:val="18"/>
                <w:color w:val="auto"/>
              </w:rPr>
            </w:pPr>
          </w:p>
        </w:tc>
      </w:tr>
      <w:tr>
        <w:trPr>
          <w:trHeight w:val="213"/>
        </w:trPr>
        <w:tc>
          <w:tcPr>
            <w:tcW w:w="4680" w:type="dxa"/>
            <w:vAlign w:val="bottom"/>
          </w:tcPr>
          <w:p>
            <w:pPr>
              <w:jc w:val="center"/>
              <w:ind w:right="78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274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47"/>
        </w:trPr>
        <w:tc>
          <w:tcPr>
            <w:tcW w:w="468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27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0"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0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187"/>
        </w:trPr>
        <w:tc>
          <w:tcPr>
            <w:tcW w:w="4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tcPr>
          <w:p>
            <w:pPr>
              <w:jc w:val="center"/>
              <w:ind w:left="5"/>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
        </w:trPr>
        <w:tc>
          <w:tcPr>
            <w:tcW w:w="4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02"/>
        </w:trPr>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 $0.01 par value</w:t>
            </w:r>
          </w:p>
        </w:tc>
        <w:tc>
          <w:tcPr>
            <w:tcW w:w="180" w:type="dxa"/>
            <w:vAlign w:val="bottom"/>
          </w:tcPr>
          <w:p>
            <w:pPr>
              <w:spacing w:after="0"/>
              <w:rPr>
                <w:sz w:val="17"/>
                <w:szCs w:val="17"/>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DIN</w:t>
            </w: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253" w:lineRule="exact"/>
        <w:rPr>
          <w:sz w:val="24"/>
          <w:szCs w:val="24"/>
          <w:color w:val="auto"/>
        </w:rPr>
      </w:pPr>
    </w:p>
    <w:p>
      <w:pPr>
        <w:ind w:right="100" w:firstLine="320"/>
        <w:spacing w:after="0" w:line="229"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3" w:lineRule="exact"/>
        <w:rPr>
          <w:sz w:val="24"/>
          <w:szCs w:val="24"/>
          <w:color w:val="auto"/>
        </w:rPr>
      </w:pPr>
    </w:p>
    <w:p>
      <w:pPr>
        <w:ind w:right="120" w:firstLine="364"/>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80" w:firstLine="364"/>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1220" w:type="dxa"/>
        <w:tblCellMar>
          <w:top w:w="0" w:type="dxa"/>
          <w:left w:w="0" w:type="dxa"/>
          <w:bottom w:w="0" w:type="dxa"/>
          <w:right w:w="0" w:type="dxa"/>
        </w:tblCellMar>
      </w:tblPr>
      <w:tr>
        <w:trPr>
          <w:trHeight w:val="22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6" w:lineRule="exact"/>
        <w:rPr>
          <w:sz w:val="24"/>
          <w:szCs w:val="24"/>
          <w:color w:val="auto"/>
        </w:rPr>
      </w:pPr>
    </w:p>
    <w:p>
      <w:pPr>
        <w:ind w:right="300" w:firstLine="320"/>
        <w:spacing w:after="0" w:line="21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left="420" w:right="2320" w:hanging="88"/>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April 25, 2023, the Registrant had 15,663,733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510540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0000FF"/>
              </w:rPr>
              <w:t>PART I.</w:t>
            </w:r>
          </w:p>
        </w:tc>
        <w:tc>
          <w:tcPr>
            <w:tcW w:w="968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color w:val="0000FF"/>
              </w:rPr>
              <w:t>FINANCIAL INFORMATION</w:t>
            </w: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000" w:type="dxa"/>
            <w:vAlign w:val="bottom"/>
            <w:gridSpan w:val="2"/>
            <w:vMerge w:val="continue"/>
          </w:tcPr>
          <w:p>
            <w:pPr>
              <w:spacing w:after="0"/>
              <w:rPr>
                <w:sz w:val="14"/>
                <w:szCs w:val="14"/>
                <w:color w:val="auto"/>
              </w:rPr>
            </w:pPr>
          </w:p>
        </w:tc>
        <w:tc>
          <w:tcPr>
            <w:tcW w:w="9680" w:type="dxa"/>
            <w:vAlign w:val="bottom"/>
            <w:gridSpan w:val="20"/>
            <w:vMerge w:val="continue"/>
          </w:tcPr>
          <w:p>
            <w:pPr>
              <w:spacing w:after="0"/>
              <w:rPr>
                <w:sz w:val="14"/>
                <w:szCs w:val="14"/>
                <w:color w:val="auto"/>
              </w:rPr>
            </w:pPr>
          </w:p>
        </w:tc>
        <w:tc>
          <w:tcPr>
            <w:tcW w:w="52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6"/>
                <w:szCs w:val="16"/>
                <w:color w:val="0000FF"/>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20" w:type="dxa"/>
            <w:vAlign w:val="bottom"/>
            <w:tcBorders>
              <w:top w:val="single" w:sz="8" w:color="0000FF"/>
            </w:tcBorders>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9"/>
              </w:rPr>
              <w:t>Item 1—Financial Statements</w:t>
            </w:r>
          </w:p>
        </w:tc>
        <w:tc>
          <w:tcPr>
            <w:tcW w:w="80" w:type="dxa"/>
            <w:vAlign w:val="bottom"/>
            <w:tcBorders>
              <w:top w:val="single" w:sz="8" w:color="0000FF"/>
            </w:tcBorders>
          </w:tcPr>
          <w:p>
            <w:pPr>
              <w:spacing w:after="0"/>
              <w:rPr>
                <w:sz w:val="16"/>
                <w:szCs w:val="16"/>
                <w:color w:val="auto"/>
              </w:rPr>
            </w:pPr>
          </w:p>
        </w:tc>
        <w:tc>
          <w:tcPr>
            <w:tcW w:w="7680" w:type="dxa"/>
            <w:vAlign w:val="bottom"/>
            <w:gridSpan w:val="11"/>
          </w:tcPr>
          <w:p>
            <w:pPr>
              <w:spacing w:after="0"/>
              <w:rPr>
                <w:sz w:val="16"/>
                <w:szCs w:val="16"/>
                <w:color w:val="auto"/>
              </w:rPr>
            </w:pPr>
          </w:p>
        </w:tc>
        <w:tc>
          <w:tcPr>
            <w:tcW w:w="440" w:type="dxa"/>
            <w:vAlign w:val="bottom"/>
            <w:gridSpan w:val="2"/>
          </w:tcPr>
          <w:p>
            <w:pPr>
              <w:spacing w:after="0"/>
              <w:rPr>
                <w:sz w:val="16"/>
                <w:szCs w:val="16"/>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w w:val="99"/>
              </w:rPr>
              <w:t>Consolidated Balance Sheets - March 31, 2023 (unaudited) and December 31, 2022</w:t>
            </w:r>
          </w:p>
        </w:tc>
        <w:tc>
          <w:tcPr>
            <w:tcW w:w="4160" w:type="dxa"/>
            <w:vAlign w:val="bottom"/>
            <w:gridSpan w:val="5"/>
          </w:tcPr>
          <w:p>
            <w:pPr>
              <w:spacing w:after="0"/>
              <w:rPr>
                <w:sz w:val="16"/>
                <w:szCs w:val="16"/>
                <w:color w:val="auto"/>
              </w:rPr>
            </w:pPr>
          </w:p>
        </w:tc>
        <w:tc>
          <w:tcPr>
            <w:tcW w:w="44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w w:val="99"/>
              </w:rPr>
              <w:t>Consolidated Statements of Comprehensive Income (unaudited) - Three Months Ended March 31, 2023 and 2022</w:t>
            </w:r>
          </w:p>
        </w:tc>
        <w:tc>
          <w:tcPr>
            <w:tcW w:w="224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w w:val="99"/>
              </w:rPr>
              <w:t>Consolidated Statements of Stockholders' Deficit (unaudited) - Three Months Ended March 31, 2023 and 2022</w:t>
            </w:r>
          </w:p>
        </w:tc>
        <w:tc>
          <w:tcPr>
            <w:tcW w:w="2420" w:type="dxa"/>
            <w:vAlign w:val="bottom"/>
            <w:gridSpan w:val="2"/>
          </w:tcPr>
          <w:p>
            <w:pPr>
              <w:spacing w:after="0"/>
              <w:rPr>
                <w:sz w:val="16"/>
                <w:szCs w:val="16"/>
                <w:color w:val="auto"/>
              </w:rPr>
            </w:pPr>
          </w:p>
        </w:tc>
        <w:tc>
          <w:tcPr>
            <w:tcW w:w="44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 Three Months Ended March 31, 2023 and 2022</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5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3020" w:type="dxa"/>
            <w:vAlign w:val="bottom"/>
            <w:gridSpan w:val="3"/>
          </w:tcPr>
          <w:p>
            <w:pPr>
              <w:spacing w:after="0"/>
              <w:rPr>
                <w:sz w:val="16"/>
                <w:szCs w:val="16"/>
                <w:color w:val="auto"/>
              </w:rPr>
            </w:pPr>
          </w:p>
        </w:tc>
        <w:tc>
          <w:tcPr>
            <w:tcW w:w="440" w:type="dxa"/>
            <w:vAlign w:val="bottom"/>
            <w:gridSpan w:val="2"/>
          </w:tcPr>
          <w:p>
            <w:pPr>
              <w:spacing w:after="0"/>
              <w:rPr>
                <w:sz w:val="16"/>
                <w:szCs w:val="16"/>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w w:val="99"/>
              </w:rPr>
              <w:t>Item 2—Management’s Discussion and Analysis of Financial Condition and Results of Operations</w:t>
            </w:r>
          </w:p>
        </w:tc>
        <w:tc>
          <w:tcPr>
            <w:tcW w:w="336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8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Item 3—Quantitative and Qualitative Disclosures about Market Risk</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Item 4—Controls and Procedures</w:t>
            </w:r>
          </w:p>
        </w:tc>
        <w:tc>
          <w:tcPr>
            <w:tcW w:w="5280" w:type="dxa"/>
            <w:vAlign w:val="bottom"/>
            <w:gridSpan w:val="7"/>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rPr>
              <w:t>PART II.</w:t>
            </w:r>
          </w:p>
        </w:tc>
        <w:tc>
          <w:tcPr>
            <w:tcW w:w="21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7540" w:type="dxa"/>
            <w:vAlign w:val="bottom"/>
            <w:gridSpan w:val="10"/>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8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Item 1—Legal Proceedings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Item 1A—Risk Factors</w:t>
            </w:r>
          </w:p>
        </w:tc>
        <w:tc>
          <w:tcPr>
            <w:tcW w:w="260" w:type="dxa"/>
            <w:vAlign w:val="bottom"/>
            <w:tcBorders>
              <w:top w:val="single" w:sz="8" w:color="0000FF"/>
            </w:tcBorders>
            <w:gridSpan w:val="3"/>
          </w:tcPr>
          <w:p>
            <w:pPr>
              <w:spacing w:after="0"/>
              <w:rPr>
                <w:sz w:val="16"/>
                <w:szCs w:val="16"/>
                <w:color w:val="auto"/>
              </w:rPr>
            </w:pPr>
          </w:p>
        </w:tc>
        <w:tc>
          <w:tcPr>
            <w:tcW w:w="7920" w:type="dxa"/>
            <w:vAlign w:val="bottom"/>
            <w:gridSpan w:val="13"/>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8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Item 2—Unregistered Sales of Equity Securities and Use of Proceeds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Item 3—Defaults Upon Senior Securities</w:t>
            </w:r>
          </w:p>
        </w:tc>
        <w:tc>
          <w:tcPr>
            <w:tcW w:w="5240" w:type="dxa"/>
            <w:vAlign w:val="bottom"/>
            <w:tcBorders>
              <w:bottom w:val="single" w:sz="8" w:color="0000FF"/>
            </w:tcBorders>
            <w:gridSpan w:val="6"/>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8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Item 4—Mine Safety Disclosures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Item 5—Other Information</w:t>
            </w:r>
          </w:p>
        </w:tc>
        <w:tc>
          <w:tcPr>
            <w:tcW w:w="7540" w:type="dxa"/>
            <w:vAlign w:val="bottom"/>
            <w:gridSpan w:val="10"/>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Item 6—Exhibits</w:t>
            </w:r>
          </w:p>
        </w:tc>
        <w:tc>
          <w:tcPr>
            <w:tcW w:w="7940" w:type="dxa"/>
            <w:vAlign w:val="bottom"/>
            <w:gridSpan w:val="14"/>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420" w:type="dxa"/>
            <w:vAlign w:val="bottom"/>
            <w:tcBorders>
              <w:top w:val="single" w:sz="8" w:color="0000FF"/>
            </w:tcBorders>
          </w:tcPr>
          <w:p>
            <w:pPr>
              <w:spacing w:after="0"/>
              <w:rPr>
                <w:sz w:val="16"/>
                <w:szCs w:val="16"/>
                <w:color w:val="auto"/>
              </w:rPr>
            </w:pPr>
          </w:p>
        </w:tc>
        <w:tc>
          <w:tcPr>
            <w:tcW w:w="8580" w:type="dxa"/>
            <w:vAlign w:val="bottom"/>
            <w:gridSpan w:val="17"/>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5"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85"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7"/>
          <w:szCs w:val="17"/>
          <w:color w:val="auto"/>
        </w:rPr>
        <w:t>Factors that could cause actual results to differ materially from the projections, forecasts, estimates and expectations discussed in this Quarterly Report on Form 10-Q include, among other things: uncertainty regarding the duration and severity of the ongoing COVID-19 pandemic (including the emergence of variant strains) and its ultimate impact on our business;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and other matters in the “Risk Factors” section of this report and our Annual Report on Form 10-K for the fiscal year ended December 31, 2022 and in our other filings with the Securities and Exchange Commission, many of which are beyond our control.</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Fiscal Quarter End</w:t>
      </w:r>
    </w:p>
    <w:p>
      <w:pPr>
        <w:spacing w:after="0" w:line="11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2023 began on January 2, 2023 and ended on April 2, 2023. The first fiscal quarter of 2022 began on January 3, 2022 and ended on April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jc w:val="center"/>
        <w:ind w:right="-19"/>
        <w:spacing w:after="0" w:line="208" w:lineRule="auto"/>
        <w:rPr>
          <w:sz w:val="20"/>
          <w:szCs w:val="20"/>
          <w:color w:val="auto"/>
        </w:rPr>
      </w:pPr>
      <w:r>
        <w:rPr>
          <w:rFonts w:ascii="Times New Roman" w:cs="Times New Roman" w:eastAsia="Times New Roman" w:hAnsi="Times New Roman"/>
          <w:sz w:val="16"/>
          <w:szCs w:val="16"/>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60" w:type="dxa"/>
            <w:vAlign w:val="bottom"/>
          </w:tcPr>
          <w:p>
            <w:pPr>
              <w:spacing w:after="0"/>
              <w:rPr>
                <w:sz w:val="18"/>
                <w:szCs w:val="18"/>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07"/>
        </w:trPr>
        <w:tc>
          <w:tcPr>
            <w:tcW w:w="7680" w:type="dxa"/>
            <w:vAlign w:val="bottom"/>
          </w:tcPr>
          <w:p>
            <w:pPr>
              <w:ind w:left="35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269,655</w:t>
            </w:r>
          </w:p>
        </w:tc>
        <w:tc>
          <w:tcPr>
            <w:tcW w:w="0" w:type="dxa"/>
            <w:vAlign w:val="bottom"/>
          </w:tcPr>
          <w:p>
            <w:pPr>
              <w:spacing w:after="0"/>
              <w:rPr>
                <w:sz w:val="1"/>
                <w:szCs w:val="1"/>
                <w:color w:val="auto"/>
              </w:rPr>
            </w:pPr>
          </w:p>
        </w:tc>
      </w:tr>
      <w:tr>
        <w:trPr>
          <w:trHeight w:val="211"/>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of $4,587 (2023) and $4,806 (2022)</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119,981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38,929</w:t>
            </w:r>
          </w:p>
        </w:tc>
        <w:tc>
          <w:tcPr>
            <w:tcW w:w="0" w:type="dxa"/>
            <w:vAlign w:val="bottom"/>
          </w:tcPr>
          <w:p>
            <w:pPr>
              <w:spacing w:after="0"/>
              <w:rPr>
                <w:sz w:val="1"/>
                <w:szCs w:val="1"/>
                <w:color w:val="auto"/>
              </w:rPr>
            </w:pPr>
          </w:p>
        </w:tc>
      </w:tr>
      <w:tr>
        <w:trPr>
          <w:trHeight w:val="211"/>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gift card costs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30,235</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income taxes</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0" w:type="dxa"/>
            <w:vAlign w:val="bottom"/>
          </w:tcPr>
          <w:p>
            <w:pPr>
              <w:spacing w:after="0"/>
              <w:rPr>
                <w:sz w:val="1"/>
                <w:szCs w:val="1"/>
                <w:color w:val="auto"/>
              </w:rPr>
            </w:pPr>
          </w:p>
        </w:tc>
      </w:tr>
      <w:tr>
        <w:trPr>
          <w:trHeight w:val="211"/>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17,901</w:t>
            </w: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479,764</w:t>
            </w:r>
          </w:p>
        </w:tc>
        <w:tc>
          <w:tcPr>
            <w:tcW w:w="0" w:type="dxa"/>
            <w:vAlign w:val="bottom"/>
          </w:tcPr>
          <w:p>
            <w:pPr>
              <w:spacing w:after="0"/>
              <w:rPr>
                <w:sz w:val="1"/>
                <w:szCs w:val="1"/>
                <w:color w:val="auto"/>
              </w:rPr>
            </w:pP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145,277</w:t>
            </w:r>
          </w:p>
        </w:tc>
        <w:tc>
          <w:tcPr>
            <w:tcW w:w="0" w:type="dxa"/>
            <w:vAlign w:val="bottom"/>
          </w:tcPr>
          <w:p>
            <w:pPr>
              <w:spacing w:after="0"/>
              <w:rPr>
                <w:sz w:val="1"/>
                <w:szCs w:val="1"/>
                <w:color w:val="auto"/>
              </w:rPr>
            </w:pP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289,123</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rent receivable</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42,329</w:t>
            </w:r>
          </w:p>
        </w:tc>
        <w:tc>
          <w:tcPr>
            <w:tcW w:w="0" w:type="dxa"/>
            <w:vAlign w:val="bottom"/>
          </w:tcPr>
          <w:p>
            <w:pPr>
              <w:spacing w:after="0"/>
              <w:rPr>
                <w:sz w:val="1"/>
                <w:szCs w:val="1"/>
                <w:color w:val="auto"/>
              </w:rPr>
            </w:pP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 of $5,908 (2023) and $5,529 (2022)</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39,697</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253,956</w:t>
            </w:r>
          </w:p>
        </w:tc>
        <w:tc>
          <w:tcPr>
            <w:tcW w:w="0" w:type="dxa"/>
            <w:vAlign w:val="bottom"/>
          </w:tcPr>
          <w:p>
            <w:pPr>
              <w:spacing w:after="0"/>
              <w:rPr>
                <w:sz w:val="1"/>
                <w:szCs w:val="1"/>
                <w:color w:val="auto"/>
              </w:rPr>
            </w:pP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594,333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597,028</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17,917</w:t>
            </w:r>
          </w:p>
        </w:tc>
        <w:tc>
          <w:tcPr>
            <w:tcW w:w="0" w:type="dxa"/>
            <w:vAlign w:val="bottom"/>
          </w:tcPr>
          <w:p>
            <w:pPr>
              <w:spacing w:after="0"/>
              <w:rPr>
                <w:sz w:val="1"/>
                <w:szCs w:val="1"/>
                <w:color w:val="auto"/>
              </w:rPr>
            </w:pPr>
          </w:p>
        </w:tc>
      </w:tr>
      <w:tr>
        <w:trPr>
          <w:trHeight w:val="209"/>
        </w:trPr>
        <w:tc>
          <w:tcPr>
            <w:tcW w:w="7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1,758,069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1,881,491</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8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1"/>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52,067</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Gift card liability</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171,966</w:t>
            </w:r>
          </w:p>
        </w:tc>
        <w:tc>
          <w:tcPr>
            <w:tcW w:w="0" w:type="dxa"/>
            <w:vAlign w:val="bottom"/>
          </w:tcPr>
          <w:p>
            <w:pPr>
              <w:spacing w:after="0"/>
              <w:rPr>
                <w:sz w:val="1"/>
                <w:szCs w:val="1"/>
                <w:color w:val="auto"/>
              </w:rPr>
            </w:pPr>
          </w:p>
        </w:tc>
      </w:tr>
      <w:tr>
        <w:trPr>
          <w:trHeight w:val="211"/>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maturities of operating lease obligations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59,071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maturities of finance lease and financing obligations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7,542</w:t>
            </w:r>
          </w:p>
        </w:tc>
        <w:tc>
          <w:tcPr>
            <w:tcW w:w="0" w:type="dxa"/>
            <w:vAlign w:val="bottom"/>
          </w:tcPr>
          <w:p>
            <w:pPr>
              <w:spacing w:after="0"/>
              <w:rPr>
                <w:sz w:val="1"/>
                <w:szCs w:val="1"/>
                <w:color w:val="auto"/>
              </w:rPr>
            </w:pPr>
          </w:p>
        </w:tc>
      </w:tr>
      <w:tr>
        <w:trPr>
          <w:trHeight w:val="211"/>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23,456</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advertising expenses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24,157</w:t>
            </w:r>
          </w:p>
        </w:tc>
        <w:tc>
          <w:tcPr>
            <w:tcW w:w="0" w:type="dxa"/>
            <w:vAlign w:val="bottom"/>
          </w:tcPr>
          <w:p>
            <w:pPr>
              <w:spacing w:after="0"/>
              <w:rPr>
                <w:sz w:val="1"/>
                <w:szCs w:val="1"/>
                <w:color w:val="auto"/>
              </w:rPr>
            </w:pPr>
          </w:p>
        </w:tc>
      </w:tr>
      <w:tr>
        <w:trPr>
          <w:trHeight w:val="211"/>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payable</w:t>
            </w:r>
          </w:p>
        </w:tc>
        <w:tc>
          <w:tcPr>
            <w:tcW w:w="22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8,017</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24,446</w:t>
            </w:r>
          </w:p>
        </w:tc>
        <w:tc>
          <w:tcPr>
            <w:tcW w:w="0" w:type="dxa"/>
            <w:vAlign w:val="bottom"/>
          </w:tcPr>
          <w:p>
            <w:pPr>
              <w:spacing w:after="0"/>
              <w:rPr>
                <w:sz w:val="1"/>
                <w:szCs w:val="1"/>
                <w:color w:val="auto"/>
              </w:rPr>
            </w:pPr>
          </w:p>
        </w:tc>
      </w:tr>
      <w:tr>
        <w:trPr>
          <w:trHeight w:val="204"/>
        </w:trPr>
        <w:tc>
          <w:tcPr>
            <w:tcW w:w="7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470,722</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less current maturities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1,174,564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1,241,914</w:t>
            </w:r>
          </w:p>
        </w:tc>
        <w:tc>
          <w:tcPr>
            <w:tcW w:w="0" w:type="dxa"/>
            <w:vAlign w:val="bottom"/>
          </w:tcPr>
          <w:p>
            <w:pPr>
              <w:spacing w:after="0"/>
              <w:rPr>
                <w:sz w:val="1"/>
                <w:szCs w:val="1"/>
                <w:color w:val="auto"/>
              </w:rPr>
            </w:pP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maturities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275,120</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maturities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30,377</w:t>
            </w:r>
          </w:p>
        </w:tc>
        <w:tc>
          <w:tcPr>
            <w:tcW w:w="0" w:type="dxa"/>
            <w:vAlign w:val="bottom"/>
          </w:tcPr>
          <w:p>
            <w:pPr>
              <w:spacing w:after="0"/>
              <w:rPr>
                <w:sz w:val="1"/>
                <w:szCs w:val="1"/>
                <w:color w:val="auto"/>
              </w:rPr>
            </w:pP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obligations, less current maturities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28,358</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74,651</w:t>
            </w:r>
          </w:p>
        </w:tc>
        <w:tc>
          <w:tcPr>
            <w:tcW w:w="0" w:type="dxa"/>
            <w:vAlign w:val="bottom"/>
          </w:tcPr>
          <w:p>
            <w:pPr>
              <w:spacing w:after="0"/>
              <w:rPr>
                <w:sz w:val="1"/>
                <w:szCs w:val="1"/>
                <w:color w:val="auto"/>
              </w:rPr>
            </w:pP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42,343</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19,090</w:t>
            </w:r>
          </w:p>
        </w:tc>
        <w:tc>
          <w:tcPr>
            <w:tcW w:w="0" w:type="dxa"/>
            <w:vAlign w:val="bottom"/>
          </w:tcPr>
          <w:p>
            <w:pPr>
              <w:spacing w:after="0"/>
              <w:rPr>
                <w:sz w:val="1"/>
                <w:szCs w:val="1"/>
                <w:color w:val="auto"/>
              </w:rPr>
            </w:pPr>
          </w:p>
        </w:tc>
      </w:tr>
      <w:tr>
        <w:trPr>
          <w:trHeight w:val="204"/>
        </w:trPr>
        <w:tc>
          <w:tcPr>
            <w:tcW w:w="76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2,046,752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2,182,575</w:t>
            </w: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and outstanding</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7680" w:type="dxa"/>
            <w:vAlign w:val="bottom"/>
          </w:tcPr>
          <w:p>
            <w:pPr>
              <w:ind w:left="120"/>
              <w:spacing w:after="0" w:line="160" w:lineRule="exact"/>
              <w:rPr>
                <w:sz w:val="20"/>
                <w:szCs w:val="20"/>
                <w:color w:val="auto"/>
              </w:rPr>
            </w:pPr>
            <w:r>
              <w:rPr>
                <w:rFonts w:ascii="Times New Roman" w:cs="Times New Roman" w:eastAsia="Times New Roman" w:hAnsi="Times New Roman"/>
                <w:sz w:val="16"/>
                <w:szCs w:val="16"/>
                <w:color w:val="auto"/>
              </w:rPr>
              <w:t>Common stock, $0.01 par value; shares: 40,000,000 authorized; March 31, 2023 - 24,915,372 issued, 15,674,739</w:t>
            </w:r>
          </w:p>
        </w:tc>
        <w:tc>
          <w:tcPr>
            <w:tcW w:w="22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1"/>
        </w:trPr>
        <w:tc>
          <w:tcPr>
            <w:tcW w:w="7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 December 31, 2022 - 24,959,972 issued, 15,599,239 outstanding</w:t>
            </w:r>
          </w:p>
        </w:tc>
        <w:tc>
          <w:tcPr>
            <w:tcW w:w="2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259,339</w:t>
            </w:r>
          </w:p>
        </w:tc>
        <w:tc>
          <w:tcPr>
            <w:tcW w:w="0" w:type="dxa"/>
            <w:vAlign w:val="bottom"/>
          </w:tcPr>
          <w:p>
            <w:pPr>
              <w:spacing w:after="0"/>
              <w:rPr>
                <w:sz w:val="1"/>
                <w:szCs w:val="1"/>
                <w:color w:val="auto"/>
              </w:rPr>
            </w:pPr>
          </w:p>
        </w:tc>
      </w:tr>
      <w:tr>
        <w:trPr>
          <w:trHeight w:val="211"/>
        </w:trPr>
        <w:tc>
          <w:tcPr>
            <w:tcW w:w="7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84,538</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1"/>
        </w:trPr>
        <w:tc>
          <w:tcPr>
            <w:tcW w:w="7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Treasury stock, at cost; shares: March 31, 2023 - 9,240,633; December 31, 2022 - 9,360,733</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(640,986)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(645,146)</w:t>
            </w:r>
          </w:p>
        </w:tc>
        <w:tc>
          <w:tcPr>
            <w:tcW w:w="0" w:type="dxa"/>
            <w:vAlign w:val="bottom"/>
          </w:tcPr>
          <w:p>
            <w:pPr>
              <w:spacing w:after="0"/>
              <w:rPr>
                <w:sz w:val="1"/>
                <w:szCs w:val="1"/>
                <w:color w:val="auto"/>
              </w:rPr>
            </w:pPr>
          </w:p>
        </w:tc>
      </w:tr>
      <w:tr>
        <w:trPr>
          <w:trHeight w:val="207"/>
        </w:trPr>
        <w:tc>
          <w:tcPr>
            <w:tcW w:w="7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(288,683)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(301,084)</w:t>
            </w:r>
          </w:p>
        </w:tc>
        <w:tc>
          <w:tcPr>
            <w:tcW w:w="0" w:type="dxa"/>
            <w:vAlign w:val="bottom"/>
          </w:tcPr>
          <w:p>
            <w:pPr>
              <w:spacing w:after="0"/>
              <w:rPr>
                <w:sz w:val="1"/>
                <w:szCs w:val="1"/>
                <w:color w:val="auto"/>
              </w:rPr>
            </w:pPr>
          </w:p>
        </w:tc>
      </w:tr>
      <w:tr>
        <w:trPr>
          <w:trHeight w:val="209"/>
        </w:trPr>
        <w:tc>
          <w:tcPr>
            <w:tcW w:w="7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1,758,069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1,881,491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Royalties, franchise fees and other</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102,925</w:t>
            </w:r>
          </w:p>
        </w:tc>
        <w:tc>
          <w:tcPr>
            <w:tcW w:w="100" w:type="dxa"/>
            <w:vAlign w:val="bottom"/>
          </w:tcPr>
          <w:p>
            <w:pPr>
              <w:spacing w:after="0"/>
              <w:rPr>
                <w:sz w:val="18"/>
                <w:szCs w:val="18"/>
                <w:color w:val="auto"/>
              </w:rPr>
            </w:pP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Advertising revenues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77,037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franchise revenues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179,962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 restaurant sales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revenues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revenues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213,767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230,423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Advertising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Bad debt expense (credit)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franchise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franchise expenses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87,366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 restaurant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from finance leases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rental expenses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20,899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rental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Financing expenses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cost of revenues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110,151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103,616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41,548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Closure and impairment charges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(gain) on disposition of assets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net of tax:</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27,411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27,410</w:t>
            </w:r>
          </w:p>
        </w:tc>
        <w:tc>
          <w:tcPr>
            <w:tcW w:w="100" w:type="dxa"/>
            <w:vAlign w:val="bottom"/>
          </w:tcPr>
          <w:p>
            <w:pPr>
              <w:spacing w:after="0"/>
              <w:rPr>
                <w:sz w:val="18"/>
                <w:szCs w:val="18"/>
                <w:color w:val="auto"/>
              </w:rPr>
            </w:pP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Net income allocated to unvested participating restricted stock</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0" w:type="dxa"/>
            <w:vAlign w:val="bottom"/>
          </w:tcPr>
          <w:p>
            <w:pPr>
              <w:spacing w:after="0"/>
              <w:rPr>
                <w:sz w:val="1"/>
                <w:szCs w:val="1"/>
                <w:color w:val="auto"/>
              </w:rPr>
            </w:pPr>
          </w:p>
        </w:tc>
      </w:tr>
      <w:tr>
        <w:trPr>
          <w:trHeight w:val="209"/>
        </w:trPr>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26,731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8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 per share: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4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19"/>
                <w:szCs w:val="19"/>
                <w:color w:val="auto"/>
              </w:rPr>
            </w:pPr>
          </w:p>
        </w:tc>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200"/>
          </w:cols>
          <w:pgMar w:left="30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00" w:top="118" w:right="3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17"/>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7"/>
          </w:tcPr>
          <w:p>
            <w:pPr>
              <w:ind w:left="3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0" w:type="dxa"/>
            <w:vAlign w:val="bottom"/>
            <w:gridSpan w:val="8"/>
          </w:tcPr>
          <w:p>
            <w:pPr>
              <w:ind w:left="34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20"/>
              <w:spacing w:after="0" w:line="140"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180"/>
              <w:spacing w:after="0" w:line="140" w:lineRule="exact"/>
              <w:rPr>
                <w:sz w:val="20"/>
                <w:szCs w:val="20"/>
                <w:color w:val="auto"/>
              </w:rPr>
            </w:pPr>
            <w:r>
              <w:rPr>
                <w:rFonts w:ascii="Times New Roman" w:cs="Times New Roman" w:eastAsia="Times New Roman" w:hAnsi="Times New Roman"/>
                <w:sz w:val="16"/>
                <w:szCs w:val="16"/>
                <w:b w:val="1"/>
                <w:bCs w:val="1"/>
                <w:color w:val="auto"/>
              </w:rPr>
              <w:t>Other</w:t>
            </w: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5"/>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9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9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15,599,239</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259,339</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84,538</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9,360,733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(645,146)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(301,084)</w:t>
            </w:r>
          </w:p>
        </w:tc>
        <w:tc>
          <w:tcPr>
            <w:tcW w:w="0" w:type="dxa"/>
            <w:vAlign w:val="bottom"/>
          </w:tcPr>
          <w:p>
            <w:pPr>
              <w:spacing w:after="0"/>
              <w:rPr>
                <w:sz w:val="1"/>
                <w:szCs w:val="1"/>
                <w:color w:val="auto"/>
              </w:rPr>
            </w:pPr>
          </w:p>
        </w:tc>
      </w:tr>
      <w:tr>
        <w:trPr>
          <w:trHeight w:val="211"/>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expense</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(46,630)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194,960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1"/>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(7,926)</w:t>
            </w:r>
          </w:p>
        </w:tc>
        <w:tc>
          <w:tcPr>
            <w:tcW w:w="0" w:type="dxa"/>
            <w:vAlign w:val="bottom"/>
          </w:tcPr>
          <w:p>
            <w:pPr>
              <w:spacing w:after="0"/>
              <w:rPr>
                <w:sz w:val="1"/>
                <w:szCs w:val="1"/>
                <w:color w:val="auto"/>
              </w:rPr>
            </w:pPr>
          </w:p>
        </w:tc>
      </w:tr>
      <w:tr>
        <w:trPr>
          <w:trHeight w:val="160"/>
        </w:trPr>
        <w:tc>
          <w:tcPr>
            <w:tcW w:w="340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20" w:type="dxa"/>
            <w:vAlign w:val="bottom"/>
          </w:tcPr>
          <w:p>
            <w:pPr>
              <w:spacing w:after="0"/>
              <w:rPr>
                <w:sz w:val="13"/>
                <w:szCs w:val="13"/>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0" w:type="dxa"/>
            <w:vAlign w:val="bottom"/>
          </w:tcPr>
          <w:p>
            <w:pPr>
              <w:spacing w:after="0"/>
              <w:rPr>
                <w:sz w:val="1"/>
                <w:szCs w:val="1"/>
                <w:color w:val="auto"/>
              </w:rPr>
            </w:pPr>
          </w:p>
        </w:tc>
      </w:tr>
      <w:tr>
        <w:trPr>
          <w:trHeight w:val="211"/>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15,674,739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248,187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103,931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9,240,633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(640,986)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(288,683)</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3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7"/>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7"/>
          </w:tcPr>
          <w:p>
            <w:pPr>
              <w:ind w:left="3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0" w:type="dxa"/>
            <w:vAlign w:val="bottom"/>
            <w:gridSpan w:val="8"/>
          </w:tcPr>
          <w:p>
            <w:pPr>
              <w:ind w:left="34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34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60"/>
              <w:spacing w:after="0" w:line="140"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200"/>
              <w:spacing w:after="0" w:line="140" w:lineRule="exact"/>
              <w:rPr>
                <w:sz w:val="20"/>
                <w:szCs w:val="20"/>
                <w:color w:val="auto"/>
              </w:rPr>
            </w:pPr>
            <w:r>
              <w:rPr>
                <w:rFonts w:ascii="Times New Roman" w:cs="Times New Roman" w:eastAsia="Times New Roman" w:hAnsi="Times New Roman"/>
                <w:sz w:val="16"/>
                <w:szCs w:val="16"/>
                <w:b w:val="1"/>
                <w:bCs w:val="1"/>
                <w:color w:val="auto"/>
              </w:rPr>
              <w:t>Other</w:t>
            </w:r>
          </w:p>
        </w:tc>
        <w:tc>
          <w:tcPr>
            <w:tcW w:w="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5"/>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9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17,163,946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256,189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7,828,329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(534,602)</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(242,807)</w:t>
            </w:r>
          </w:p>
        </w:tc>
        <w:tc>
          <w:tcPr>
            <w:tcW w:w="0" w:type="dxa"/>
            <w:vAlign w:val="bottom"/>
          </w:tcPr>
          <w:p>
            <w:pPr>
              <w:spacing w:after="0"/>
              <w:rPr>
                <w:sz w:val="1"/>
                <w:szCs w:val="1"/>
                <w:color w:val="auto"/>
              </w:rPr>
            </w:pPr>
          </w:p>
        </w:tc>
      </w:tr>
      <w:tr>
        <w:trPr>
          <w:trHeight w:val="211"/>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(22,972)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171,302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(588,108)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(41,445)</w:t>
            </w:r>
          </w:p>
        </w:tc>
        <w:tc>
          <w:tcPr>
            <w:tcW w:w="0" w:type="dxa"/>
            <w:vAlign w:val="bottom"/>
          </w:tcPr>
          <w:p>
            <w:pPr>
              <w:spacing w:after="0"/>
              <w:rPr>
                <w:sz w:val="1"/>
                <w:szCs w:val="1"/>
                <w:color w:val="auto"/>
              </w:rPr>
            </w:pPr>
          </w:p>
        </w:tc>
      </w:tr>
      <w:tr>
        <w:trPr>
          <w:trHeight w:val="211"/>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on common stock</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(7,653)</w:t>
            </w:r>
          </w:p>
        </w:tc>
        <w:tc>
          <w:tcPr>
            <w:tcW w:w="0" w:type="dxa"/>
            <w:vAlign w:val="bottom"/>
          </w:tcPr>
          <w:p>
            <w:pPr>
              <w:spacing w:after="0"/>
              <w:rPr>
                <w:sz w:val="1"/>
                <w:szCs w:val="1"/>
                <w:color w:val="auto"/>
              </w:rPr>
            </w:pPr>
          </w:p>
        </w:tc>
      </w:tr>
      <w:tr>
        <w:trPr>
          <w:trHeight w:val="160"/>
        </w:trPr>
        <w:tc>
          <w:tcPr>
            <w:tcW w:w="34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2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0" w:type="dxa"/>
            <w:vAlign w:val="bottom"/>
          </w:tcPr>
          <w:p>
            <w:pPr>
              <w:spacing w:after="0"/>
              <w:rPr>
                <w:sz w:val="1"/>
                <w:szCs w:val="1"/>
                <w:color w:val="auto"/>
              </w:rPr>
            </w:pPr>
          </w:p>
        </w:tc>
      </w:tr>
      <w:tr>
        <w:trPr>
          <w:trHeight w:val="211"/>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stock units</w:t>
            </w:r>
          </w:p>
        </w:tc>
        <w:tc>
          <w:tcPr>
            <w:tcW w:w="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16,746,028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250,150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52,516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8,245,135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(568,028)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(265,172)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6"/>
        </w:trPr>
        <w:tc>
          <w:tcPr>
            <w:tcW w:w="8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r>
      <w:tr>
        <w:trPr>
          <w:trHeight w:val="206"/>
        </w:trPr>
        <w:tc>
          <w:tcPr>
            <w:tcW w:w="8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24,850</w:t>
            </w:r>
          </w:p>
        </w:tc>
      </w:tr>
      <w:tr>
        <w:trPr>
          <w:trHeight w:val="211"/>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cash flows provided by (used in) operating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9,938</w:t>
            </w:r>
          </w:p>
        </w:tc>
      </w:tr>
      <w:tr>
        <w:trPr>
          <w:trHeight w:val="211"/>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closure and impairment charges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6"/>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w:t>
            </w:r>
          </w:p>
        </w:tc>
      </w:tr>
      <w:tr>
        <w:trPr>
          <w:trHeight w:val="211"/>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16"/>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r>
      <w:tr>
        <w:trPr>
          <w:trHeight w:val="216"/>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r>
      <w:tr>
        <w:trPr>
          <w:trHeight w:val="211"/>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Loss (gain) on disposition of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r>
      <w:tr>
        <w:trPr>
          <w:trHeight w:val="216"/>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w:t>
            </w:r>
          </w:p>
        </w:tc>
      </w:tr>
      <w:tr>
        <w:trPr>
          <w:trHeight w:val="211"/>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w:t>
            </w:r>
          </w:p>
        </w:tc>
      </w:tr>
      <w:tr>
        <w:trPr>
          <w:trHeight w:val="211"/>
        </w:trPr>
        <w:tc>
          <w:tcPr>
            <w:tcW w:w="87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rent receivable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w:t>
            </w:r>
          </w:p>
        </w:tc>
      </w:tr>
      <w:tr>
        <w:trPr>
          <w:trHeight w:val="216"/>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Current income tax receivables and payables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w:t>
            </w:r>
          </w:p>
        </w:tc>
      </w:tr>
      <w:tr>
        <w:trPr>
          <w:trHeight w:val="211"/>
        </w:trPr>
        <w:tc>
          <w:tcPr>
            <w:tcW w:w="87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Gift card receivables and payables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r>
      <w:tr>
        <w:trPr>
          <w:trHeight w:val="216"/>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w:t>
            </w:r>
          </w:p>
        </w:tc>
      </w:tr>
      <w:tr>
        <w:trPr>
          <w:trHeight w:val="211"/>
        </w:trPr>
        <w:tc>
          <w:tcPr>
            <w:tcW w:w="87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(11,683)</w:t>
            </w:r>
          </w:p>
        </w:tc>
      </w:tr>
      <w:tr>
        <w:trPr>
          <w:trHeight w:val="216"/>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w:t>
            </w:r>
          </w:p>
        </w:tc>
      </w:tr>
      <w:tr>
        <w:trPr>
          <w:trHeight w:val="211"/>
        </w:trPr>
        <w:tc>
          <w:tcPr>
            <w:tcW w:w="87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(26,646)</w:t>
            </w:r>
          </w:p>
        </w:tc>
      </w:tr>
      <w:tr>
        <w:trPr>
          <w:trHeight w:val="216"/>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advertising</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6,929</w:t>
            </w:r>
          </w:p>
        </w:tc>
      </w:tr>
      <w:tr>
        <w:trPr>
          <w:trHeight w:val="211"/>
        </w:trPr>
        <w:tc>
          <w:tcPr>
            <w:tcW w:w="8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(3,474)</w:t>
            </w:r>
          </w:p>
        </w:tc>
      </w:tr>
      <w:tr>
        <w:trPr>
          <w:trHeight w:val="209"/>
        </w:trPr>
        <w:tc>
          <w:tcPr>
            <w:tcW w:w="8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Cash flows provided by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w:t>
            </w:r>
          </w:p>
        </w:tc>
      </w:tr>
      <w:tr>
        <w:trPr>
          <w:trHeight w:val="204"/>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Principal receipts from notes, equipment contracts and other long-term receivables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w:t>
            </w:r>
          </w:p>
        </w:tc>
      </w:tr>
      <w:tr>
        <w:trPr>
          <w:trHeight w:val="211"/>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additions to property and equipment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(5,298)</w:t>
            </w:r>
          </w:p>
        </w:tc>
      </w:tr>
      <w:tr>
        <w:trPr>
          <w:trHeight w:val="216"/>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w:t>
            </w:r>
          </w:p>
        </w:tc>
      </w:tr>
      <w:tr>
        <w:trPr>
          <w:trHeight w:val="211"/>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Additions to long-term receivables</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16"/>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4"/>
        </w:trPr>
        <w:tc>
          <w:tcPr>
            <w:tcW w:w="87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6"/>
                <w:szCs w:val="16"/>
                <w:color w:val="auto"/>
              </w:rPr>
              <w:t>Cash flows (used in) provided by investing activities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w:t>
            </w:r>
          </w:p>
        </w:tc>
      </w:tr>
      <w:tr>
        <w:trPr>
          <w:trHeight w:val="20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1"/>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(14,588)</w:t>
            </w:r>
          </w:p>
        </w:tc>
      </w:tr>
      <w:tr>
        <w:trPr>
          <w:trHeight w:val="211"/>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(41,585)</w:t>
            </w:r>
          </w:p>
        </w:tc>
      </w:tr>
      <w:tr>
        <w:trPr>
          <w:trHeight w:val="216"/>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w:t>
            </w:r>
          </w:p>
        </w:tc>
      </w:tr>
      <w:tr>
        <w:trPr>
          <w:trHeight w:val="211"/>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16"/>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Repurchase of restricted stock for tax payments upon vesting</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w:t>
            </w:r>
          </w:p>
        </w:tc>
      </w:tr>
      <w:tr>
        <w:trPr>
          <w:trHeight w:val="211"/>
        </w:trPr>
        <w:tc>
          <w:tcPr>
            <w:tcW w:w="8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Tax payments for share settlement of restricted stock units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r>
      <w:tr>
        <w:trPr>
          <w:trHeight w:val="209"/>
        </w:trPr>
        <w:tc>
          <w:tcPr>
            <w:tcW w:w="8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(93,217)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(60,970)</w:t>
            </w:r>
          </w:p>
        </w:tc>
      </w:tr>
      <w:tr>
        <w:trPr>
          <w:trHeight w:val="204"/>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(67,047)</w:t>
            </w:r>
          </w:p>
        </w:tc>
      </w:tr>
      <w:tr>
        <w:trPr>
          <w:trHeight w:val="213"/>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324,984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425,353</w:t>
            </w:r>
          </w:p>
        </w:tc>
      </w:tr>
      <w:tr>
        <w:trPr>
          <w:trHeight w:val="209"/>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235,104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358,306</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7"/>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1"/>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 paid in cash</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16,702</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15,869</w:t>
            </w:r>
          </w:p>
        </w:tc>
      </w:tr>
      <w:tr>
        <w:trPr>
          <w:trHeight w:val="216"/>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taxes paid in cash</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7,945</w:t>
            </w: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1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three months ended March 31, 2023 are not necessarily indicative of the results that may be expected for the twelve months ending December 31, 2023.</w:t>
      </w:r>
    </w:p>
    <w:p>
      <w:pPr>
        <w:spacing w:after="0" w:line="7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consolidated balance sheet at December 31, 2022 has been derived from the audited consolidated financial statements at that date but does not include all of information and footnotes required by U.S. GAAP for complete financial statements.</w:t>
      </w:r>
    </w:p>
    <w:p>
      <w:pPr>
        <w:spacing w:after="0" w:line="5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footnotes thereto included in the Company’s Annual Report on Form 10-K for the year ended December 31, 2022.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1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2023 began on January 2, 2023 and ended on April 2, 2023. The first fiscal quarter of 2022 began on January 3, 2022 and ended on April 3, 2022.</w:t>
      </w:r>
    </w:p>
    <w:p>
      <w:pPr>
        <w:spacing w:after="0" w:line="7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5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may include the calculation and assessment of the following: impairment of goodwill, other intangible assets and tangible assets; income taxes; allowance for credit losses on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200" w:lineRule="exact"/>
        <w:rPr>
          <w:sz w:val="20"/>
          <w:szCs w:val="20"/>
          <w:color w:val="auto"/>
        </w:rPr>
      </w:pPr>
    </w:p>
    <w:p>
      <w:pPr>
        <w:spacing w:after="0" w:line="222" w:lineRule="exact"/>
        <w:rPr>
          <w:sz w:val="20"/>
          <w:szCs w:val="20"/>
          <w:color w:val="auto"/>
        </w:rPr>
      </w:pPr>
    </w:p>
    <w:p>
      <w:pPr>
        <w:ind w:left="320" w:right="4240" w:hanging="313"/>
        <w:spacing w:after="0" w:line="372" w:lineRule="auto"/>
        <w:tabs>
          <w:tab w:leader="none" w:pos="17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Accounting Standards Adopted and Newly Issued Accounting Standards Not Yet Adopted </w:t>
      </w:r>
      <w:r>
        <w:rPr>
          <w:rFonts w:ascii="Times New Roman" w:cs="Times New Roman" w:eastAsia="Times New Roman" w:hAnsi="Times New Roman"/>
          <w:sz w:val="18"/>
          <w:szCs w:val="18"/>
          <w:b w:val="1"/>
          <w:bCs w:val="1"/>
          <w:i w:val="1"/>
          <w:iCs w:val="1"/>
          <w:color w:val="auto"/>
        </w:rPr>
        <w:t>Accounting Standards Adopted in the Current Fiscal Year</w:t>
      </w: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Additional new accounting guidance became effective for the Company as of the beginning of fiscal 2023 that the Company reviewed and concluded was either not applicable to its operations or had no material effect on its consolidated financial statements in the current or future fiscal years.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117"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1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Franchise revenue and revenue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Revenue (Continued)</w:t>
      </w: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Franchise Revenues</w:t>
      </w:r>
    </w:p>
    <w:p>
      <w:pPr>
        <w:spacing w:after="0" w:line="112" w:lineRule="exact"/>
        <w:rPr>
          <w:sz w:val="20"/>
          <w:szCs w:val="20"/>
          <w:color w:val="auto"/>
        </w:rPr>
      </w:pPr>
    </w:p>
    <w:p>
      <w:pPr>
        <w:jc w:val="both"/>
        <w:ind w:firstLine="320"/>
        <w:spacing w:after="0" w:line="229" w:lineRule="auto"/>
        <w:rPr>
          <w:sz w:val="20"/>
          <w:szCs w:val="20"/>
          <w:color w:val="auto"/>
        </w:rPr>
      </w:pPr>
      <w:r>
        <w:rPr>
          <w:rFonts w:ascii="Times New Roman" w:cs="Times New Roman" w:eastAsia="Times New Roman" w:hAnsi="Times New Roman"/>
          <w:sz w:val="18"/>
          <w:szCs w:val="18"/>
          <w:color w:val="auto"/>
        </w:rPr>
        <w:t>The Company franchises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full-service restaurant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family dining mid-scale full-service category of the restaurant industry, and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food segment within the fast-casual dining category of the restaurant industry. The franchise arrangement for the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9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the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113" w:lineRule="exact"/>
        <w:rPr>
          <w:sz w:val="20"/>
          <w:szCs w:val="20"/>
          <w:color w:val="auto"/>
        </w:rPr>
      </w:pPr>
    </w:p>
    <w:p>
      <w:pPr>
        <w:jc w:val="both"/>
        <w:ind w:left="1280" w:hanging="314"/>
        <w:spacing w:after="0" w:line="257"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spacing w:after="0" w:line="1" w:lineRule="exact"/>
        <w:rPr>
          <w:rFonts w:ascii="Times New Roman" w:cs="Times New Roman" w:eastAsia="Times New Roman" w:hAnsi="Times New Roman"/>
          <w:sz w:val="18"/>
          <w:szCs w:val="18"/>
          <w:color w:val="auto"/>
        </w:rPr>
      </w:pPr>
    </w:p>
    <w:p>
      <w:pPr>
        <w:jc w:val="both"/>
        <w:ind w:left="1280" w:hanging="314"/>
        <w:spacing w:after="0" w:line="257"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and are included in “receivables, net” on the balance sheet;</w:t>
      </w:r>
    </w:p>
    <w:p>
      <w:pPr>
        <w:spacing w:after="0" w:line="6" w:lineRule="exact"/>
        <w:rPr>
          <w:rFonts w:ascii="Times New Roman" w:cs="Times New Roman" w:eastAsia="Times New Roman" w:hAnsi="Times New Roman"/>
          <w:sz w:val="18"/>
          <w:szCs w:val="18"/>
          <w:color w:val="auto"/>
        </w:rPr>
      </w:pPr>
    </w:p>
    <w:p>
      <w:pPr>
        <w:jc w:val="both"/>
        <w:ind w:left="1280" w:hanging="314"/>
        <w:spacing w:after="0" w:line="261"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proprietary pancake and waffle dry mix and other proprietary products is recognized in the period in which distributors ship the franchisee's order; recognition of revenue results in an accounts receivable included in “receivables, net” on the balance sheet.</w:t>
      </w:r>
    </w:p>
    <w:p>
      <w:pPr>
        <w:spacing w:after="0" w:line="7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determining the amount and timing of revenue from contracts with customers, the Company exercises significant judgment with respect to collectability of the amount; however, the timing of recognition does not require significant judgments as it is based on either the term of the franchise agreement, the month of reported sales by the franchisee or the date of product shipment, none of which require estimation.</w:t>
      </w:r>
    </w:p>
    <w:p>
      <w:pPr>
        <w:spacing w:after="0" w:line="7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Company does not incur a significant amount of contract acquisition costs in conducting franchising activities. The Company believes its franchising arrangements do not contain a significant financing component.</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Company Restaurant Revenues</w:t>
      </w:r>
    </w:p>
    <w:p>
      <w:pPr>
        <w:spacing w:after="0" w:line="11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Company restaurant revenues comprise retail sales at company-operated restaurants. Sales by company-operated restaurants are recognized when food and beverage items are sold. Company restaurant sales are reported net of sales taxes collected from guests that are remitted to the appropriate taxing authorities, with no significant judgements required.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Revenue (Continued)</w:t>
      </w: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disaggregates franchise revenue by major type for the three months ended March 31, 2023 and 2022:</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0"/>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Pr>
          <w:p>
            <w:pPr>
              <w:spacing w:after="0"/>
              <w:rPr>
                <w:sz w:val="17"/>
                <w:szCs w:val="17"/>
                <w:color w:val="auto"/>
              </w:rPr>
            </w:pPr>
          </w:p>
        </w:tc>
      </w:tr>
      <w:tr>
        <w:trPr>
          <w:trHeight w:val="25"/>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7"/>
        </w:trPr>
        <w:tc>
          <w:tcPr>
            <w:tcW w:w="2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2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40"/>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Revenue:</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Royalties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75,242</w:t>
            </w:r>
          </w:p>
        </w:tc>
      </w:tr>
      <w:tr>
        <w:trPr>
          <w:trHeight w:val="227"/>
        </w:trPr>
        <w:tc>
          <w:tcPr>
            <w:tcW w:w="20" w:type="dxa"/>
            <w:vAlign w:val="bottom"/>
          </w:tcPr>
          <w:p>
            <w:pPr>
              <w:spacing w:after="0"/>
              <w:rPr>
                <w:sz w:val="19"/>
                <w:szCs w:val="19"/>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fees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70,883</w:t>
            </w:r>
          </w:p>
        </w:tc>
      </w:tr>
      <w:tr>
        <w:trPr>
          <w:trHeight w:val="227"/>
        </w:trPr>
        <w:tc>
          <w:tcPr>
            <w:tcW w:w="20" w:type="dxa"/>
            <w:vAlign w:val="bottom"/>
          </w:tcPr>
          <w:p>
            <w:pPr>
              <w:spacing w:after="0"/>
              <w:rPr>
                <w:sz w:val="19"/>
                <w:szCs w:val="19"/>
                <w:color w:val="auto"/>
              </w:rPr>
            </w:pPr>
          </w:p>
        </w:tc>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Pancake and waffle dry mix sales and other</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w:t>
            </w:r>
          </w:p>
        </w:tc>
      </w:tr>
      <w:tr>
        <w:trPr>
          <w:trHeight w:val="227"/>
        </w:trPr>
        <w:tc>
          <w:tcPr>
            <w:tcW w:w="20" w:type="dxa"/>
            <w:vAlign w:val="bottom"/>
          </w:tcPr>
          <w:p>
            <w:pPr>
              <w:spacing w:after="0"/>
              <w:rPr>
                <w:sz w:val="19"/>
                <w:szCs w:val="19"/>
                <w:color w:val="auto"/>
              </w:rPr>
            </w:pPr>
          </w:p>
        </w:tc>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45"/>
        </w:trPr>
        <w:tc>
          <w:tcPr>
            <w:tcW w:w="20" w:type="dxa"/>
            <w:vAlign w:val="bottom"/>
          </w:tcPr>
          <w:p>
            <w:pPr>
              <w:spacing w:after="0"/>
              <w:rPr>
                <w:sz w:val="20"/>
                <w:szCs w:val="20"/>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revenue</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179,962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161,232</w:t>
            </w:r>
          </w:p>
        </w:tc>
      </w:tr>
      <w:tr>
        <w:trPr>
          <w:trHeight w:val="20"/>
        </w:trPr>
        <w:tc>
          <w:tcPr>
            <w:tcW w:w="20" w:type="dxa"/>
            <w:vAlign w:val="bottom"/>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Accounts and other receivables from franchisees as of March 31, 2023 and December 31, 2022 were $68.7 million (net of allowance of $2.8 million) and $69.0 million (net of allowance of $1.3 million), respectively, and were included in receivables, net in the Consolidated Balance Sheets.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Changes in the Company's contract liability for deferred franchise and development fees during the three months ended March 31, 2023 were as follows:</w:t>
      </w:r>
    </w:p>
    <w:p>
      <w:pPr>
        <w:spacing w:after="0" w:line="14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Deferred Franchise Revenue</w:t>
            </w: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(short- and long-term)</w:t>
            </w: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3"/>
        </w:trPr>
        <w:tc>
          <w:tcPr>
            <w:tcW w:w="500" w:type="dxa"/>
            <w:vAlign w:val="bottom"/>
          </w:tcPr>
          <w:p>
            <w:pPr>
              <w:spacing w:after="0"/>
              <w:rPr>
                <w:sz w:val="20"/>
                <w:szCs w:val="20"/>
                <w:color w:val="auto"/>
              </w:rPr>
            </w:pPr>
          </w:p>
        </w:tc>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00" w:type="dxa"/>
            <w:vAlign w:val="bottom"/>
          </w:tcPr>
          <w:p>
            <w:pPr>
              <w:spacing w:after="0"/>
              <w:rPr>
                <w:sz w:val="19"/>
                <w:szCs w:val="19"/>
                <w:color w:val="auto"/>
              </w:rPr>
            </w:pPr>
          </w:p>
        </w:tc>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Recognized as revenue during the three months ended March 31, 2023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27"/>
        </w:trPr>
        <w:tc>
          <w:tcPr>
            <w:tcW w:w="500" w:type="dxa"/>
            <w:vAlign w:val="bottom"/>
          </w:tcPr>
          <w:p>
            <w:pPr>
              <w:spacing w:after="0"/>
              <w:rPr>
                <w:sz w:val="19"/>
                <w:szCs w:val="19"/>
                <w:color w:val="auto"/>
              </w:rPr>
            </w:pPr>
          </w:p>
        </w:tc>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deferred during the three months ended March 31, 2023</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balance of deferred revenue as of March 31, 2023 is expected to be recognized as follows:</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840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(remaining nine months)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 w:type="dxa"/>
            <w:vAlign w:val="bottom"/>
            <w:gridSpan w:val="2"/>
          </w:tcPr>
          <w:p>
            <w:pPr>
              <w:spacing w:after="0"/>
              <w:rPr>
                <w:sz w:val="19"/>
                <w:szCs w:val="19"/>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 w:type="dxa"/>
            <w:vAlign w:val="bottom"/>
            <w:gridSpan w:val="2"/>
          </w:tcPr>
          <w:p>
            <w:pPr>
              <w:spacing w:after="0"/>
              <w:rPr>
                <w:sz w:val="19"/>
                <w:szCs w:val="19"/>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 w:type="dxa"/>
            <w:vAlign w:val="bottom"/>
            <w:gridSpan w:val="2"/>
          </w:tcPr>
          <w:p>
            <w:pPr>
              <w:spacing w:after="0"/>
              <w:rPr>
                <w:sz w:val="19"/>
                <w:szCs w:val="19"/>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 w:type="dxa"/>
            <w:vAlign w:val="bottom"/>
            <w:gridSpan w:val="2"/>
          </w:tcPr>
          <w:p>
            <w:pPr>
              <w:spacing w:after="0"/>
              <w:rPr>
                <w:sz w:val="19"/>
                <w:szCs w:val="19"/>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Current Expected Credit Losses (“CECL”)</w:t>
      </w:r>
    </w:p>
    <w:p>
      <w:pPr>
        <w:spacing w:after="0" w:line="115"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 The Company records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Company's CECL methodology that assesses four components - historical losses, current conditions, reasonable and supportable forecasts, and a reversion to history, if applicable.</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considers its portfolio segments to be the following:</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Accounts Receivable (Franchise-Related)</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Most of the Company’s short-term receivables due from franchisees are derived from royalty, advertising and other franchise-related fees.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Current Expected Credit Losses (Continued)</w:t>
      </w:r>
    </w:p>
    <w:p>
      <w:pPr>
        <w:spacing w:after="0" w:line="200" w:lineRule="exact"/>
        <w:rPr>
          <w:sz w:val="20"/>
          <w:szCs w:val="20"/>
          <w:color w:val="auto"/>
        </w:rPr>
      </w:pP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Gift Card Receivables</w:t>
      </w:r>
    </w:p>
    <w:p>
      <w:pPr>
        <w:spacing w:after="0" w:line="113" w:lineRule="exact"/>
        <w:rPr>
          <w:sz w:val="20"/>
          <w:szCs w:val="20"/>
          <w:color w:val="auto"/>
        </w:rPr>
      </w:pPr>
    </w:p>
    <w:p>
      <w:pPr>
        <w:jc w:val="both"/>
        <w:ind w:right="120" w:firstLine="320"/>
        <w:spacing w:after="0" w:line="276" w:lineRule="auto"/>
        <w:rPr>
          <w:sz w:val="20"/>
          <w:szCs w:val="20"/>
          <w:color w:val="auto"/>
        </w:rPr>
      </w:pPr>
      <w:r>
        <w:rPr>
          <w:rFonts w:ascii="Times New Roman" w:cs="Times New Roman" w:eastAsia="Times New Roman" w:hAnsi="Times New Roman"/>
          <w:sz w:val="18"/>
          <w:szCs w:val="18"/>
          <w:color w:val="auto"/>
        </w:rPr>
        <w:t>Gift card receivables consist primarily of amounts due from third-party vendors. Receivables related to gift card sales are subject to seasonality and usually peak around year-end as a result of the December holiday season.</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Notes Receivable</w:t>
      </w:r>
    </w:p>
    <w:p>
      <w:pPr>
        <w:spacing w:after="0" w:line="113" w:lineRule="exact"/>
        <w:rPr>
          <w:sz w:val="20"/>
          <w:szCs w:val="20"/>
          <w:color w:val="auto"/>
        </w:rPr>
      </w:pPr>
    </w:p>
    <w:p>
      <w:pPr>
        <w:jc w:val="both"/>
        <w:ind w:right="100" w:firstLine="320"/>
        <w:spacing w:after="0" w:line="257" w:lineRule="auto"/>
        <w:rPr>
          <w:sz w:val="20"/>
          <w:szCs w:val="20"/>
          <w:color w:val="auto"/>
        </w:rPr>
      </w:pPr>
      <w:r>
        <w:rPr>
          <w:rFonts w:ascii="Times New Roman" w:cs="Times New Roman" w:eastAsia="Times New Roman" w:hAnsi="Times New Roman"/>
          <w:sz w:val="18"/>
          <w:szCs w:val="18"/>
          <w:color w:val="auto"/>
        </w:rPr>
        <w:t>Notes receivable balances primarily relate to the conversion of certain past due Applebee's franchisee accounts receivable to notes receivable, cash loans to franchisees for working capital purposes, a note receivable in connection with the sale of IHOP company restaurants, and IHOP franchise fee and other notes. The notes are typically collateralized by the franchise. A significant portion of these notes have specific reserves recorded against them amounting to $7.4 million as of March 31, 2023.</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Equipment Leases Receivable</w:t>
      </w:r>
    </w:p>
    <w:p>
      <w:pPr>
        <w:spacing w:after="0" w:line="113" w:lineRule="exact"/>
        <w:rPr>
          <w:sz w:val="20"/>
          <w:szCs w:val="20"/>
          <w:color w:val="auto"/>
        </w:rPr>
      </w:pPr>
    </w:p>
    <w:p>
      <w:pPr>
        <w:jc w:val="both"/>
        <w:ind w:right="100" w:firstLine="320"/>
        <w:spacing w:after="0" w:line="257" w:lineRule="auto"/>
        <w:rPr>
          <w:sz w:val="20"/>
          <w:szCs w:val="20"/>
          <w:color w:val="auto"/>
        </w:rPr>
      </w:pPr>
      <w:r>
        <w:rPr>
          <w:rFonts w:ascii="Times New Roman" w:cs="Times New Roman" w:eastAsia="Times New Roman" w:hAnsi="Times New Roman"/>
          <w:sz w:val="18"/>
          <w:szCs w:val="18"/>
          <w:color w:val="auto"/>
        </w:rPr>
        <w:t>Equipment leases receivable primarily relate to IHOP franchise development activity prior to 2003 when IHOP typically leased or purchased the restaurant site, built and equipped the restaurant, then franchised the restaurant to a franchisee.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3.7 years as of March 31, 2023.</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Real Estate Leases Receivable</w:t>
      </w:r>
    </w:p>
    <w:p>
      <w:pPr>
        <w:spacing w:after="0" w:line="113" w:lineRule="exact"/>
        <w:rPr>
          <w:sz w:val="20"/>
          <w:szCs w:val="20"/>
          <w:color w:val="auto"/>
        </w:rPr>
      </w:pPr>
    </w:p>
    <w:p>
      <w:pPr>
        <w:jc w:val="both"/>
        <w:ind w:right="100" w:firstLine="320"/>
        <w:spacing w:after="0" w:line="261" w:lineRule="auto"/>
        <w:rPr>
          <w:sz w:val="20"/>
          <w:szCs w:val="20"/>
          <w:color w:val="auto"/>
        </w:rPr>
      </w:pPr>
      <w:r>
        <w:rPr>
          <w:rFonts w:ascii="Times New Roman" w:cs="Times New Roman" w:eastAsia="Times New Roman" w:hAnsi="Times New Roman"/>
          <w:sz w:val="18"/>
          <w:szCs w:val="18"/>
          <w:color w:val="auto"/>
        </w:rPr>
        <w:t>Real estate leases receivable relate to IHOP franchise development activity prior to 2003. IHOP provided the financing for leasing or subleasing the site. Real estate leases at March 31, 2023, comprised 40 leases with a weighted average remaining life of 10.6 years, and relate to locations that IHOP is leasing from third parties and subleasing to franchisees.</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Distributor Receivables</w:t>
      </w:r>
    </w:p>
    <w:p>
      <w:pPr>
        <w:spacing w:after="0" w:line="113" w:lineRule="exact"/>
        <w:rPr>
          <w:sz w:val="20"/>
          <w:szCs w:val="20"/>
          <w:color w:val="auto"/>
        </w:rPr>
      </w:pPr>
    </w:p>
    <w:p>
      <w:pPr>
        <w:jc w:val="both"/>
        <w:ind w:right="100" w:firstLine="320"/>
        <w:spacing w:after="0" w:line="276" w:lineRule="auto"/>
        <w:rPr>
          <w:sz w:val="20"/>
          <w:szCs w:val="20"/>
          <w:color w:val="auto"/>
        </w:rPr>
      </w:pPr>
      <w:r>
        <w:rPr>
          <w:rFonts w:ascii="Times New Roman" w:cs="Times New Roman" w:eastAsia="Times New Roman" w:hAnsi="Times New Roman"/>
          <w:sz w:val="18"/>
          <w:szCs w:val="18"/>
          <w:color w:val="auto"/>
        </w:rPr>
        <w:t>Receivables due from distributors are related to the sale of IHOP’s proprietary pancake and waffle dry mix to franchisees through the Company’s network of suppliers and distributors and are included as part of Other receivables.</w:t>
      </w:r>
    </w:p>
    <w:p>
      <w:pPr>
        <w:spacing w:after="0" w:line="91"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tcPr>
          <w:p>
            <w:pPr>
              <w:spacing w:after="0"/>
              <w:rPr>
                <w:sz w:val="16"/>
                <w:szCs w:val="16"/>
                <w:color w:val="auto"/>
              </w:rPr>
            </w:pPr>
          </w:p>
        </w:tc>
        <w:tc>
          <w:tcPr>
            <w:tcW w:w="15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r>
      <w:tr>
        <w:trPr>
          <w:trHeight w:val="187"/>
        </w:trPr>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gridSpan w:val="4"/>
          </w:tcPr>
          <w:p>
            <w:pPr>
              <w:jc w:val="right"/>
              <w:ind w:right="137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receivables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7"/>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Equipment leases receivable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7"/>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leases receivable</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0"/>
        </w:trPr>
        <w:tc>
          <w:tcPr>
            <w:tcW w:w="6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and notes receivable</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0"/>
        </w:trPr>
        <w:tc>
          <w:tcPr>
            <w:tcW w:w="6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allowance for credit losses during the three months ended March 31, 2023 were as follows:</w:t>
      </w:r>
    </w:p>
    <w:p>
      <w:pPr>
        <w:spacing w:after="0" w:line="13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00" w:type="dxa"/>
            <w:vAlign w:val="bottom"/>
          </w:tcPr>
          <w:p>
            <w:pPr>
              <w:spacing w:after="0"/>
              <w:rPr>
                <w:sz w:val="13"/>
                <w:szCs w:val="13"/>
                <w:color w:val="auto"/>
              </w:rPr>
            </w:pP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80" w:type="dxa"/>
            <w:vAlign w:val="bottom"/>
          </w:tcPr>
          <w:p>
            <w:pPr>
              <w:spacing w:after="0"/>
              <w:rPr>
                <w:sz w:val="13"/>
                <w:szCs w:val="13"/>
                <w:color w:val="auto"/>
              </w:rPr>
            </w:pPr>
          </w:p>
        </w:tc>
        <w:tc>
          <w:tcPr>
            <w:tcW w:w="9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receivable,</w:t>
            </w: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3"/>
              </w:rPr>
              <w:t xml:space="preserve">Other </w:t>
            </w:r>
            <w:r>
              <w:rPr>
                <w:rFonts w:ascii="Times New Roman" w:cs="Times New Roman" w:eastAsia="Times New Roman" w:hAnsi="Times New Roman"/>
                <w:sz w:val="18"/>
                <w:szCs w:val="18"/>
                <w:b w:val="1"/>
                <w:bCs w:val="1"/>
                <w:color w:val="auto"/>
                <w:w w:val="93"/>
                <w:vertAlign w:val="superscript"/>
              </w:rPr>
              <w:t>(1)</w:t>
            </w:r>
          </w:p>
        </w:tc>
        <w:tc>
          <w:tcPr>
            <w:tcW w:w="240" w:type="dxa"/>
            <w:vAlign w:val="bottom"/>
          </w:tcPr>
          <w:p>
            <w:pPr>
              <w:spacing w:after="0"/>
              <w:rPr>
                <w:sz w:val="12"/>
                <w:szCs w:val="12"/>
                <w:color w:val="auto"/>
              </w:rPr>
            </w:pPr>
          </w:p>
        </w:tc>
        <w:tc>
          <w:tcPr>
            <w:tcW w:w="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2"/>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(credit) expense</w:t>
            </w:r>
          </w:p>
        </w:tc>
        <w:tc>
          <w:tcPr>
            <w:tcW w:w="14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00" w:hanging="133"/>
        <w:spacing w:after="0"/>
        <w:tabs>
          <w:tab w:leader="none" w:pos="30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Primarily distributor receivables, gift card receivables and credit card receivables.</w:t>
      </w:r>
    </w:p>
    <w:p>
      <w:pPr>
        <w:sectPr>
          <w:pgSz w:w="11900" w:h="16838" w:orient="portrait"/>
          <w:cols w:equalWidth="0" w:num="1">
            <w:col w:w="11340"/>
          </w:cols>
          <w:pgMar w:left="32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Current Expected Credit Losses (Continued)</w:t>
      </w:r>
    </w:p>
    <w:p>
      <w:pPr>
        <w:spacing w:after="0" w:line="200" w:lineRule="exact"/>
        <w:rPr>
          <w:sz w:val="20"/>
          <w:szCs w:val="20"/>
          <w:color w:val="auto"/>
        </w:rPr>
      </w:pPr>
    </w:p>
    <w:p>
      <w:pPr>
        <w:spacing w:after="0" w:line="387" w:lineRule="exact"/>
        <w:rPr>
          <w:sz w:val="20"/>
          <w:szCs w:val="20"/>
          <w:color w:val="auto"/>
        </w:rPr>
      </w:pPr>
    </w:p>
    <w:p>
      <w:pPr>
        <w:ind w:right="80" w:firstLine="320"/>
        <w:spacing w:after="0" w:line="276" w:lineRule="auto"/>
        <w:rPr>
          <w:sz w:val="20"/>
          <w:szCs w:val="20"/>
          <w:color w:val="auto"/>
        </w:rPr>
      </w:pPr>
      <w:r>
        <w:rPr>
          <w:rFonts w:ascii="Times New Roman" w:cs="Times New Roman" w:eastAsia="Times New Roman" w:hAnsi="Times New Roman"/>
          <w:sz w:val="18"/>
          <w:szCs w:val="18"/>
          <w:color w:val="auto"/>
        </w:rPr>
        <w:t>The delinquency status of receivables (other than accounts receivable, gift card receivables and distributor receivables) at March 31, 2023 was as follows:</w:t>
      </w:r>
    </w:p>
    <w:p>
      <w:pPr>
        <w:spacing w:after="0" w:line="76"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Lease Receivables</w:t>
            </w: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Equipment Notes</w:t>
            </w:r>
          </w:p>
        </w:tc>
        <w:tc>
          <w:tcPr>
            <w:tcW w:w="260" w:type="dxa"/>
            <w:vAlign w:val="bottom"/>
          </w:tcPr>
          <w:p>
            <w:pPr>
              <w:spacing w:after="0"/>
              <w:rPr>
                <w:sz w:val="13"/>
                <w:szCs w:val="13"/>
                <w:color w:val="auto"/>
              </w:rPr>
            </w:pPr>
          </w:p>
        </w:tc>
        <w:tc>
          <w:tcPr>
            <w:tcW w:w="94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(1)</w:t>
            </w:r>
          </w:p>
        </w:tc>
        <w:tc>
          <w:tcPr>
            <w:tcW w:w="340" w:type="dxa"/>
            <w:vAlign w:val="bottom"/>
          </w:tcPr>
          <w:p>
            <w:pPr>
              <w:spacing w:after="0"/>
              <w:rPr>
                <w:sz w:val="13"/>
                <w:szCs w:val="13"/>
                <w:color w:val="auto"/>
              </w:rPr>
            </w:pPr>
          </w:p>
        </w:tc>
        <w:tc>
          <w:tcPr>
            <w:tcW w:w="9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260" w:type="dxa"/>
            <w:vAlign w:val="bottom"/>
            <w:tcBorders>
              <w:bottom w:val="single" w:sz="8" w:color="auto"/>
            </w:tcBorders>
            <w:gridSpan w:val="2"/>
            <w:vMerge w:val="continue"/>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17.2</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27"/>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30-59 days</w:t>
            </w:r>
          </w:p>
        </w:tc>
        <w:tc>
          <w:tcPr>
            <w:tcW w:w="1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60-89 days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90-119 days</w:t>
            </w:r>
          </w:p>
        </w:tc>
        <w:tc>
          <w:tcPr>
            <w:tcW w:w="1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120+ days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17.2</w:t>
            </w: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00" w:hanging="133"/>
        <w:spacing w:after="0"/>
        <w:tabs>
          <w:tab w:leader="none" w:pos="30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Primarily credit card receivables.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year of origination of the Company's notes receivable and financing receivables is as follows:</w:t>
      </w:r>
    </w:p>
    <w:p>
      <w:pPr>
        <w:spacing w:after="0" w:line="19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short and long-</w:t>
            </w: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Lease Receivables</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Equipment Notes</w:t>
            </w:r>
          </w:p>
        </w:tc>
        <w:tc>
          <w:tcPr>
            <w:tcW w:w="280" w:type="dxa"/>
            <w:vAlign w:val="bottom"/>
          </w:tcPr>
          <w:p>
            <w:pPr>
              <w:spacing w:after="0"/>
              <w:rPr>
                <w:sz w:val="11"/>
                <w:szCs w:val="11"/>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term</w:t>
            </w:r>
          </w:p>
        </w:tc>
        <w:tc>
          <w:tcPr>
            <w:tcW w:w="126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0.5</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7"/>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w:t>
            </w:r>
          </w:p>
        </w:tc>
        <w:tc>
          <w:tcPr>
            <w:tcW w:w="6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7"/>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0.7</w:t>
            </w:r>
          </w:p>
        </w:tc>
        <w:tc>
          <w:tcPr>
            <w:tcW w:w="6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7"/>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3.5</w:t>
            </w: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45"/>
        </w:trPr>
        <w:tc>
          <w:tcPr>
            <w:tcW w:w="6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15.9</w:t>
            </w:r>
          </w:p>
        </w:tc>
        <w:tc>
          <w:tcPr>
            <w:tcW w:w="5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17.2</w:t>
            </w:r>
          </w:p>
        </w:tc>
        <w:tc>
          <w:tcPr>
            <w:tcW w:w="6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does not place its financing receivables in non-accrual status.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15" w:lineRule="exact"/>
        <w:rPr>
          <w:sz w:val="20"/>
          <w:szCs w:val="20"/>
          <w:color w:val="auto"/>
        </w:rPr>
      </w:pPr>
    </w:p>
    <w:p>
      <w:pPr>
        <w:jc w:val="both"/>
        <w:ind w:right="80" w:firstLine="320"/>
        <w:spacing w:after="0" w:line="253"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Company currently leases from third parties the real property on which approximately 520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50 IHOP restaurants and one Applebee's restaurant. The Company leases from third parties the real property on which three Fuzzy's company-operated restaurants are located. The Company also leases office space for its principal corporate office in Pasadena, California and restaurant support centers in Leawood, Kansas, and Irving, Texas. The Company does not have a significant amount of non-real estate leases.</w:t>
      </w:r>
    </w:p>
    <w:p>
      <w:pPr>
        <w:spacing w:after="0" w:line="77" w:lineRule="exact"/>
        <w:rPr>
          <w:sz w:val="20"/>
          <w:szCs w:val="20"/>
          <w:color w:val="auto"/>
        </w:rPr>
      </w:pPr>
    </w:p>
    <w:p>
      <w:pPr>
        <w:jc w:val="both"/>
        <w:ind w:right="80" w:firstLine="320"/>
        <w:spacing w:after="0" w:line="253"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275 of the Company's leases met the sales levels that required variable rent payments to the Company (as lessor), based on a percentage of restaurant sales during the three months ended March 31, 2023. Approximately 40 of the leases met the sales levels that required variable rent payments by the Company (as lessee), based on a percentage of restaurant sales during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18"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 (Continued)</w:t>
      </w:r>
    </w:p>
    <w:p>
      <w:pPr>
        <w:sectPr>
          <w:pgSz w:w="11900" w:h="16838" w:orient="portrait"/>
          <w:cols w:equalWidth="0" w:num="1">
            <w:col w:w="11340"/>
          </w:cols>
          <w:pgMar w:left="32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lease (income) cost for the three months ended March 31, 2023 and 2022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15875</wp:posOffset>
            </wp:positionV>
            <wp:extent cx="6993890" cy="144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3890" cy="144145"/>
                    </a:xfrm>
                    <a:prstGeom prst="rect">
                      <a:avLst/>
                    </a:prstGeom>
                    <a:noFill/>
                  </pic:spPr>
                </pic:pic>
              </a:graphicData>
            </a:graphic>
          </wp:anchor>
        </w:drawing>
      </w:r>
    </w:p>
    <w:p>
      <w:pPr>
        <w:spacing w:after="0" w:line="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Amortization of right-of-use assets</w:t>
      </w:r>
    </w:p>
    <w:p>
      <w:pPr>
        <w:spacing w:after="0" w:line="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12065</wp:posOffset>
            </wp:positionV>
            <wp:extent cx="6993890" cy="160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3890" cy="1606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15875</wp:posOffset>
            </wp:positionV>
            <wp:extent cx="6993890" cy="144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3890" cy="14414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12065</wp:posOffset>
            </wp:positionV>
            <wp:extent cx="6993890" cy="169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3890" cy="169545"/>
                    </a:xfrm>
                    <a:prstGeom prst="rect">
                      <a:avLst/>
                    </a:prstGeom>
                    <a:noFill/>
                  </pic:spPr>
                </pic:pic>
              </a:graphicData>
            </a:graphic>
          </wp:anchor>
        </w:drawing>
      </w: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income</w:t>
      </w:r>
    </w:p>
    <w:p>
      <w:pPr>
        <w:spacing w:after="0" w:line="200" w:lineRule="exact"/>
        <w:rPr>
          <w:sz w:val="20"/>
          <w:szCs w:val="20"/>
          <w:color w:val="auto"/>
        </w:rPr>
      </w:pPr>
    </w:p>
    <w:p>
      <w:pPr>
        <w:spacing w:after="0" w:line="3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Future minimum lease payments under noncancellable leases as lessee as of March 31, 2023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211"/>
        </w:trPr>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1"/>
        </w:trPr>
        <w:tc>
          <w:tcPr>
            <w:tcW w:w="300" w:type="dxa"/>
            <w:vAlign w:val="bottom"/>
          </w:tcPr>
          <w:p>
            <w:pPr>
              <w:spacing w:after="0"/>
              <w:rPr>
                <w:sz w:val="15"/>
                <w:szCs w:val="15"/>
                <w:color w:val="auto"/>
              </w:rPr>
            </w:pPr>
          </w:p>
        </w:tc>
        <w:tc>
          <w:tcPr>
            <w:tcW w:w="158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5"/>
                <w:szCs w:val="15"/>
                <w:color w:val="auto"/>
              </w:rPr>
            </w:pPr>
          </w:p>
        </w:tc>
      </w:tr>
      <w:tr>
        <w:trPr>
          <w:trHeight w:val="461"/>
        </w:trPr>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24"/>
                <w:szCs w:val="24"/>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2"/>
        </w:trPr>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7"/>
        </w:trPr>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7"/>
        </w:trPr>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2"/>
        </w:trPr>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0"/>
        </w:trPr>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jc w:val="center"/>
              <w:ind w:left="320"/>
              <w:spacing w:after="0"/>
              <w:rPr>
                <w:sz w:val="20"/>
                <w:szCs w:val="20"/>
                <w:color w:val="auto"/>
              </w:rPr>
            </w:pPr>
            <w:r>
              <w:rPr>
                <w:rFonts w:ascii="Times New Roman" w:cs="Times New Roman" w:eastAsia="Times New Roman" w:hAnsi="Times New Roman"/>
                <w:sz w:val="16"/>
                <w:szCs w:val="16"/>
                <w:b w:val="1"/>
                <w:bCs w:val="1"/>
                <w:color w:val="auto"/>
                <w:w w:val="99"/>
              </w:rPr>
              <w:t>Finance</w:t>
            </w:r>
          </w:p>
        </w:tc>
        <w:tc>
          <w:tcPr>
            <w:tcW w:w="1880" w:type="dxa"/>
            <w:vAlign w:val="bottom"/>
          </w:tcPr>
          <w:p>
            <w:pPr>
              <w:jc w:val="center"/>
              <w:ind w:left="423"/>
              <w:spacing w:after="0"/>
              <w:rPr>
                <w:sz w:val="20"/>
                <w:szCs w:val="20"/>
                <w:color w:val="auto"/>
              </w:rPr>
            </w:pPr>
            <w:r>
              <w:rPr>
                <w:rFonts w:ascii="Times New Roman" w:cs="Times New Roman" w:eastAsia="Times New Roman" w:hAnsi="Times New Roman"/>
                <w:sz w:val="16"/>
                <w:szCs w:val="16"/>
                <w:b w:val="1"/>
                <w:bCs w:val="1"/>
                <w:color w:val="auto"/>
                <w:w w:val="99"/>
              </w:rPr>
              <w:t>Operating</w:t>
            </w:r>
          </w:p>
        </w:tc>
      </w:tr>
      <w:tr>
        <w:trPr>
          <w:trHeight w:val="212"/>
        </w:trPr>
        <w:tc>
          <w:tcPr>
            <w:tcW w:w="102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w w:val="96"/>
              </w:rPr>
              <w:t>Leases</w:t>
            </w:r>
          </w:p>
        </w:tc>
        <w:tc>
          <w:tcPr>
            <w:tcW w:w="1880" w:type="dxa"/>
            <w:vAlign w:val="bottom"/>
            <w:tcBorders>
              <w:bottom w:val="single" w:sz="8" w:color="auto"/>
            </w:tcBorders>
          </w:tcPr>
          <w:p>
            <w:pPr>
              <w:jc w:val="center"/>
              <w:ind w:left="403"/>
              <w:spacing w:after="0"/>
              <w:rPr>
                <w:sz w:val="20"/>
                <w:szCs w:val="20"/>
                <w:color w:val="auto"/>
              </w:rPr>
            </w:pPr>
            <w:r>
              <w:rPr>
                <w:rFonts w:ascii="Times New Roman" w:cs="Times New Roman" w:eastAsia="Times New Roman" w:hAnsi="Times New Roman"/>
                <w:sz w:val="16"/>
                <w:szCs w:val="16"/>
                <w:b w:val="1"/>
                <w:bCs w:val="1"/>
                <w:color w:val="auto"/>
                <w:w w:val="96"/>
              </w:rPr>
              <w:t>Leases</w:t>
            </w:r>
          </w:p>
        </w:tc>
      </w:tr>
      <w:tr>
        <w:trPr>
          <w:trHeight w:val="181"/>
        </w:trPr>
        <w:tc>
          <w:tcPr>
            <w:tcW w:w="1020" w:type="dxa"/>
            <w:vAlign w:val="bottom"/>
          </w:tcPr>
          <w:p>
            <w:pPr>
              <w:spacing w:after="0"/>
              <w:rPr>
                <w:sz w:val="15"/>
                <w:szCs w:val="15"/>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r>
    </w:tbl>
    <w:p>
      <w:pPr>
        <w:spacing w:after="0" w:line="20" w:lineRule="exact"/>
        <w:rPr>
          <w:sz w:val="20"/>
          <w:szCs w:val="20"/>
          <w:color w:val="auto"/>
        </w:rPr>
      </w:pPr>
    </w:p>
    <w:p>
      <w:pPr>
        <w:sectPr>
          <w:pgSz w:w="11900" w:h="16838" w:orient="portrait"/>
          <w:cols w:equalWidth="0" w:num="2">
            <w:col w:w="8100" w:space="80"/>
            <w:col w:w="3160"/>
          </w:cols>
          <w:pgMar w:left="320" w:top="118" w:right="239" w:bottom="1440" w:gutter="0" w:footer="0" w:header="0"/>
          <w:type w:val="continuous"/>
        </w:sectPr>
      </w:pPr>
    </w:p>
    <w:tbl>
      <w:tblPr>
        <w:tblLayout w:type="fixed"/>
        <w:tblInd w:w="160" w:type="dxa"/>
        <w:tblCellMar>
          <w:top w:w="0" w:type="dxa"/>
          <w:left w:w="0" w:type="dxa"/>
          <w:bottom w:w="0" w:type="dxa"/>
          <w:right w:w="0" w:type="dxa"/>
        </w:tblCellMar>
      </w:tblP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(remaining nine months)</w:t>
            </w: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2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2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r>
      <w:tr>
        <w:trPr>
          <w:trHeight w:val="22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interest/imputed interest</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2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obligations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r>
      <w:tr>
        <w:trPr>
          <w:trHeight w:val="22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45"/>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120" w:firstLine="320"/>
        <w:spacing w:after="0" w:line="276" w:lineRule="auto"/>
        <w:rPr>
          <w:sz w:val="20"/>
          <w:szCs w:val="20"/>
          <w:color w:val="auto"/>
        </w:rPr>
      </w:pPr>
      <w:r>
        <w:rPr>
          <w:rFonts w:ascii="Times New Roman" w:cs="Times New Roman" w:eastAsia="Times New Roman" w:hAnsi="Times New Roman"/>
          <w:sz w:val="18"/>
          <w:szCs w:val="18"/>
          <w:color w:val="auto"/>
        </w:rPr>
        <w:t>The weighted average remaining lease term as of March 31, 2023 was 6.2 years for finance leases and 6.2 years for operating leases. The weighted average discount rate as of March 31, 2023 was 9.3% for finance leases and 5.6% for operating leases.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three months ended March 31, 2023 and 2022, the Company made the following cash payments for leases:</w:t>
      </w:r>
    </w:p>
    <w:p>
      <w:pPr>
        <w:spacing w:after="0" w:line="155"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2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r>
      <w:tr>
        <w:trPr>
          <w:trHeight w:val="208"/>
        </w:trPr>
        <w:tc>
          <w:tcPr>
            <w:tcW w:w="76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8"/>
        </w:trPr>
        <w:tc>
          <w:tcPr>
            <w:tcW w:w="7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r>
      <w:tr>
        <w:trPr>
          <w:trHeight w:val="23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8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1.9</w:t>
            </w:r>
          </w:p>
        </w:tc>
        <w:tc>
          <w:tcPr>
            <w:tcW w:w="5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880" w:type="dxa"/>
            <w:vAlign w:val="bottom"/>
          </w:tcPr>
          <w:p>
            <w:pPr>
              <w:spacing w:after="0"/>
              <w:rPr>
                <w:sz w:val="19"/>
                <w:szCs w:val="19"/>
                <w:color w:val="auto"/>
              </w:rPr>
            </w:pP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0.7</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20.8</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2"/>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880" w:type="dxa"/>
            <w:vAlign w:val="bottom"/>
          </w:tcPr>
          <w:p>
            <w:pPr>
              <w:spacing w:after="0"/>
              <w:rPr>
                <w:sz w:val="20"/>
                <w:szCs w:val="20"/>
                <w:color w:val="auto"/>
              </w:rPr>
            </w:pP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income from operating leases for the three months ended March 31, 2023 and 2022 was as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2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r>
      <w:tr>
        <w:trPr>
          <w:trHeight w:val="208"/>
        </w:trPr>
        <w:tc>
          <w:tcPr>
            <w:tcW w:w="76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8"/>
        </w:trPr>
        <w:tc>
          <w:tcPr>
            <w:tcW w:w="7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r>
      <w:tr>
        <w:trPr>
          <w:trHeight w:val="23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lease payments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7"/>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5"/>
        </w:trPr>
        <w:tc>
          <w:tcPr>
            <w:tcW w:w="7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18" w:right="23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Minimum payments to be received as lessor under noncancellable operating leases as of March 31, 2023 were as follows:</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9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
        </w:trPr>
        <w:tc>
          <w:tcPr>
            <w:tcW w:w="9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7"/>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(remaining nine months)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27"/>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7"/>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27"/>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7"/>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7"/>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45"/>
        </w:trPr>
        <w:tc>
          <w:tcPr>
            <w:tcW w:w="9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income from real estate leases for the three months ended March 31, 2023 and 2022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0.1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real estate lease income</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2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96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Minimum payments to be received as lessor under noncancellable real estate leases as of March 31, 2023 were as follows:</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(remaining nine months)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unearned income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investment in real estate leases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investment in real estate leases</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Long-Term Debt</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4"/>
        </w:trPr>
        <w:tc>
          <w:tcPr>
            <w:tcW w:w="81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At March 31, 2023 and December 31, 2022, long-term debt consisted of the following components: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60" w:type="dxa"/>
            <w:vAlign w:val="bottom"/>
          </w:tcPr>
          <w:p>
            <w:pPr>
              <w:spacing w:after="0"/>
              <w:rPr>
                <w:sz w:val="24"/>
                <w:szCs w:val="24"/>
                <w:color w:val="auto"/>
              </w:rPr>
            </w:pPr>
          </w:p>
        </w:tc>
        <w:tc>
          <w:tcPr>
            <w:tcW w:w="15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7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2019-1 4.194% Fixed Rate Senior Secured Notes, Class A-2-I</w:t>
            </w:r>
          </w:p>
        </w:tc>
        <w:tc>
          <w:tcPr>
            <w:tcW w:w="2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585.1</w:t>
            </w:r>
          </w:p>
        </w:tc>
        <w:tc>
          <w:tcPr>
            <w:tcW w:w="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653.0</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Series 2019-1 4.723% Fixed Rate Senior Secured Notes, Class A-2-II</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594.0</w:t>
            </w: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7780" w:type="dxa"/>
            <w:vAlign w:val="bottom"/>
            <w:gridSpan w:val="3"/>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w w:val="99"/>
              </w:rPr>
              <w:t>Series 2022-1 Variable Funding Senior Secured Notes, Class A-1, variable interest rate of 7.37% and 7.29%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at March 31, 2023 and December 31, 2022, respectively</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1,274.6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1,341.9</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1,174.6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1,241.9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right="60" w:firstLine="320"/>
        <w:spacing w:after="0" w:line="257" w:lineRule="auto"/>
        <w:rPr>
          <w:sz w:val="20"/>
          <w:szCs w:val="20"/>
          <w:color w:val="auto"/>
        </w:rPr>
      </w:pPr>
      <w:r>
        <w:rPr>
          <w:rFonts w:ascii="Times New Roman" w:cs="Times New Roman" w:eastAsia="Times New Roman" w:hAnsi="Times New Roman"/>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 principal amount of $600 million (the “Class A-2-II Notes” and, together with the Class A-2-I Notes, the “2019 Class A-2</w:t>
      </w:r>
    </w:p>
    <w:p>
      <w:pPr>
        <w:sectPr>
          <w:pgSz w:w="11900" w:h="16838" w:orient="portrait"/>
          <w:cols w:equalWidth="0" w:num="1">
            <w:col w:w="11300"/>
          </w:cols>
          <w:pgMar w:left="320" w:top="118" w:right="279" w:bottom="11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00"/>
          </w:cols>
          <w:pgMar w:left="320" w:top="118" w:right="279" w:bottom="1152"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Long-Term Debt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The 2019 Class A-2 Notes were issued pursuant to an offering exempt from registration under the Securities Act of 1933, as amended.</w:t>
      </w:r>
    </w:p>
    <w:p>
      <w:pPr>
        <w:spacing w:after="0" w:line="11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On August 12, 2022, the Co-Issuers established a new revolving financing facility, the 2022-1 Variable Funding Senior Secured Notes, Class A-1 (the “Credit Facility”), that allows for drawings up to $325 million of variable funding notes on a revolving basis and the issuance of letters of credit. In connection with this transaction, the Co-Issuers terminated their $225 million revolving financing facility, the 2019-1 Variable Funding Senior Secured Notes, Class A-1 (the “Previous Credit Facility”). The Credit Facility and the 2019 Class A-2 Notes are referred to collectively herein as the “Notes.” The Notes were issued in securitization transactions pursuant to which substantially all the domestic revenue-generating assets and domestic intellectual property held by the Co-Issuers and certain other special-purpose, wholly-owned indirect subsidiaries of the Company (the “Guarantors”) were pledged as collateral to secure the Notes.</w:t>
      </w:r>
    </w:p>
    <w:p>
      <w:pPr>
        <w:spacing w:after="0" w:line="7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Notes were issued under a Base Indenture, dated as of September 30, 2014, and amended and restated as of June 5, 2019 (the “Base Indenture”). In addition, the 2019 Class A-2 Notes were issued under the related Series 2019-1 Supplement to the Base Indenture, dated June 5, 2019 (the “Series 2019-1 Supplement”), among the Co-Issuers and Citibank, N.A., as the trustee (in such capacity, the “Trustee”) and securities intermediary and the Credit Facility was issued under the related Series 2022-1 Supplement to the Base Indenture, dated August 12, 2022 (“Series 2022-1 Supplement”), among the Co-Issuers and Citibank, N.A., as Trustee and securities intermediary. The Base Indenture, Series 2019-1 Supplement and Series 2022-1 Supplement (collectively, the “Indenture”) will allow the Co-Issuers to issue additional series of notes in the future subject to certain conditions set forth therein.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115"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The legal final maturity of the 2019 Class A-2 Notes is June 2049, but rapid amortization will apply if the Class A-2-I Notes are not repaid by June 2024 (the “Class A-2-I Anticipated Repayment Date”) and for the Class A-2-II Notes if not repaid by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w:t>
      </w:r>
    </w:p>
    <w:p>
      <w:pPr>
        <w:spacing w:after="0" w:line="2" w:lineRule="exact"/>
        <w:rPr>
          <w:sz w:val="20"/>
          <w:szCs w:val="20"/>
          <w:color w:val="auto"/>
        </w:rPr>
      </w:pPr>
    </w:p>
    <w:p>
      <w:pPr>
        <w:jc w:val="both"/>
        <w:ind w:firstLine="7"/>
        <w:spacing w:after="0" w:line="250" w:lineRule="auto"/>
        <w:tabs>
          <w:tab w:leader="none" w:pos="3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and (B) the amount, if any, by which the sum of the following exceeds the applicable Series 2019-1 Class A-2 Note interest rate: (x) the yield to maturity (adjusted to a quarterly bond-equivalent basis) on the applicable anticipated repayment date of the United States Treasury Security having a term closest to 10 years plus (y) 5.0%, plus (z) 2.15% for the Series 2019-1 Class A-2-I Notes and 2.64% for the Series 2019-1 Class A-2-II Notes.</w:t>
      </w:r>
    </w:p>
    <w:p>
      <w:pPr>
        <w:spacing w:after="0" w:line="8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While the 2019 Class A-2 Notes are outstanding, payment of principal and interest is required to be made on the 2019 Class A-2 Notes on a quarterly basis. The quarterly principal payment of $3.25 million on the 2019 Class A-2 Notes may be suspended when the leverage ratio for the Company and its subsidiaries is less than or equal to 5.25x. Exceeding the leverage ratio of 5.25x does not violate any covenant related to the Notes.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Indenture.</w:t>
      </w:r>
    </w:p>
    <w:p>
      <w:pPr>
        <w:spacing w:after="0" w:line="7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As of March 31, 2023, the Company's leverage ratio was approximately 4.5x. As a result, quarterly principal payments on the 2019 Class A-2 Notes of $3.25 million currently are not required.</w:t>
      </w:r>
    </w:p>
    <w:p>
      <w:pPr>
        <w:spacing w:after="0" w:line="57"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Company may voluntarily repay the 2019 Class A-2 Notes at any time; however, if the 2019 Class A-2 Notes are repaid prior to certain dates, the Company would be required to pay make-whole premiums. As of March 31, 2023, the make-whole premium associated with voluntary prepayment of the Class A-2-I Notes was zero and remained as such until the Class A-2-I Notes were refinanced in April 2023 (see Note 17 - Subsequent Event). As of March 31, 2023, the make-whole premium associated with voluntary prepayment of the Class A-2-II Notes was approximately $1.8 million; this amount declines progressively each quarter to zero in June 2024. The Company also would be subject to a make-whole premium in the event of a mandatory prepayment required following a Rapid Amortization Event or certain asset dispositions. The mandatory make-whole premium requirements are considered derivatives embedded in the Notes that must be bifurcated for separate valuation. The Company estimated the fair value of these derivatives to be immaterial as of March 31, 2023, based on the probability-weighted discounted cash flows associated with either event.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Class A-1 Notes</w:t>
      </w:r>
    </w:p>
    <w:p>
      <w:pPr>
        <w:spacing w:after="0" w:line="11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Previous Credit Facility allowed for drawings up to $225 million of variable funding notes on a revolving basis and the issuance of letters of credit. In March 2020, the Company borrowed $220.0 million against the Previous Credit Facility. The $220.0 million was repaid on March 5, 2021, and there were no outstanding borrowings since that date under the Previous Credit Facility until its termination in August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Long-Term Debt (Continued)</w:t>
      </w:r>
    </w:p>
    <w:p>
      <w:pPr>
        <w:spacing w:after="0" w:line="200" w:lineRule="exact"/>
        <w:rPr>
          <w:sz w:val="20"/>
          <w:szCs w:val="20"/>
          <w:color w:val="auto"/>
        </w:rPr>
      </w:pPr>
    </w:p>
    <w:p>
      <w:pPr>
        <w:spacing w:after="0" w:line="30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interest rate for borrowings under the Previous Credit Facility was the three-month LIBOR rate plus 2.15% for 60% of the advances and the commercial paper funding rate of our conduit investor plus 2.15% for 40% of the advances.</w:t>
      </w:r>
    </w:p>
    <w:p>
      <w:pPr>
        <w:spacing w:after="0" w:line="5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At March 31, 2022, $3.5 million was pledged against the Previous Credit Facility for outstanding letters of credit, leaving $221.5 million available for borrowing. The letters of credit are used primarily to satisfy insurance-related collateral requirements.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Class A-1 Notes</w:t>
      </w:r>
    </w:p>
    <w:p>
      <w:pPr>
        <w:spacing w:after="0" w:line="11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Term SOFR Rate,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Term SOFR for a one-month tenor in effect at such time plus 0.50% plus (b) 2.00%.</w:t>
      </w:r>
    </w:p>
    <w:p>
      <w:pPr>
        <w:spacing w:after="0" w:line="7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7"/>
          <w:szCs w:val="17"/>
          <w:color w:val="auto"/>
        </w:rPr>
        <w:t>The legal final maturity of the Credit Facility is June 2052, but amortization will apply if there are outstanding amounts under the Credit Facility after June 2027 (the “Class A-1 Renewal Date”). The Class A-1 Renewal Date may be extended at the Co-Issuers’ election for up to two successive one-year periods if certain conditions are met. If the Co-Issuers have not repaid or refinanced the Credit Facility by the Class A-1 Renewal Date (after giving effect to any extensions), then interest will accrue on the Credit Facility at a rate equal to 5.00% in addition to the regular interest rate applicable to the Credit Facility.</w:t>
      </w:r>
    </w:p>
    <w:p>
      <w:pPr>
        <w:spacing w:after="0" w:line="6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August 2022, the Company borrowed $100 million against the Credit Facility, all of which was outstanding at March 31, 2023. The amount of $3.4 million was pledged against the Credit Facility for outstanding letters of credit, leaving $221.6 million of the Credit Facility available for borrowing at March 31, 2023.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for the period outstanding during the three months ended March 31, 2023 was 7.30%.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115"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Notes are in stated ways defective or ineffective and (iv) covenants relating to recordkeeping, access to information and similar matters. The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Notes are also subject to certain customary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w:t>
      </w:r>
    </w:p>
    <w:p>
      <w:pPr>
        <w:spacing w:after="0" w:line="8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78" w:lineRule="exact"/>
        <w:rPr>
          <w:sz w:val="20"/>
          <w:szCs w:val="20"/>
          <w:color w:val="auto"/>
        </w:rPr>
      </w:pPr>
    </w:p>
    <w:p>
      <w:pPr>
        <w:ind w:left="1280" w:hanging="314"/>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ind w:left="160" w:hanging="153"/>
        <w:spacing w:after="0"/>
        <w:tabs>
          <w:tab w:leader="none" w:pos="16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Debt (Continued)</w:t>
      </w:r>
    </w:p>
    <w:p>
      <w:pPr>
        <w:spacing w:after="0" w:line="399" w:lineRule="exact"/>
        <w:rPr>
          <w:rFonts w:ascii="Times New Roman" w:cs="Times New Roman" w:eastAsia="Times New Roman" w:hAnsi="Times New Roman"/>
          <w:sz w:val="16"/>
          <w:szCs w:val="16"/>
          <w:b w:val="1"/>
          <w:bCs w:val="1"/>
          <w:color w:val="auto"/>
        </w:rPr>
      </w:pPr>
    </w:p>
    <w:p>
      <w:pPr>
        <w:ind w:left="1280" w:hanging="314"/>
        <w:spacing w:after="0"/>
        <w:tabs>
          <w:tab w:leader="none" w:pos="1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25" w:lineRule="exact"/>
        <w:rPr>
          <w:rFonts w:ascii="Times New Roman" w:cs="Times New Roman" w:eastAsia="Times New Roman" w:hAnsi="Times New Roman"/>
          <w:sz w:val="18"/>
          <w:szCs w:val="18"/>
          <w:color w:val="auto"/>
        </w:rPr>
      </w:pPr>
    </w:p>
    <w:p>
      <w:pPr>
        <w:ind w:left="1280" w:hanging="314"/>
        <w:spacing w:after="0"/>
        <w:tabs>
          <w:tab w:leader="none" w:pos="1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6" w:lineRule="exact"/>
        <w:rPr>
          <w:rFonts w:ascii="Times New Roman" w:cs="Times New Roman" w:eastAsia="Times New Roman" w:hAnsi="Times New Roman"/>
          <w:sz w:val="18"/>
          <w:szCs w:val="18"/>
          <w:color w:val="auto"/>
        </w:rPr>
      </w:pPr>
    </w:p>
    <w:p>
      <w:pPr>
        <w:ind w:left="1280" w:hanging="314"/>
        <w:spacing w:after="0"/>
        <w:tabs>
          <w:tab w:leader="none" w:pos="1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DSCR for the reporting period ended March 31, 2023 was approximately 4.0x.</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2022 Class A-1 Notes</w:t>
      </w:r>
    </w:p>
    <w:p>
      <w:pPr>
        <w:spacing w:after="0" w:line="11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August 2022, the Company incurred costs of approximately $6.3 million in connection with the issuance of the Credit Facility. These debt issuance costs are being amortized over the estimated life of the Credit Facility. Amortization of $0.3 million of these costs was included in interest expense for the three months ended March 31, 2023. As of March 31, 2023, unamortized debt issuance costs of $5.6 million related to the Credit Facility are classified as other non-current assets in the Consolidated Balance Sheets.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2019 Class A-2 Notes</w:t>
      </w:r>
    </w:p>
    <w:p>
      <w:pPr>
        <w:spacing w:after="0" w:line="11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Company incurred costs of approximately $12.9 million in connection with the issuance of the 2019 Class A-2 Notes. These debt issuance costs are being amortized using the effective interest method over estimated life of each tranche of the 2019 Class A-2 Notes. Amortization costs of $0.9 million and $0.5 million was included in interest expense for three months ended March 31, 2023 and 2022, respectively. As of March 31, 2023, unamortized debt issuance costs of $4.5 million are reported as a direct reduction of the Class A-2 Notes in the Consolidated Balance Sheets.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2019 Class A-1 Notes</w:t>
      </w:r>
    </w:p>
    <w:p>
      <w:pPr>
        <w:spacing w:after="0" w:line="11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Amortization costs incurred in connection with the Previous Credit Facility of $0.2 million were included in interest expense for the three months ended March 31, 2022. As of March 31, 2022, unamortized debt issuance costs of $1.4 million related to the Previous Credit Facility were classified as other non-current assets in the Consolidated Balance Sheets. In connection with the termination of the Previous Credit Facility in August 2022, the Company recognized as a loss on extinguishment of debt of $1.2 million, representing the remaining unamortized debt issuance costs associated with the Previous Credit Facility.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Extinguishment of Debt</w:t>
      </w:r>
    </w:p>
    <w:p>
      <w:pPr>
        <w:spacing w:after="0" w:line="115"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Company purchased $67.9 million of its 2019 Class A-2 Notes under par and recognized a $1.7 million gain on extinguishment of debt during the three months ended March 31,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 of Long-term Debt</w:t>
      </w:r>
    </w:p>
    <w:p>
      <w:pPr>
        <w:spacing w:after="0" w:line="115" w:lineRule="exact"/>
        <w:rPr>
          <w:sz w:val="20"/>
          <w:szCs w:val="20"/>
          <w:color w:val="auto"/>
        </w:rPr>
      </w:pPr>
    </w:p>
    <w:p>
      <w:pPr>
        <w:ind w:left="640" w:right="20" w:hanging="314"/>
        <w:spacing w:after="0" w:line="258" w:lineRule="auto"/>
        <w:tabs>
          <w:tab w:leader="none" w:pos="63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final maturity of the Class A-2 Notes is in June 2049, but it is anticipated that, unless repaid earlier, the Class A-2-II Notes will be repaid in June 2026 (see Note 17 - Subsequent Event).</w:t>
      </w:r>
    </w:p>
    <w:p>
      <w:pPr>
        <w:ind w:left="640" w:hanging="314"/>
        <w:spacing w:after="0" w:line="247" w:lineRule="auto"/>
        <w:tabs>
          <w:tab w:leader="none" w:pos="63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ind w:left="640" w:hanging="314"/>
        <w:spacing w:after="0" w:line="254" w:lineRule="auto"/>
        <w:tabs>
          <w:tab w:leader="none" w:pos="63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Class A-2-I and Class A-2-II Notes totaling $3.25 million ($13.0 million per annum) are required if the Company's leverage ratio is greater than 5.25x.</w:t>
      </w:r>
    </w:p>
    <w:p>
      <w:pPr>
        <w:spacing w:after="0" w:line="313"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Dividends declared and paid per share for the three months ended March 31, 2023 and 2022 were as follows:</w:t>
      </w:r>
    </w:p>
    <w:p>
      <w:pPr>
        <w:spacing w:after="0" w:line="155"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8"/>
        </w:trPr>
        <w:tc>
          <w:tcPr>
            <w:tcW w:w="7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2"/>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r>
    </w:tbl>
    <w:p>
      <w:pPr>
        <w:spacing w:after="0" w:line="162"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On February 17, 2022, the Company's Board of Directors declared a first quarter 2022 cash dividend of $0.46 per share of common stock, paid on April 1, 2022 to the stockholders of record as of the close of business on March 21, 2022.</w:t>
      </w:r>
    </w:p>
    <w:p>
      <w:pPr>
        <w:spacing w:after="0" w:line="57"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On December 2, 2022, the Board of Directors declared a fourth quarter 2022 cash dividend of $0.51 per share of common stock, paid on January 6, 2023 to the stockholders of record as of the close of business on December 17, 2022.</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Deficit (Continued)</w:t>
      </w:r>
    </w:p>
    <w:p>
      <w:pPr>
        <w:spacing w:after="0" w:line="200" w:lineRule="exact"/>
        <w:rPr>
          <w:sz w:val="20"/>
          <w:szCs w:val="20"/>
          <w:color w:val="auto"/>
        </w:rPr>
      </w:pPr>
    </w:p>
    <w:p>
      <w:pPr>
        <w:spacing w:after="0" w:line="34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On February 21, 2023, the Board of Directors declared a first quarter 2023 cash dividend of $0.51 per share of common stock, paid on March 31, 2023 to the stockholders of record as of the close of business on March 20, 2023.</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7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On February 17, 2022, the Company's Board of Directors authorized a new share repurchase program, effective April 1, 2022, of up to $250 million (the “2022 Repurchase Program”). In connection with the approval of the 2022 Repurchase Program, the 2019 Repurchase Program terminated effective April 1, 2022.</w:t>
      </w:r>
    </w:p>
    <w:p>
      <w:pPr>
        <w:spacing w:after="0" w:line="7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During the three months ended March 31, 2023, the Company repurchased 74,860 shares of common stock at a cost of $5.0 million. Cumulatively, the Company repurchased 1,224,449 shares at a cost of $83.7 million under the 2022 Repurchase Program.</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1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three months ended March 31, 2023, the Company re-issued 194,960 shares of treasury stock at a total FIFO cost of $9.2 million.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1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24.2% for the three months ended March 31, 2023, as compared to 27.2% for the three months ended March 31, 2022. The effective tax rate for the three months ended March 31, 2023 was different than the rate of the prior comparable period primarily due to the recognition of higher excess tax benefits from stock-based compensation and lower non-deductible executive compensation.</w:t>
      </w:r>
    </w:p>
    <w:p>
      <w:pPr>
        <w:spacing w:after="0" w:line="7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total gross unrecognized tax benefit as of March 31, 2023 and December 31, 2022 was $2.6 million and $2.1 million, respectively, excluding interest, penalties and related tax benefits. The Company estimates the unrecognized tax benefit as of March 31, 2023 may decrease over the upcoming 12 months by an amount up to $0.5 million related to settlements with taxing authorities and expiring statutes of limitations. For the remaining liability, due to the uncertainties related to these tax matters, the Company is unable to make a reasonable estimate as to when cash settlement with a taxing authority will occur.</w:t>
      </w:r>
    </w:p>
    <w:p>
      <w:pPr>
        <w:spacing w:after="0" w:line="64" w:lineRule="exact"/>
        <w:rPr>
          <w:sz w:val="20"/>
          <w:szCs w:val="20"/>
          <w:color w:val="auto"/>
        </w:rPr>
      </w:pPr>
    </w:p>
    <w:p>
      <w:pPr>
        <w:jc w:val="both"/>
        <w:ind w:firstLine="320"/>
        <w:spacing w:after="0" w:line="237" w:lineRule="auto"/>
        <w:rPr>
          <w:sz w:val="20"/>
          <w:szCs w:val="20"/>
          <w:color w:val="auto"/>
        </w:rPr>
      </w:pPr>
      <w:r>
        <w:rPr>
          <w:rFonts w:ascii="Times New Roman" w:cs="Times New Roman" w:eastAsia="Times New Roman" w:hAnsi="Times New Roman"/>
          <w:sz w:val="18"/>
          <w:szCs w:val="18"/>
          <w:color w:val="auto"/>
        </w:rPr>
        <w:t>As of March 31, 2023, accrued interest was $0.7 million and accrued penalties were less than $0.1 million, excluding any related income tax benefits. As of December 31, 2022, accrued interest was $0.7 million and accrued penalties were less than $0.1 million, excluding any related income tax benefits. The Company recognizes interest accrued related to unrecognized tax benefits and penalties as a component of the income tax provision recognized in the Consolidated Statements of Comprehensive Income (Loss).</w:t>
      </w:r>
    </w:p>
    <w:p>
      <w:pPr>
        <w:spacing w:after="0" w:line="8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2019 and state or non-United States tax examinations by tax authorities for years before 2011. The Company believes that adequate reserves have been provided related to all matters contained in the tax periods open to 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included in general and administrative expenses in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136"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Borders>
              <w:bottom w:val="single" w:sz="8" w:color="auto"/>
            </w:tcBorders>
          </w:tcPr>
          <w:p>
            <w:pPr>
              <w:spacing w:after="0"/>
              <w:rPr>
                <w:sz w:val="18"/>
                <w:szCs w:val="18"/>
                <w:color w:val="auto"/>
              </w:rPr>
            </w:pPr>
          </w:p>
        </w:tc>
      </w:tr>
      <w:tr>
        <w:trPr>
          <w:trHeight w:val="208"/>
        </w:trPr>
        <w:tc>
          <w:tcPr>
            <w:tcW w:w="77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r>
      <w:tr>
        <w:trPr>
          <w:trHeight w:val="181"/>
        </w:trPr>
        <w:tc>
          <w:tcPr>
            <w:tcW w:w="7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gridSpan w:val="3"/>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5"/>
                <w:szCs w:val="15"/>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4.4</w:t>
            </w:r>
          </w:p>
        </w:tc>
      </w:tr>
      <w:tr>
        <w:trPr>
          <w:trHeight w:val="227"/>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Liability classified awards expense</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0.4</w:t>
            </w:r>
          </w:p>
        </w:tc>
      </w:tr>
      <w:tr>
        <w:trPr>
          <w:trHeight w:val="245"/>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of March 31, 2023, total unrecognized compensation expense of $25.6 million related to restricted stock and restricted stock units and $4.1 million related to stock options are expected to be recognized over a weighted average period of 1.6 years for restricted stock and restricted stock units and 1.6 years for stock options.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Assumptions</w:t>
      </w:r>
    </w:p>
    <w:p>
      <w:pPr>
        <w:spacing w:after="0" w:line="117" w:lineRule="exact"/>
        <w:rPr>
          <w:sz w:val="20"/>
          <w:szCs w:val="20"/>
          <w:color w:val="auto"/>
        </w:rPr>
      </w:pPr>
    </w:p>
    <w:p>
      <w:pPr>
        <w:ind w:right="260" w:firstLine="320"/>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model for stock options granted during the three months ended March 31, 2023:</w:t>
      </w:r>
    </w:p>
    <w:p>
      <w:pPr>
        <w:spacing w:after="0" w:line="102"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volatility</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70.9 %</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years until exercise</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granted</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Stock option balances at March 31, 2023, and activity for the three months ended March 31, 2023 were as follows: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80" w:type="dxa"/>
            <w:vAlign w:val="bottom"/>
          </w:tcPr>
          <w:p>
            <w:pPr>
              <w:spacing w:after="0"/>
              <w:rPr>
                <w:sz w:val="23"/>
                <w:szCs w:val="23"/>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5"/>
        </w:trPr>
        <w:tc>
          <w:tcPr>
            <w:tcW w:w="4520" w:type="dxa"/>
            <w:vAlign w:val="bottom"/>
          </w:tcPr>
          <w:p>
            <w:pPr>
              <w:spacing w:after="0"/>
              <w:rPr>
                <w:sz w:val="12"/>
                <w:szCs w:val="12"/>
                <w:color w:val="auto"/>
              </w:rPr>
            </w:pPr>
          </w:p>
        </w:tc>
        <w:tc>
          <w:tcPr>
            <w:tcW w:w="128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7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7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80" w:type="dxa"/>
            <w:vAlign w:val="bottom"/>
          </w:tcPr>
          <w:p>
            <w:pPr>
              <w:spacing w:after="0"/>
              <w:rPr>
                <w:sz w:val="12"/>
                <w:szCs w:val="12"/>
                <w:color w:val="auto"/>
              </w:rPr>
            </w:pPr>
          </w:p>
        </w:tc>
        <w:tc>
          <w:tcPr>
            <w:tcW w:w="14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4"/>
        </w:trPr>
        <w:tc>
          <w:tcPr>
            <w:tcW w:w="4520" w:type="dxa"/>
            <w:vAlign w:val="bottom"/>
          </w:tcPr>
          <w:p>
            <w:pPr>
              <w:spacing w:after="0"/>
              <w:rPr>
                <w:sz w:val="16"/>
                <w:szCs w:val="16"/>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Under Option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80" w:type="dxa"/>
            <w:vAlign w:val="bottom"/>
          </w:tcPr>
          <w:p>
            <w:pPr>
              <w:spacing w:after="0"/>
              <w:rPr>
                <w:sz w:val="16"/>
                <w:szCs w:val="16"/>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Value (in Millions)</w:t>
            </w:r>
          </w:p>
        </w:tc>
        <w:tc>
          <w:tcPr>
            <w:tcW w:w="0" w:type="dxa"/>
            <w:vAlign w:val="bottom"/>
          </w:tcPr>
          <w:p>
            <w:pPr>
              <w:spacing w:after="0"/>
              <w:rPr>
                <w:sz w:val="1"/>
                <w:szCs w:val="1"/>
                <w:color w:val="auto"/>
              </w:rPr>
            </w:pPr>
          </w:p>
        </w:tc>
      </w:tr>
      <w:tr>
        <w:trPr>
          <w:trHeight w:val="226"/>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539,575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at March 31, 2023 and Expected to Vest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561,092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2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color w:val="auto"/>
              </w:rPr>
              <w:t>Exercisable at March 31, 2023</w:t>
            </w:r>
          </w:p>
        </w:tc>
        <w:tc>
          <w:tcPr>
            <w:tcW w:w="12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437,962</w:t>
            </w:r>
          </w:p>
        </w:tc>
        <w:tc>
          <w:tcPr>
            <w:tcW w:w="22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76.59</w:t>
            </w:r>
          </w:p>
        </w:tc>
        <w:tc>
          <w:tcPr>
            <w:tcW w:w="100" w:type="dxa"/>
            <w:vAlign w:val="bottom"/>
          </w:tcPr>
          <w:p>
            <w:pPr>
              <w:spacing w:after="0"/>
              <w:rPr>
                <w:sz w:val="17"/>
                <w:szCs w:val="17"/>
                <w:color w:val="auto"/>
              </w:rPr>
            </w:pPr>
          </w:p>
        </w:tc>
        <w:tc>
          <w:tcPr>
            <w:tcW w:w="16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auto"/>
                <w:w w:val="97"/>
              </w:rPr>
              <w:t>4.0</w:t>
            </w:r>
          </w:p>
        </w:tc>
        <w:tc>
          <w:tcPr>
            <w:tcW w:w="120" w:type="dxa"/>
            <w:vAlign w:val="bottom"/>
          </w:tcPr>
          <w:p>
            <w:pPr>
              <w:spacing w:after="0"/>
              <w:rPr>
                <w:sz w:val="17"/>
                <w:szCs w:val="17"/>
                <w:color w:val="auto"/>
              </w:rPr>
            </w:pPr>
          </w:p>
        </w:tc>
        <w:tc>
          <w:tcPr>
            <w:tcW w:w="1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line="200"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the Company’s common stock on the last trading day of the first quarter of 2023 and the exercise price, multiplied by the number of in-the-money options) that would have been received by the option holders had all option holders exercised their options on March 31, 2023. The aggregate intrinsic value will change based on the fair market value of the Company’s common stock and the number of in-the-money options.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Stock-Based Compensation (Continued)</w:t>
      </w:r>
    </w:p>
    <w:p>
      <w:pPr>
        <w:spacing w:after="0" w:line="200" w:lineRule="exact"/>
        <w:rPr>
          <w:sz w:val="20"/>
          <w:szCs w:val="20"/>
          <w:color w:val="auto"/>
        </w:rPr>
      </w:pPr>
    </w:p>
    <w:p>
      <w:pPr>
        <w:spacing w:after="0" w:line="3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117" w:lineRule="exact"/>
        <w:rPr>
          <w:sz w:val="20"/>
          <w:szCs w:val="20"/>
          <w:color w:val="auto"/>
        </w:rPr>
      </w:pPr>
    </w:p>
    <w:p>
      <w:pPr>
        <w:jc w:val="both"/>
        <w:ind w:right="80" w:firstLine="320"/>
        <w:spacing w:after="0" w:line="276" w:lineRule="auto"/>
        <w:rPr>
          <w:sz w:val="20"/>
          <w:szCs w:val="20"/>
          <w:color w:val="auto"/>
        </w:rPr>
      </w:pPr>
      <w:r>
        <w:rPr>
          <w:rFonts w:ascii="Times New Roman" w:cs="Times New Roman" w:eastAsia="Times New Roman" w:hAnsi="Times New Roman"/>
          <w:sz w:val="18"/>
          <w:szCs w:val="18"/>
          <w:color w:val="auto"/>
        </w:rPr>
        <w:t>Outstanding balances as of March 31, 2023, and activity related to restricted stock and restricted stock units for the three months ended March 31, 2023 were as follows:</w:t>
      </w:r>
    </w:p>
    <w:p>
      <w:pPr>
        <w:spacing w:after="0" w:line="7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Stock-Settled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7"/>
        </w:trPr>
        <w:tc>
          <w:tcPr>
            <w:tcW w:w="546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9"/>
              <w:spacing w:after="0" w:line="147"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7"/>
        </w:trPr>
        <w:tc>
          <w:tcPr>
            <w:tcW w:w="54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3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9"/>
              <w:spacing w:after="0" w:line="147"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93"/>
        </w:trPr>
        <w:tc>
          <w:tcPr>
            <w:tcW w:w="5460" w:type="dxa"/>
            <w:vAlign w:val="bottom"/>
          </w:tcPr>
          <w:p>
            <w:pPr>
              <w:spacing w:after="0"/>
              <w:rPr>
                <w:sz w:val="16"/>
                <w:szCs w:val="16"/>
                <w:color w:val="auto"/>
              </w:rPr>
            </w:pPr>
          </w:p>
        </w:tc>
        <w:tc>
          <w:tcPr>
            <w:tcW w:w="13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7"/>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0" w:type="dxa"/>
            <w:vAlign w:val="bottom"/>
          </w:tcPr>
          <w:p>
            <w:pPr>
              <w:spacing w:after="0"/>
              <w:rPr>
                <w:sz w:val="1"/>
                <w:szCs w:val="1"/>
                <w:color w:val="auto"/>
              </w:rPr>
            </w:pPr>
          </w:p>
        </w:tc>
      </w:tr>
      <w:tr>
        <w:trPr>
          <w:trHeight w:val="227"/>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0" w:type="dxa"/>
            <w:vAlign w:val="bottom"/>
          </w:tcPr>
          <w:p>
            <w:pPr>
              <w:spacing w:after="0"/>
              <w:rPr>
                <w:sz w:val="1"/>
                <w:szCs w:val="1"/>
                <w:color w:val="auto"/>
              </w:rPr>
            </w:pPr>
          </w:p>
        </w:tc>
      </w:tr>
      <w:tr>
        <w:trPr>
          <w:trHeight w:val="22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0" w:type="dxa"/>
            <w:vAlign w:val="bottom"/>
          </w:tcPr>
          <w:p>
            <w:pPr>
              <w:spacing w:after="0"/>
              <w:rPr>
                <w:sz w:val="1"/>
                <w:szCs w:val="1"/>
                <w:color w:val="auto"/>
              </w:rPr>
            </w:pPr>
          </w:p>
        </w:tc>
      </w:tr>
      <w:tr>
        <w:trPr>
          <w:trHeight w:val="227"/>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45"/>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386,622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Cash-settled Restricted Stock Units</w:t>
      </w:r>
    </w:p>
    <w:p>
      <w:pPr>
        <w:spacing w:after="0" w:line="117" w:lineRule="exact"/>
        <w:rPr>
          <w:sz w:val="20"/>
          <w:szCs w:val="20"/>
          <w:color w:val="auto"/>
        </w:rPr>
      </w:pPr>
    </w:p>
    <w:p>
      <w:pPr>
        <w:jc w:val="both"/>
        <w:ind w:right="80" w:firstLine="320"/>
        <w:spacing w:after="0" w:line="276" w:lineRule="auto"/>
        <w:rPr>
          <w:sz w:val="20"/>
          <w:szCs w:val="20"/>
          <w:color w:val="auto"/>
        </w:rPr>
      </w:pPr>
      <w:r>
        <w:rPr>
          <w:rFonts w:ascii="Times New Roman" w:cs="Times New Roman" w:eastAsia="Times New Roman" w:hAnsi="Times New Roman"/>
          <w:sz w:val="18"/>
          <w:szCs w:val="18"/>
          <w:color w:val="auto"/>
        </w:rPr>
        <w:t>The Company has granted cash-settled restricted stock units to certain employees. These instruments are recorded as liabilities at fair value as of the respective period end.</w:t>
      </w:r>
    </w:p>
    <w:p>
      <w:pPr>
        <w:spacing w:after="0" w:line="57" w:lineRule="exact"/>
        <w:rPr>
          <w:sz w:val="20"/>
          <w:szCs w:val="20"/>
          <w:color w:val="auto"/>
        </w:rPr>
      </w:pPr>
    </w:p>
    <w:p>
      <w:pPr>
        <w:jc w:val="both"/>
        <w:ind w:right="80" w:firstLine="32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2023 and 2022, an expense of zero and $0.2 million, respectively, was included as stock-based compensation expense related to cash-settled restricted stock units. At March 31, 2023 and December 31, 2022, there was no liabilities related to cash-settled restricted stock units.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17" w:lineRule="exact"/>
        <w:rPr>
          <w:sz w:val="20"/>
          <w:szCs w:val="20"/>
          <w:color w:val="auto"/>
        </w:rPr>
      </w:pPr>
    </w:p>
    <w:p>
      <w:pPr>
        <w:jc w:val="both"/>
        <w:ind w:right="80" w:firstLine="320"/>
        <w:spacing w:after="0" w:line="270" w:lineRule="auto"/>
        <w:rPr>
          <w:sz w:val="20"/>
          <w:szCs w:val="20"/>
          <w:color w:val="auto"/>
        </w:rPr>
      </w:pPr>
      <w:r>
        <w:rPr>
          <w:rFonts w:ascii="Times New Roman" w:cs="Times New Roman" w:eastAsia="Times New Roman" w:hAnsi="Times New Roman"/>
          <w:sz w:val="17"/>
          <w:szCs w:val="17"/>
          <w:color w:val="auto"/>
        </w:rPr>
        <w:t>The Company has granted cash long-term incentive awards (“LTIP awards”) to certain employees. Annual LTIP awards vest over a three-year period and are determined using multipliers from 0% to 200% of the target award based on the total stockholder return of Dine Brands Global common stock compared to the total stockholder returns of a peer group of companies. The awards are considered stock-based compensation and are classified as liabilities measured at fair value as of the respective period end. For the three months ended March 31, 2023 and 2022, an expense of $0.7 million and $0.2 million, respectively, was included in total stock-based compensation expense related to LTIP awards. At March 31, 2023 and December 31, 2022, liabilities of $2.8 million and $2.1 million, respectively, related to LTIP awards was included as part of accrued employee compensation and benefits in the Consolidated Balance Sheets.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computation of the Company's basic and diluted net income per share is as follows:</w:t>
      </w:r>
    </w:p>
    <w:p>
      <w:pPr>
        <w:spacing w:after="0" w:line="155"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7960" w:type="dxa"/>
            <w:vAlign w:val="bottom"/>
          </w:tcPr>
          <w:p>
            <w:pPr>
              <w:spacing w:after="0"/>
              <w:rPr>
                <w:sz w:val="18"/>
                <w:szCs w:val="18"/>
                <w:color w:val="auto"/>
              </w:rPr>
            </w:pPr>
          </w:p>
        </w:tc>
        <w:tc>
          <w:tcPr>
            <w:tcW w:w="3040" w:type="dxa"/>
            <w:vAlign w:val="bottom"/>
            <w:tcBorders>
              <w:bottom w:val="single" w:sz="8" w:color="auto"/>
            </w:tcBorders>
            <w:gridSpan w:val="5"/>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8"/>
        </w:trPr>
        <w:tc>
          <w:tcPr>
            <w:tcW w:w="79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3040" w:type="dxa"/>
            <w:vAlign w:val="bottom"/>
            <w:gridSpan w:val="5"/>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4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income per common share:</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27,410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w:t>
            </w:r>
          </w:p>
        </w:tc>
        <w:tc>
          <w:tcPr>
            <w:tcW w:w="0" w:type="dxa"/>
            <w:vAlign w:val="bottom"/>
          </w:tcPr>
          <w:p>
            <w:pPr>
              <w:spacing w:after="0"/>
              <w:rPr>
                <w:sz w:val="1"/>
                <w:szCs w:val="1"/>
                <w:color w:val="auto"/>
              </w:rPr>
            </w:pPr>
          </w:p>
        </w:tc>
      </w:tr>
      <w:tr>
        <w:trPr>
          <w:trHeight w:val="227"/>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26,731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24,252</w:t>
            </w:r>
          </w:p>
        </w:tc>
        <w:tc>
          <w:tcPr>
            <w:tcW w:w="0" w:type="dxa"/>
            <w:vAlign w:val="bottom"/>
          </w:tcPr>
          <w:p>
            <w:pPr>
              <w:spacing w:after="0"/>
              <w:rPr>
                <w:sz w:val="1"/>
                <w:szCs w:val="1"/>
                <w:color w:val="auto"/>
              </w:rPr>
            </w:pPr>
          </w:p>
        </w:tc>
      </w:tr>
      <w:tr>
        <w:trPr>
          <w:trHeight w:val="227"/>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unvested participating restricted stock in two-class calculation</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diluted</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26,732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9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0" w:type="dxa"/>
            <w:vAlign w:val="bottom"/>
          </w:tcPr>
          <w:p>
            <w:pPr>
              <w:spacing w:after="0"/>
              <w:rPr>
                <w:sz w:val="1"/>
                <w:szCs w:val="1"/>
                <w:color w:val="auto"/>
              </w:rPr>
            </w:pPr>
          </w:p>
        </w:tc>
      </w:tr>
      <w:tr>
        <w:trPr>
          <w:trHeight w:val="227"/>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9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15,339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9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960" w:type="dxa"/>
            <w:vAlign w:val="bottom"/>
          </w:tcPr>
          <w:p>
            <w:pPr>
              <w:ind w:left="220"/>
              <w:spacing w:after="0" w:line="200" w:lineRule="exact"/>
              <w:rPr>
                <w:sz w:val="20"/>
                <w:szCs w:val="20"/>
                <w:color w:val="auto"/>
              </w:rPr>
            </w:pPr>
            <w:r>
              <w:rPr>
                <w:rFonts w:ascii="Times New Roman" w:cs="Times New Roman" w:eastAsia="Times New Roman" w:hAnsi="Times New Roman"/>
                <w:sz w:val="18"/>
                <w:szCs w:val="18"/>
                <w:color w:val="auto"/>
              </w:rPr>
              <w:t>Diluted</w:t>
            </w:r>
          </w:p>
        </w:tc>
        <w:tc>
          <w:tcPr>
            <w:tcW w:w="900" w:type="dxa"/>
            <w:vAlign w:val="bottom"/>
            <w:tcBorders>
              <w:bottom w:val="single" w:sz="8" w:color="auto"/>
            </w:tcBorders>
          </w:tcPr>
          <w:p>
            <w:pPr>
              <w:jc w:val="right"/>
              <w:ind w:right="716"/>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320" w:top="11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14" w:right="2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11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 decisions. The Company currently has six operating segments: Applebee's franchise operations, IHOP franchise operations, Fuzzy's franchise operations, rental operations, financing operations, and company-operated restaurant operations. The Company has four reporting segments: franchise operations (an aggregation of each restaurant concept's franchise operations), company-operated restaurant operations, rental operations and financing operations. The Company considers these to be its reportable segments, regardless of whether any segment exceeds 10% of consolidated revenues, income before income tax provision or total assets.</w:t>
      </w:r>
    </w:p>
    <w:p>
      <w:pPr>
        <w:spacing w:after="0" w:line="77"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As of March 31, 2023, the franchise operations segment consisted of 1,673 restaurants operated by Applebee’s franchisees in the United States, two U.S. territories and 12 countries outside the United States; 1,790 restaurants operated by IHOP franchisees and area licensees in the United States, two U.S. territories and 11 countries outside the United States; and 134 restaurants operated by Fuzzy's franchisees in the United States. Franchise operations revenue consists primarily of franchise royalty revenues, franchise advertising revenue, sales of proprietary products to franchisees (primarily pancake and waffle dry mixes for the IHOP restaurants), and other franchise fees. Franchise operations expenses include advertising expense, the cost of proprietary products, pre-opening training expenses and other franchise-related costs.</w:t>
      </w:r>
    </w:p>
    <w:p>
      <w:pPr>
        <w:spacing w:after="0" w:line="7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real estate leases. Rental operations expenses are costs of operating leases and interest expense from finance leases on which the Company is the lessee.</w:t>
      </w:r>
    </w:p>
    <w:p>
      <w:pPr>
        <w:spacing w:after="0" w:line="57" w:lineRule="exact"/>
        <w:rPr>
          <w:sz w:val="20"/>
          <w:szCs w:val="20"/>
          <w:color w:val="auto"/>
        </w:rPr>
      </w:pPr>
    </w:p>
    <w:p>
      <w:pPr>
        <w:ind w:right="140" w:firstLine="320"/>
        <w:spacing w:after="0" w:line="276" w:lineRule="auto"/>
        <w:rPr>
          <w:sz w:val="20"/>
          <w:szCs w:val="20"/>
          <w:color w:val="auto"/>
        </w:rPr>
      </w:pPr>
      <w:r>
        <w:rPr>
          <w:rFonts w:ascii="Times New Roman" w:cs="Times New Roman" w:eastAsia="Times New Roman" w:hAnsi="Times New Roman"/>
          <w:sz w:val="18"/>
          <w:szCs w:val="18"/>
          <w:color w:val="auto"/>
        </w:rPr>
        <w:t>Financing operations revenue primarily consists of interest income from the financing of IHOP equipment leases and franchise fees and interest income on Applebee's notes receivable from franchisees. Financing operations expenses primarily are the cost of taxes related to IHOP equipment leases.</w:t>
      </w:r>
    </w:p>
    <w:p>
      <w:pPr>
        <w:spacing w:after="0" w:line="5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As of March 31, 2023, the company operations segment consisted of three Fuzzy's restaurants that were acquired in December 2022. During three months ended March 31, 2022, the Company operated 69 Applebee's restaurants that were sold in October 2022. All company-operated restaurants are located in the United States. Company-operated restaurant operation revenue consists of retail sales at company operated restaurants. Company-operated restaurant operation expenses are operating expenses such as food, beverage, labor, benefits, utilities, rent and other operating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segments is as follows: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Segments (Continued)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5"/>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from external customers: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0"/>
                <w:szCs w:val="20"/>
                <w:color w:val="auto"/>
              </w:rPr>
            </w:pPr>
          </w:p>
        </w:tc>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gridSpan w:val="2"/>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0"/>
                <w:szCs w:val="20"/>
                <w:color w:val="auto"/>
              </w:rPr>
            </w:pPr>
          </w:p>
        </w:tc>
        <w:tc>
          <w:tcPr>
            <w:tcW w:w="7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gridSpan w:val="2"/>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20" w:type="dxa"/>
            <w:vAlign w:val="bottom"/>
          </w:tcPr>
          <w:p>
            <w:pPr>
              <w:spacing w:after="0"/>
              <w:rPr>
                <w:sz w:val="14"/>
                <w:szCs w:val="14"/>
                <w:color w:val="auto"/>
              </w:rPr>
            </w:pPr>
          </w:p>
        </w:tc>
        <w:tc>
          <w:tcPr>
            <w:tcW w:w="7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by segment: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Corporate and unallocated expenses, net</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Closure and Impairment Charges</w:t>
            </w: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4"/>
        </w:trPr>
        <w:tc>
          <w:tcPr>
            <w:tcW w:w="78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Closure and impairment charges for the three months ended March 31, 2023 and 2022 were as follows: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Long-lived tangible asset impairment</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0"/>
                <w:szCs w:val="20"/>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closure and impairment charges</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closure charges for the three months ended March 31, 2023 related to revisions to existing closure reserves, including accretion, primarily for 28 IHOP restaurants closed prior to December 31, 2022.</w:t>
      </w:r>
    </w:p>
    <w:p>
      <w:pPr>
        <w:spacing w:after="0" w:line="5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closure charges of $0.1 million for the three months ended March 31, 2022 related to the establishment of or revisions to existing closure reserves for approximately 35 IHOP restaurants.</w:t>
      </w:r>
    </w:p>
    <w:p>
      <w:pPr>
        <w:spacing w:after="0" w:line="5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long-lived asset impairment of $0.1 million for the three months ended March 31, 2023 related to certain Fuzzy's company restaurant equipment for which the carrying value exceeded its fair value.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1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w:t>
      </w:r>
    </w:p>
    <w:p>
      <w:pPr>
        <w:sectPr>
          <w:pgSz w:w="11900" w:h="16838" w:orient="portrait"/>
          <w:cols w:equalWidth="0" w:num="1">
            <w:col w:w="11240"/>
          </w:cols>
          <w:pgMar w:left="320" w:top="114" w:right="339" w:bottom="9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 w:right="339" w:bottom="966"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 (Continued)</w:t>
      </w:r>
    </w:p>
    <w:p>
      <w:pPr>
        <w:spacing w:after="0" w:line="200" w:lineRule="exact"/>
        <w:rPr>
          <w:sz w:val="20"/>
          <w:szCs w:val="20"/>
          <w:color w:val="auto"/>
        </w:rPr>
      </w:pPr>
    </w:p>
    <w:p>
      <w:pPr>
        <w:spacing w:after="0" w:line="27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to be measured at fair value on a recurring basis. The Company has not elected to use the fair value measurement option, as permitted under U.S. GAAP, for any assets or liabilities for which fair value measurement is not presently required.</w:t>
      </w:r>
    </w:p>
    <w:p>
      <w:pPr>
        <w:spacing w:after="0" w:line="57"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The Company believes the fair values of cash equivalents, accounts receivable and accounts payable approximate their carrying amounts due to their short duration.</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values of the Company's 2019 Class A-2 Notes at March 31, 2023 and December 31, 2022 were as follows:</w:t>
      </w:r>
    </w:p>
    <w:p>
      <w:pPr>
        <w:spacing w:after="0" w:line="200" w:lineRule="exact"/>
        <w:rPr>
          <w:sz w:val="20"/>
          <w:szCs w:val="20"/>
          <w:color w:val="auto"/>
        </w:rPr>
      </w:pPr>
    </w:p>
    <w:p>
      <w:pPr>
        <w:spacing w:after="0" w:line="302" w:lineRule="exact"/>
        <w:rPr>
          <w:sz w:val="20"/>
          <w:szCs w:val="20"/>
          <w:color w:val="auto"/>
        </w:rPr>
      </w:pPr>
    </w:p>
    <w:tbl>
      <w:tblPr>
        <w:tblLayout w:type="fixed"/>
        <w:tblInd w:w="840" w:type="dxa"/>
        <w:tblCellMar>
          <w:top w:w="0" w:type="dxa"/>
          <w:left w:w="0" w:type="dxa"/>
          <w:bottom w:w="0" w:type="dxa"/>
          <w:right w:w="0" w:type="dxa"/>
        </w:tblCellMar>
      </w:tblPr>
      <w:tr>
        <w:trPr>
          <w:trHeight w:val="213"/>
        </w:trPr>
        <w:tc>
          <w:tcPr>
            <w:tcW w:w="6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89"/>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4"/>
          </w:tcPr>
          <w:p>
            <w:pPr>
              <w:jc w:val="right"/>
              <w:ind w:right="143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8"/>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 Value of Class A-2 Notes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612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color w:val="auto"/>
              </w:rPr>
              <w:t>Fair Value of Class A-2 Notes</w:t>
            </w:r>
          </w:p>
        </w:tc>
        <w:tc>
          <w:tcPr>
            <w:tcW w:w="260" w:type="dxa"/>
            <w:vAlign w:val="bottom"/>
            <w:tcBorders>
              <w:bottom w:val="single" w:sz="8" w:color="auto"/>
            </w:tcBorders>
          </w:tcPr>
          <w:p>
            <w:pPr>
              <w:jc w:val="right"/>
              <w:ind w:right="7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1,152.3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1,167.0</w:t>
            </w: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420" w:firstLine="320"/>
        <w:spacing w:after="0" w:line="276" w:lineRule="auto"/>
        <w:rPr>
          <w:sz w:val="20"/>
          <w:szCs w:val="20"/>
          <w:color w:val="auto"/>
        </w:rPr>
      </w:pPr>
      <w:r>
        <w:rPr>
          <w:rFonts w:ascii="Times New Roman" w:cs="Times New Roman" w:eastAsia="Times New Roman" w:hAnsi="Times New Roman"/>
          <w:sz w:val="18"/>
          <w:szCs w:val="18"/>
          <w:color w:val="auto"/>
        </w:rPr>
        <w:t>The fair values were determined based on Level 2 inputs, including information gathered from brokers who trade in the Company’s 2019 Class A-2 Notes, as well as information on notes that are similar to those of the Company.</w:t>
      </w:r>
    </w:p>
    <w:p>
      <w:pPr>
        <w:spacing w:after="0" w:line="295" w:lineRule="exact"/>
        <w:rPr>
          <w:sz w:val="20"/>
          <w:szCs w:val="20"/>
          <w:color w:val="auto"/>
        </w:rPr>
      </w:pPr>
    </w:p>
    <w:p>
      <w:pPr>
        <w:ind w:left="320" w:right="8460" w:hanging="313"/>
        <w:spacing w:after="0" w:line="393" w:lineRule="auto"/>
        <w:tabs>
          <w:tab w:leader="none" w:pos="267"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Litigation, Claims and Disputes</w:t>
      </w:r>
    </w:p>
    <w:p>
      <w:pPr>
        <w:spacing w:after="0" w:line="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1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connection with the refranchising of Applebee’s restaurants to franchisees, the Company has, in certain cases, guaranteed or has potential continuing liability for lease payments totaling $433.4 million as of March 31, 2023. This amount represents the maximum potential liability for future payments under these leases. These leases have been assigned to the buyers and expire at the end of the respective lease terms, which range from 2023 through 2058. Excluding unexercised option periods, the Company's potential liability for future payments under these leases is $99.0 million. In the event of default, the indemnity and default clauses in the sale or assignment agreements govern the Company's ability to pursue and recover damages incurred.</w:t>
      </w:r>
    </w:p>
    <w:p>
      <w:pPr>
        <w:spacing w:after="0" w:line="200" w:lineRule="exact"/>
        <w:rPr>
          <w:sz w:val="20"/>
          <w:szCs w:val="20"/>
          <w:color w:val="auto"/>
        </w:rPr>
      </w:pPr>
    </w:p>
    <w:p>
      <w:pPr>
        <w:spacing w:after="0" w:line="222" w:lineRule="exact"/>
        <w:rPr>
          <w:sz w:val="20"/>
          <w:szCs w:val="20"/>
          <w:color w:val="auto"/>
        </w:rPr>
      </w:pPr>
    </w:p>
    <w:p>
      <w:pPr>
        <w:ind w:left="320" w:right="7580" w:hanging="313"/>
        <w:spacing w:after="0" w:line="372" w:lineRule="auto"/>
        <w:tabs>
          <w:tab w:leader="none" w:pos="26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b w:val="1"/>
          <w:bCs w:val="1"/>
          <w:i w:val="1"/>
          <w:iCs w:val="1"/>
          <w:color w:val="auto"/>
        </w:rPr>
        <w:t>Cash and Cash Equivalents</w:t>
      </w: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cash and cash equivalents were as follows:</w:t>
      </w:r>
    </w:p>
    <w:p>
      <w:pPr>
        <w:spacing w:after="0" w:line="329"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89"/>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80" w:type="dxa"/>
            <w:vAlign w:val="bottom"/>
            <w:gridSpan w:val="4"/>
          </w:tcPr>
          <w:p>
            <w:pPr>
              <w:jc w:val="right"/>
              <w:ind w:right="13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advertising funds and gift card programs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depository accounts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Cash, Cash Equivalents and Restricted Cash (Continued)</w:t>
      </w:r>
    </w:p>
    <w:p>
      <w:pPr>
        <w:spacing w:after="0" w:line="200" w:lineRule="exact"/>
        <w:rPr>
          <w:sz w:val="20"/>
          <w:szCs w:val="20"/>
          <w:color w:val="auto"/>
        </w:rPr>
      </w:pPr>
    </w:p>
    <w:p>
      <w:pPr>
        <w:spacing w:after="0" w:line="3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Current Restricted Cash</w:t>
      </w:r>
    </w:p>
    <w:p>
      <w:pPr>
        <w:spacing w:after="0" w:line="11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current restricted cash were as follows:</w:t>
      </w:r>
    </w:p>
    <w:p>
      <w:pPr>
        <w:spacing w:after="0" w:line="329"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89"/>
        </w:trPr>
        <w:tc>
          <w:tcPr>
            <w:tcW w:w="7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80" w:type="dxa"/>
            <w:vAlign w:val="bottom"/>
            <w:gridSpan w:val="4"/>
          </w:tcPr>
          <w:p>
            <w:pPr>
              <w:jc w:val="right"/>
              <w:ind w:right="13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advertising funds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0"/>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Non-current Restricted Cash</w:t>
      </w:r>
    </w:p>
    <w:p>
      <w:pPr>
        <w:spacing w:after="0" w:line="11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Non-current restricted cash was $16.4 million and $16.4 million at March 31, 2023 and December 31, 2022, respectively, and represents interest reserves required to be set aside for the duration of the Company's securitized debt.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1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On April 17, 2023, Applebee’s Funding LLC and IHOP Funding LLC (the “Co-Issuers”), each a special purpose, wholly-owned indirect subsidiary of the Company, issued the Series 2023-1 7.824% Fixed Rate Senior Secured Notes, Class A-2 (the “New Notes”) in an initial aggregate principal amount of $500 million. The New Notes were issued pursuant to an offering exempt from registration under the Securities Act of 1933, as amended. Payment of principal and interest is required to be made on the New Notes on a quarterly basis. The payment of principal on the New Notes may be suspended when the leverage ratio for the Corporation and its subsidiaries is less than or equal to 5.25x. The legal final maturity of the New Notes is in March 2053, but it is anticipated that, unless earlier prepaid to the extent permitted under the Indenture, the New Notes will be repaid in June 2029.</w:t>
      </w:r>
    </w:p>
    <w:p>
      <w:pPr>
        <w:spacing w:after="0" w:line="77"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New Notes were issued in a securitization transaction pursuant to which substantially all of the domestic revenue- generating assets and domestic intellectual property held by the Co-Issuers and certain other special-purpose, wholly-owned indirect subsidiaries of the Company were pledged as collateral to secure the New Notes.</w:t>
      </w:r>
    </w:p>
    <w:p>
      <w:pPr>
        <w:spacing w:after="0" w:line="7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Company used the net proceeds of the offering along with cash on hand to repay the entire outstanding balance of approximately $585 million of the Class A-2-I Notes and to pay fees and expenses incurred in connection with the issuance of the New Notes.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provides information which we believe is relevant to an assessment and understanding of our consolidated results of operations and financial condition. The discussion should be read in conjunction with the consolidated financial statements and the notes thereto included in Item 1 of Part I of this Quarterly Report and the audited consolidated financial statements and notes thereto and the MD&amp;A contained in the Company’s Annual Report on Form 10-K for the fiscal year ended December 31, 2022.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74" w:lineRule="exact"/>
        <w:rPr>
          <w:sz w:val="20"/>
          <w:szCs w:val="20"/>
          <w:color w:val="auto"/>
        </w:rPr>
      </w:pPr>
    </w:p>
    <w:p>
      <w:pPr>
        <w:jc w:val="both"/>
        <w:ind w:firstLine="320"/>
        <w:spacing w:after="0" w:line="203" w:lineRule="auto"/>
        <w:rPr>
          <w:sz w:val="20"/>
          <w:szCs w:val="20"/>
          <w:color w:val="auto"/>
        </w:rPr>
      </w:pPr>
      <w:r>
        <w:rPr>
          <w:rFonts w:ascii="Times New Roman" w:cs="Times New Roman" w:eastAsia="Times New Roman" w:hAnsi="Times New Roman"/>
          <w:sz w:val="18"/>
          <w:szCs w:val="18"/>
          <w:color w:val="auto"/>
        </w:rPr>
        <w:t>Through various subsidiaries, we own and franchise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full-service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mid-scale full-service restaurant segment within the family dining category of the restaurant industry, and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limited-service restaurant segment within the fast-casual dining category of the restaurant industry. References herein to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restaurants are to these three restaurant concepts, whether operated by franchisees, area licensees and their sub-licensees (collectively, “area licensees”) or by us. With 3,600 franchised and company-operated restaurants combined, we believe we are one of the largest full-service restaurant companies in the world.</w:t>
      </w:r>
    </w:p>
    <w:p>
      <w:pPr>
        <w:spacing w:after="0" w:line="9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identify our business segments based on the organizational units used by management to monitor performance and make operating decisions. We currently have six operating segments: Applebee's franchise operations, IHOP franchise operations, Fuzzy's franchise operations, rental operations, financing operations, and company-operated restaurant operations. We have four reportable segments: franchise operations (an aggregation of each restaurant concept's franchise operations), rental operations, financing operations, and company-operated restaurant operations. We consider these to be our reportable segments, regardless of whether any segment exceeds 10% of consolidated revenues, income before income tax provision or total assets.</w:t>
      </w:r>
    </w:p>
    <w:p>
      <w:pPr>
        <w:spacing w:after="0" w:line="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Fuzzy's was acquired in December 2022 and therefore the results of its operations are included herein. However, the key performance indicators in the following sections only include the results of operations of Applebee's and IHOP, unless otherwise noted, as prior period data is not available for Fuzzy’s.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115"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financial tables appearing in MD&amp;A present amounts in millions of dollars that are rounded from our consolidated financial statements presented in thousands of dollars. As a result, the tables may not foot or crossfoot due to rounding.</w:t>
      </w:r>
    </w:p>
    <w:p>
      <w:pPr>
        <w:spacing w:after="0" w:line="78"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3140" w:type="dxa"/>
            <w:vAlign w:val="bottom"/>
            <w:gridSpan w:val="6"/>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Pr>
          <w:p>
            <w:pPr>
              <w:spacing w:after="0"/>
              <w:rPr>
                <w:sz w:val="16"/>
                <w:szCs w:val="16"/>
                <w:color w:val="auto"/>
              </w:rPr>
            </w:pPr>
          </w:p>
        </w:tc>
        <w:tc>
          <w:tcPr>
            <w:tcW w:w="1240" w:type="dxa"/>
            <w:vAlign w:val="bottom"/>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104"/>
        </w:trPr>
        <w:tc>
          <w:tcPr>
            <w:tcW w:w="572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vMerge w:val="restart"/>
          </w:tcPr>
          <w:p>
            <w:pPr>
              <w:jc w:val="center"/>
              <w:ind w:right="196"/>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(Unfavorable)</w:t>
            </w:r>
          </w:p>
        </w:tc>
        <w:tc>
          <w:tcPr>
            <w:tcW w:w="0" w:type="dxa"/>
            <w:vAlign w:val="bottom"/>
          </w:tcPr>
          <w:p>
            <w:pPr>
              <w:spacing w:after="0"/>
              <w:rPr>
                <w:sz w:val="1"/>
                <w:szCs w:val="1"/>
                <w:color w:val="auto"/>
              </w:rPr>
            </w:pPr>
          </w:p>
        </w:tc>
      </w:tr>
      <w:tr>
        <w:trPr>
          <w:trHeight w:val="36"/>
        </w:trPr>
        <w:tc>
          <w:tcPr>
            <w:tcW w:w="5720" w:type="dxa"/>
            <w:vAlign w:val="bottom"/>
          </w:tcPr>
          <w:p>
            <w:pPr>
              <w:spacing w:after="0"/>
              <w:rPr>
                <w:sz w:val="3"/>
                <w:szCs w:val="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572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183"/>
        </w:trPr>
        <w:tc>
          <w:tcPr>
            <w:tcW w:w="5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7"/>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8"/>
        </w:trPr>
        <w:tc>
          <w:tcPr>
            <w:tcW w:w="572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shd w:val="clear" w:color="auto" w:fill="CCEEFF"/>
          </w:tcPr>
          <w:p>
            <w:pPr>
              <w:jc w:val="right"/>
              <w:ind w:right="715"/>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600"/>
              <w:spacing w:after="0" w:line="194" w:lineRule="exact"/>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6"/>
              <w:spacing w:after="0" w:line="194"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5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24.2 %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7"/>
              </w:rPr>
              <w:t>27.2 %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5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7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 increase</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9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2023 was different than the rate of the prior comparable period primarily due to the recognition of higher excess tax benefits from stock-based compensation and lower non-deductible executive compensation.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following table highlights the primary components of the increase in our income before income taxes for the three months ended March 31, 2023, compared to our income before income taxes for the three ended March 31, 2022 (in millions):</w:t>
      </w:r>
    </w:p>
    <w:p>
      <w:pPr>
        <w:spacing w:after="0" w:line="78"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8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Favorable</w:t>
            </w:r>
          </w:p>
        </w:tc>
      </w:tr>
      <w:tr>
        <w:trPr>
          <w:trHeight w:val="212"/>
        </w:trPr>
        <w:tc>
          <w:tcPr>
            <w:tcW w:w="8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(Unfavorable) Variance</w:t>
            </w:r>
          </w:p>
        </w:tc>
      </w:tr>
      <w:tr>
        <w:trPr>
          <w:trHeight w:val="155"/>
        </w:trPr>
        <w:tc>
          <w:tcPr>
            <w:tcW w:w="8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jc w:val="center"/>
              <w:ind w:right="54"/>
              <w:spacing w:after="0" w:line="155" w:lineRule="exact"/>
              <w:rPr>
                <w:sz w:val="20"/>
                <w:szCs w:val="20"/>
                <w:color w:val="auto"/>
              </w:rPr>
            </w:pPr>
            <w:r>
              <w:rPr>
                <w:rFonts w:ascii="Times New Roman" w:cs="Times New Roman" w:eastAsia="Times New Roman" w:hAnsi="Times New Roman"/>
                <w:sz w:val="16"/>
                <w:szCs w:val="16"/>
                <w:b w:val="1"/>
                <w:bCs w:val="1"/>
                <w:color w:val="auto"/>
                <w:w w:val="99"/>
              </w:rPr>
              <w:t>Three months ended March</w:t>
            </w:r>
          </w:p>
        </w:tc>
      </w:tr>
      <w:tr>
        <w:trPr>
          <w:trHeight w:val="210"/>
        </w:trPr>
        <w:tc>
          <w:tcPr>
            <w:tcW w:w="8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31, 2023</w:t>
            </w:r>
          </w:p>
        </w:tc>
      </w:tr>
      <w:tr>
        <w:trPr>
          <w:trHeight w:val="20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gross profit:</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7"/>
        </w:trPr>
        <w:tc>
          <w:tcPr>
            <w:tcW w:w="8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Applebee's franchise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7"/>
        </w:trPr>
        <w:tc>
          <w:tcPr>
            <w:tcW w:w="8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IHOP franchise operations</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7"/>
        </w:trPr>
        <w:tc>
          <w:tcPr>
            <w:tcW w:w="8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Fuzzy's franchise operations</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7"/>
        </w:trPr>
        <w:tc>
          <w:tcPr>
            <w:tcW w:w="8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7"/>
        </w:trPr>
        <w:tc>
          <w:tcPr>
            <w:tcW w:w="8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Rental and financing operations</w:t>
            </w: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increase in gross profit</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7"/>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closure and impairment charges</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7"/>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general and administrative ("G&amp;A") expenses</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7"/>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income before income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8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Total gross profit for the three months ended March 31, 2023 increased compared with the same period of the prior year, primarily due to the increased revenue from franchise and rental operations, partially offset by the decrease in company operations resulting from the refranchising of our 69 Applebee's company-operated restaurants in October 2022. Additionally, the increase in income before income taxes included an increase in G&amp;A expenses.</w:t>
      </w:r>
    </w:p>
    <w:p>
      <w:pPr>
        <w:spacing w:after="0" w:line="7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Increases in commodity, labor and other restaurant operating costs experienced at restaurants owned and operated by our franchisees could impact us to the extent our franchisees are adversely impacted by a sustained decline in their operating margins. At company operated restaurants, increases in commodity, labor and other restaurant operating costs impact us directly.</w:t>
      </w:r>
    </w:p>
    <w:p>
      <w:pPr>
        <w:spacing w:after="0" w:line="69" w:lineRule="exact"/>
        <w:rPr>
          <w:sz w:val="20"/>
          <w:szCs w:val="20"/>
          <w:color w:val="auto"/>
        </w:rPr>
      </w:pPr>
    </w:p>
    <w:p>
      <w:pPr>
        <w:jc w:val="both"/>
        <w:ind w:firstLine="320"/>
        <w:spacing w:after="0" w:line="278"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“Consolidated Results of Operations - Comparison of the Three Months ended March 31, 2023 and March 31, 2022”</w:t>
      </w:r>
      <w:r>
        <w:rPr>
          <w:rFonts w:ascii="Times New Roman" w:cs="Times New Roman" w:eastAsia="Times New Roman" w:hAnsi="Times New Roman"/>
          <w:sz w:val="18"/>
          <w:szCs w:val="18"/>
          <w:color w:val="auto"/>
        </w:rPr>
        <w:t xml:space="preserve"> for additional discussion of the changes shown above.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1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key performance indicators for the three months ended March 31, 2023 were as follows:</w:t>
      </w:r>
    </w:p>
    <w:p>
      <w:pPr>
        <w:spacing w:after="0" w:line="155"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32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r>
      <w:tr>
        <w:trPr>
          <w:trHeight w:val="208"/>
        </w:trPr>
        <w:tc>
          <w:tcPr>
            <w:tcW w:w="7620" w:type="dxa"/>
            <w:vAlign w:val="bottom"/>
          </w:tcPr>
          <w:p>
            <w:pPr>
              <w:spacing w:after="0"/>
              <w:rPr>
                <w:sz w:val="18"/>
                <w:szCs w:val="18"/>
                <w:color w:val="auto"/>
              </w:rPr>
            </w:pPr>
          </w:p>
        </w:tc>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Applebee's</w:t>
            </w:r>
          </w:p>
        </w:tc>
        <w:tc>
          <w:tcPr>
            <w:tcW w:w="156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IHOP</w:t>
            </w:r>
          </w:p>
        </w:tc>
      </w:tr>
      <w:tr>
        <w:trPr>
          <w:trHeight w:val="221"/>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percentage increase in reported retail sales - 2023 vs. 2022</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11.4%</w:t>
            </w:r>
          </w:p>
        </w:tc>
      </w:t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increase in domestic system-wide same-restaurant sales - 2023 vs. 2022</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8.7%</w:t>
            </w:r>
          </w:p>
        </w:tc>
      </w:tr>
      <w:tr>
        <w:trPr>
          <w:trHeight w:val="227"/>
        </w:trPr>
        <w:tc>
          <w:tcPr>
            <w:tcW w:w="7620" w:type="dxa"/>
            <w:vAlign w:val="bottom"/>
            <w:shd w:val="clear" w:color="auto" w:fill="CCEEFF"/>
          </w:tcPr>
          <w:p>
            <w:pPr>
              <w:ind w:left="20"/>
              <w:spacing w:after="0" w:line="227" w:lineRule="exact"/>
              <w:rPr>
                <w:sz w:val="20"/>
                <w:szCs w:val="20"/>
                <w:color w:val="auto"/>
              </w:rPr>
            </w:pPr>
            <w:r>
              <w:rPr>
                <w:rFonts w:ascii="Times New Roman" w:cs="Times New Roman" w:eastAsia="Times New Roman" w:hAnsi="Times New Roman"/>
                <w:sz w:val="18"/>
                <w:szCs w:val="18"/>
                <w:color w:val="auto"/>
              </w:rPr>
              <w:t xml:space="preserve">Net franchise restaurant (reduction) increase </w:t>
            </w:r>
            <w:r>
              <w:rPr>
                <w:rFonts w:ascii="Times New Roman" w:cs="Times New Roman" w:eastAsia="Times New Roman" w:hAnsi="Times New Roman"/>
                <w:sz w:val="20"/>
                <w:szCs w:val="20"/>
                <w:color w:val="auto"/>
                <w:vertAlign w:val="superscript"/>
              </w:rPr>
              <w:t>(1)</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30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(decrease) increase in total effective restaurants </w:t>
            </w:r>
            <w:r>
              <w:rPr>
                <w:rFonts w:ascii="Times New Roman" w:cs="Times New Roman" w:eastAsia="Times New Roman" w:hAnsi="Times New Roman"/>
                <w:sz w:val="23"/>
                <w:szCs w:val="23"/>
                <w:color w:val="auto"/>
                <w:vertAlign w:val="superscript"/>
              </w:rPr>
              <w:t>(2)</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18" w:lineRule="exact"/>
        <w:rPr>
          <w:sz w:val="20"/>
          <w:szCs w:val="20"/>
          <w:color w:val="auto"/>
        </w:rPr>
      </w:pPr>
    </w:p>
    <w:p>
      <w:pPr>
        <w:ind w:left="460" w:hanging="134"/>
        <w:spacing w:after="0"/>
        <w:tabs>
          <w:tab w:leader="none" w:pos="46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Franchise and area license restaurant closings, net of openings, during the three months ended March 31, 2023 and 2022.</w:t>
      </w:r>
    </w:p>
    <w:p>
      <w:pPr>
        <w:spacing w:after="0" w:line="7" w:lineRule="exact"/>
        <w:rPr>
          <w:rFonts w:ascii="Times New Roman" w:cs="Times New Roman" w:eastAsia="Times New Roman" w:hAnsi="Times New Roman"/>
          <w:sz w:val="9"/>
          <w:szCs w:val="9"/>
          <w:color w:val="auto"/>
        </w:rPr>
      </w:pPr>
    </w:p>
    <w:p>
      <w:pPr>
        <w:ind w:left="320" w:firstLine="6"/>
        <w:spacing w:after="0" w:line="242" w:lineRule="auto"/>
        <w:tabs>
          <w:tab w:leader="none" w:pos="464"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Change in the weighted average number of franchise, area license and company-operated restaurants open during the three months ended March 31, 2023, compared to the weighted average number of those open during the same period of 2022.</w:t>
      </w:r>
    </w:p>
    <w:p>
      <w:pPr>
        <w:spacing w:after="0" w:line="338"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The change in total effective restaurants for each brand reflects both permanent closures, net of openings, over the past 12 months as well as the weighted effect of restaurants temporarily closed during each 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487045</wp:posOffset>
            </wp:positionV>
            <wp:extent cx="5288915" cy="2327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88915" cy="2327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Domestic Same-Restaurant Sales</w:t>
      </w:r>
    </w:p>
    <w:p>
      <w:pPr>
        <w:spacing w:after="0" w:line="248"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Applebee’s system-wide domestic same-restaurant sales increased 6.1% for the three months ended March 31, 2023 compared to the same period of 2022. The growth in same-restaurant sales was primarily due to an increase in average check as well as a slight increase in traffic. The increase in average check was primarily due to successful promotional food offerings and our continued resurgence of our dine-in channel, and menu price increases by franchisees. The slight increase in traffic was primarily due to a favorable recovery from the COVID-19 Omicron variant's impact in the prior year's first quarter partially offset by a decrease in traffic towards the end of the first quarter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Off-premise Sales Data</w:t>
            </w:r>
          </w:p>
        </w:tc>
        <w:tc>
          <w:tcPr>
            <w:tcW w:w="3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7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1"/>
        </w:trPr>
        <w:tc>
          <w:tcPr>
            <w:tcW w:w="726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297.0</w:t>
            </w:r>
          </w:p>
        </w:tc>
      </w:tr>
      <w:tr>
        <w:trPr>
          <w:trHeight w:val="232"/>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27.6 %</w:t>
            </w:r>
          </w:p>
        </w:tc>
      </w:tr>
    </w:tbl>
    <w:p>
      <w:pPr>
        <w:spacing w:after="0" w:line="158" w:lineRule="exact"/>
        <w:rPr>
          <w:sz w:val="20"/>
          <w:szCs w:val="20"/>
          <w:color w:val="auto"/>
        </w:rPr>
      </w:pPr>
    </w:p>
    <w:p>
      <w:pPr>
        <w:ind w:left="140" w:hanging="133"/>
        <w:spacing w:after="0"/>
        <w:tabs>
          <w:tab w:leader="none" w:pos="14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to-go, delivery and catering sales for comparable 2023 and 2022 restaurants.</w:t>
      </w:r>
    </w:p>
    <w:p>
      <w:pPr>
        <w:spacing w:after="0" w:line="123"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Applebee's increase in same-restaurant sales for the three months ended March 31, 2023 underperformed the casual dining segment of the restaurant industry (excluding Applebee's) during the same period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47625</wp:posOffset>
            </wp:positionV>
            <wp:extent cx="5288915" cy="2327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88915" cy="2327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20"/>
        <w:spacing w:after="0" w:line="246" w:lineRule="auto"/>
        <w:rPr>
          <w:sz w:val="20"/>
          <w:szCs w:val="20"/>
          <w:color w:val="auto"/>
        </w:rPr>
      </w:pPr>
      <w:r>
        <w:rPr>
          <w:rFonts w:ascii="Times New Roman" w:cs="Times New Roman" w:eastAsia="Times New Roman" w:hAnsi="Times New Roman"/>
          <w:sz w:val="18"/>
          <w:szCs w:val="18"/>
          <w:color w:val="auto"/>
        </w:rPr>
        <w:t>IHOP's system-wide domestic same-restaurant sales increased 8.7% for the three months ended March 31, 2023 as compared to the same period of 2022. The improvement was due to an increase in average check. The increase in average check was primarily due to an increase in menu prices as well as a general increase in consumer spending due to larger party sizes and greater spending per person. Traffic was impacted by a favorable recovery from the COVID-19 Omicron variant's impact in the prior year's first quarter partially offset by a decrease in traffic towards the end of the first quarter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Off-premise Sales Data</w:t>
            </w:r>
          </w:p>
        </w:tc>
        <w:tc>
          <w:tcPr>
            <w:tcW w:w="3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7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1"/>
        </w:trPr>
        <w:tc>
          <w:tcPr>
            <w:tcW w:w="726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161.7</w:t>
            </w:r>
          </w:p>
        </w:tc>
      </w:tr>
      <w:tr>
        <w:trPr>
          <w:trHeight w:val="232"/>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r>
    </w:tbl>
    <w:p>
      <w:pPr>
        <w:spacing w:after="0" w:line="161" w:lineRule="exact"/>
        <w:rPr>
          <w:sz w:val="20"/>
          <w:szCs w:val="20"/>
          <w:color w:val="auto"/>
        </w:rPr>
      </w:pPr>
    </w:p>
    <w:p>
      <w:pPr>
        <w:ind w:left="140" w:hanging="133"/>
        <w:spacing w:after="0"/>
        <w:tabs>
          <w:tab w:leader="none" w:pos="14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Primarily to-go, delivery and catering sales for comparable 2023 and 2022 restaurants.</w:t>
      </w:r>
    </w:p>
    <w:p>
      <w:pPr>
        <w:spacing w:after="0" w:line="10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Based on data from Black Box, IHOP's increase in same-restaurant sales for the three months ended March 31, 2023 underperformed the family dining segment of the restaurant industry (excluding IHOP) during that same period of 2022.</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115" w:lineRule="exact"/>
        <w:rPr>
          <w:sz w:val="20"/>
          <w:szCs w:val="20"/>
          <w:color w:val="auto"/>
        </w:rPr>
      </w:pPr>
    </w:p>
    <w:p>
      <w:pPr>
        <w:jc w:val="both"/>
        <w:ind w:firstLine="320"/>
        <w:spacing w:after="0" w:line="270" w:lineRule="auto"/>
        <w:rPr>
          <w:sz w:val="20"/>
          <w:szCs w:val="20"/>
          <w:color w:val="auto"/>
        </w:rPr>
      </w:pPr>
      <w:r>
        <w:rPr>
          <w:rFonts w:ascii="Times New Roman" w:cs="Times New Roman" w:eastAsia="Times New Roman" w:hAnsi="Times New Roman"/>
          <w:sz w:val="17"/>
          <w:szCs w:val="17"/>
          <w:color w:val="auto"/>
        </w:rPr>
        <w:t>The following table sets forth the number of “Effective Restaurants” in the Applebee’s and IHOP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7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8"/>
        </w:trPr>
        <w:tc>
          <w:tcPr>
            <w:tcW w:w="7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Restaurant Data</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8"/>
        </w:trPr>
        <w:tc>
          <w:tcPr>
            <w:tcW w:w="7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320" w:type="dxa"/>
            <w:vAlign w:val="bottom"/>
          </w:tcPr>
          <w:p>
            <w:pPr>
              <w:spacing w:after="0"/>
              <w:rPr>
                <w:sz w:val="19"/>
                <w:szCs w:val="19"/>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3"/>
        </w:trPr>
        <w:tc>
          <w:tcPr>
            <w:tcW w:w="7760" w:type="dxa"/>
            <w:vAlign w:val="bottom"/>
          </w:tcPr>
          <w:p>
            <w:pPr>
              <w:ind w:left="460"/>
              <w:spacing w:after="0" w:line="194" w:lineRule="exact"/>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113"/>
              <w:spacing w:after="0" w:line="194" w:lineRule="exact"/>
              <w:rPr>
                <w:sz w:val="20"/>
                <w:szCs w:val="20"/>
                <w:color w:val="auto"/>
              </w:rPr>
            </w:pPr>
            <w:r>
              <w:rPr>
                <w:rFonts w:ascii="Times New Roman" w:cs="Times New Roman" w:eastAsia="Times New Roman" w:hAnsi="Times New Roman"/>
                <w:sz w:val="18"/>
                <w:szCs w:val="18"/>
                <w:b w:val="1"/>
                <w:bCs w:val="1"/>
                <w:color w:val="auto"/>
              </w:rPr>
              <w:t>1,673</w:t>
            </w:r>
          </w:p>
        </w:tc>
        <w:tc>
          <w:tcPr>
            <w:tcW w:w="120" w:type="dxa"/>
            <w:vAlign w:val="bottom"/>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132"/>
              <w:spacing w:after="0" w:line="194" w:lineRule="exact"/>
              <w:rPr>
                <w:sz w:val="20"/>
                <w:szCs w:val="20"/>
                <w:color w:val="auto"/>
              </w:rPr>
            </w:pPr>
            <w:r>
              <w:rPr>
                <w:rFonts w:ascii="Times New Roman" w:cs="Times New Roman" w:eastAsia="Times New Roman" w:hAnsi="Times New Roman"/>
                <w:sz w:val="18"/>
                <w:szCs w:val="18"/>
                <w:b w:val="1"/>
                <w:bCs w:val="1"/>
                <w:color w:val="auto"/>
              </w:rPr>
              <w:t>1,676</w:t>
            </w: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7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tcPr>
          <w:p>
            <w:pPr>
              <w:ind w:left="220"/>
              <w:spacing w:after="0" w:line="226"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27"/>
        </w:trPr>
        <w:tc>
          <w:tcPr>
            <w:tcW w:w="776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27"/>
        </w:trPr>
        <w:tc>
          <w:tcPr>
            <w:tcW w:w="7760" w:type="dxa"/>
            <w:vAlign w:val="bottom"/>
          </w:tcPr>
          <w:p>
            <w:pPr>
              <w:ind w:left="220"/>
              <w:spacing w:after="0" w:line="226"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3"/>
        </w:trPr>
        <w:tc>
          <w:tcPr>
            <w:tcW w:w="7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Restaurant Data</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27"/>
        </w:trPr>
        <w:tc>
          <w:tcPr>
            <w:tcW w:w="7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Area license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5"/>
        </w:trPr>
        <w:tc>
          <w:tcPr>
            <w:tcW w:w="7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1,773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1,741</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line="240"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7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227"/>
        </w:trPr>
        <w:tc>
          <w:tcPr>
            <w:tcW w:w="7760" w:type="dxa"/>
            <w:vAlign w:val="bottom"/>
          </w:tcPr>
          <w:p>
            <w:pPr>
              <w:ind w:left="220"/>
              <w:spacing w:after="0" w:line="226" w:lineRule="exact"/>
              <w:rPr>
                <w:sz w:val="20"/>
                <w:szCs w:val="20"/>
                <w:color w:val="auto"/>
              </w:rPr>
            </w:pPr>
            <w:r>
              <w:rPr>
                <w:rFonts w:ascii="Times New Roman" w:cs="Times New Roman" w:eastAsia="Times New Roman" w:hAnsi="Times New Roman"/>
                <w:sz w:val="18"/>
                <w:szCs w:val="18"/>
                <w:color w:val="auto"/>
              </w:rPr>
              <w:t>Domestic same-restaurant sales percentage change, including area license restaurants</w:t>
            </w:r>
            <w:r>
              <w:rPr>
                <w:rFonts w:ascii="Times New Roman" w:cs="Times New Roman" w:eastAsia="Times New Roman" w:hAnsi="Times New Roman"/>
                <w:sz w:val="23"/>
                <w:szCs w:val="23"/>
                <w:color w:val="auto"/>
                <w:vertAlign w:val="superscript"/>
              </w:rPr>
              <w:t>(d)</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tcPr>
          <w:p>
            <w:pPr>
              <w:ind w:left="220"/>
              <w:spacing w:after="0" w:line="226"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27"/>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b w:val="1"/>
                <w:bCs w:val="1"/>
                <w:color w:val="auto"/>
              </w:rPr>
              <w:t>Area License</w:t>
            </w:r>
            <w:r>
              <w:rPr>
                <w:rFonts w:ascii="Times New Roman" w:cs="Times New Roman" w:eastAsia="Times New Roman" w:hAnsi="Times New Roman"/>
                <w:sz w:val="23"/>
                <w:szCs w:val="23"/>
                <w:b w:val="1"/>
                <w:bCs w:val="1"/>
                <w:color w:val="auto"/>
                <w:vertAlign w:val="superscript"/>
              </w:rPr>
              <w:t>(b)</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320" w:hanging="267"/>
        <w:spacing w:after="0" w:line="259" w:lineRule="auto"/>
        <w:tabs>
          <w:tab w:leader="none" w:pos="345"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 Effective Restaurants do not include units operated as ghost kitchens (small kitchens with no store-front presence, used to fill off-premise orders).</w:t>
      </w:r>
    </w:p>
    <w:p>
      <w:pPr>
        <w:spacing w:after="0" w:line="1" w:lineRule="exact"/>
        <w:rPr>
          <w:rFonts w:ascii="Times New Roman" w:cs="Times New Roman" w:eastAsia="Times New Roman" w:hAnsi="Times New Roman"/>
          <w:sz w:val="14"/>
          <w:szCs w:val="14"/>
          <w:color w:val="auto"/>
        </w:rPr>
      </w:pPr>
    </w:p>
    <w:p>
      <w:pPr>
        <w:ind w:left="280" w:hanging="273"/>
        <w:spacing w:after="0"/>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“System-wide sales” are retail sales at Applebee’s restaurants operated by franchisees and IHOP restaurants operated by franchisees and area licensees, as reported to the Company, in addition</w:t>
      </w:r>
    </w:p>
    <w:p>
      <w:pPr>
        <w:spacing w:after="0" w:line="8" w:lineRule="exact"/>
        <w:rPr>
          <w:sz w:val="20"/>
          <w:szCs w:val="20"/>
          <w:color w:val="auto"/>
        </w:rPr>
      </w:pPr>
    </w:p>
    <w:p>
      <w:pPr>
        <w:jc w:val="both"/>
        <w:ind w:left="320"/>
        <w:spacing w:after="0" w:line="263" w:lineRule="auto"/>
        <w:rPr>
          <w:sz w:val="20"/>
          <w:szCs w:val="20"/>
          <w:color w:val="auto"/>
        </w:rPr>
      </w:pPr>
      <w:r>
        <w:rPr>
          <w:rFonts w:ascii="Times New Roman" w:cs="Times New Roman" w:eastAsia="Times New Roman" w:hAnsi="Times New Roman"/>
          <w:sz w:val="14"/>
          <w:szCs w:val="14"/>
          <w:color w:val="auto"/>
        </w:rPr>
        <w:t>to retail sales at company-operated Applebee's restaurants. System-wide sales do not include retail sales of ghost kitchens.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Applebee's company-operated restaurants, IHOP franchise restaurants and IHOP area license restaurants were as follows:</w:t>
      </w:r>
    </w:p>
    <w:p>
      <w:pPr>
        <w:spacing w:after="0" w:line="1"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Three months ended March</w:t>
      </w:r>
    </w:p>
    <w:p>
      <w:pPr>
        <w:spacing w:after="0" w:line="4"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8" w:lineRule="exact"/>
        <w:rPr>
          <w:sz w:val="20"/>
          <w:szCs w:val="20"/>
          <w:color w:val="auto"/>
        </w:rPr>
      </w:pPr>
    </w:p>
    <w:tbl>
      <w:tblPr>
        <w:tblLayout w:type="fixed"/>
        <w:tblInd w:w="840" w:type="dxa"/>
        <w:tblCellMar>
          <w:top w:w="0" w:type="dxa"/>
          <w:left w:w="0" w:type="dxa"/>
          <w:bottom w:w="0" w:type="dxa"/>
          <w:right w:w="0" w:type="dxa"/>
        </w:tblCellMar>
      </w:tblPr>
      <w:tr>
        <w:trPr>
          <w:trHeight w:val="198"/>
        </w:trPr>
        <w:tc>
          <w:tcPr>
            <w:tcW w:w="73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3"/>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Reported sales (in millions)</w:t>
            </w:r>
          </w:p>
        </w:tc>
        <w:tc>
          <w:tcPr>
            <w:tcW w:w="180" w:type="dxa"/>
            <w:vAlign w:val="bottom"/>
          </w:tcPr>
          <w:p>
            <w:pPr>
              <w:spacing w:after="0"/>
              <w:rPr>
                <w:sz w:val="16"/>
                <w:szCs w:val="16"/>
                <w:color w:val="auto"/>
              </w:rPr>
            </w:pPr>
          </w:p>
        </w:tc>
        <w:tc>
          <w:tcPr>
            <w:tcW w:w="1700" w:type="dxa"/>
            <w:vAlign w:val="bottom"/>
            <w:gridSpan w:val="4"/>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07"/>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Applebee's domestic franchise restaurant sales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1,055.0</w:t>
            </w:r>
          </w:p>
        </w:tc>
      </w:tr>
      <w:tr>
        <w:trPr>
          <w:trHeight w:val="192"/>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Applebee's company-operated restaurants</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r>
      <w:tr>
        <w:trPr>
          <w:trHeight w:val="20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IHOP franchise restaurant sales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719.6</w:t>
            </w:r>
          </w:p>
        </w:tc>
      </w:tr>
      <w:tr>
        <w:trPr>
          <w:trHeight w:val="193"/>
        </w:trPr>
        <w:tc>
          <w:tcPr>
            <w:tcW w:w="7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IHOP area license restaurant sales</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225"/>
        </w:trPr>
        <w:tc>
          <w:tcPr>
            <w:tcW w:w="7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320" w:hanging="313"/>
        <w:spacing w:after="0" w:line="266" w:lineRule="auto"/>
        <w:tabs>
          <w:tab w:leader="none" w:pos="30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percentage change” reflects, for each category of restaurants, the percentage change in sales in any given fiscal period compared to the prior fiscal period for all restaurants in that category.</w:t>
      </w:r>
    </w:p>
    <w:p>
      <w:pPr>
        <w:spacing w:after="0" w:line="179" w:lineRule="exact"/>
        <w:rPr>
          <w:rFonts w:ascii="Times New Roman" w:cs="Times New Roman" w:eastAsia="Times New Roman" w:hAnsi="Times New Roman"/>
          <w:sz w:val="14"/>
          <w:szCs w:val="14"/>
          <w:color w:val="auto"/>
        </w:rPr>
      </w:pPr>
    </w:p>
    <w:p>
      <w:pPr>
        <w:jc w:val="both"/>
        <w:ind w:left="320" w:hanging="313"/>
        <w:spacing w:after="0" w:line="257" w:lineRule="auto"/>
        <w:tabs>
          <w:tab w:leader="none" w:pos="31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same-restaurant sales percentage change” reflects the percentage change in sales in any given fiscal period, compared to the same weeks in the prior fiscal period, for domestic restaurants that have been operated during both fiscal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4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Restaurant Development Activity</w:t>
            </w:r>
          </w:p>
        </w:tc>
        <w:tc>
          <w:tcPr>
            <w:tcW w:w="3020" w:type="dxa"/>
            <w:vAlign w:val="bottom"/>
          </w:tcPr>
          <w:p>
            <w:pPr>
              <w:spacing w:after="0"/>
              <w:rPr>
                <w:sz w:val="18"/>
                <w:szCs w:val="18"/>
                <w:color w:val="auto"/>
              </w:rPr>
            </w:pPr>
          </w:p>
        </w:tc>
        <w:tc>
          <w:tcPr>
            <w:tcW w:w="366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r>
      <w:tr>
        <w:trPr>
          <w:trHeight w:val="206"/>
        </w:trPr>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Pr>
          <w:p>
            <w:pPr>
              <w:spacing w:after="0"/>
              <w:rPr>
                <w:sz w:val="17"/>
                <w:szCs w:val="17"/>
                <w:color w:val="auto"/>
              </w:rPr>
            </w:pPr>
          </w:p>
        </w:tc>
      </w:tr>
      <w:tr>
        <w:trPr>
          <w:trHeight w:val="156"/>
        </w:trPr>
        <w:tc>
          <w:tcPr>
            <w:tcW w:w="180" w:type="dxa"/>
            <w:vAlign w:val="bottom"/>
          </w:tcPr>
          <w:p>
            <w:pPr>
              <w:spacing w:after="0"/>
              <w:rPr>
                <w:sz w:val="13"/>
                <w:szCs w:val="13"/>
                <w:color w:val="auto"/>
              </w:rPr>
            </w:pPr>
          </w:p>
        </w:tc>
        <w:tc>
          <w:tcPr>
            <w:tcW w:w="76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Applebee's</w:t>
            </w:r>
          </w:p>
        </w:tc>
        <w:tc>
          <w:tcPr>
            <w:tcW w:w="3620" w:type="dxa"/>
            <w:vAlign w:val="bottom"/>
            <w:gridSpan w:val="2"/>
          </w:tcPr>
          <w:p>
            <w:pPr>
              <w:spacing w:after="0"/>
              <w:rPr>
                <w:sz w:val="13"/>
                <w:szCs w:val="13"/>
                <w:color w:val="auto"/>
              </w:rPr>
            </w:pPr>
          </w:p>
        </w:tc>
        <w:tc>
          <w:tcPr>
            <w:tcW w:w="3020" w:type="dxa"/>
            <w:vAlign w:val="bottom"/>
          </w:tcPr>
          <w:p>
            <w:pPr>
              <w:spacing w:after="0"/>
              <w:rPr>
                <w:sz w:val="13"/>
                <w:szCs w:val="13"/>
                <w:color w:val="auto"/>
              </w:rPr>
            </w:pPr>
          </w:p>
        </w:tc>
        <w:tc>
          <w:tcPr>
            <w:tcW w:w="2140" w:type="dxa"/>
            <w:vAlign w:val="bottom"/>
            <w:gridSpan w:val="3"/>
          </w:tcPr>
          <w:p>
            <w:pPr>
              <w:jc w:val="center"/>
              <w:ind w:left="960"/>
              <w:spacing w:after="0" w:line="140" w:lineRule="exact"/>
              <w:rPr>
                <w:sz w:val="20"/>
                <w:szCs w:val="20"/>
                <w:color w:val="auto"/>
              </w:rPr>
            </w:pPr>
            <w:r>
              <w:rPr>
                <w:rFonts w:ascii="Times New Roman" w:cs="Times New Roman" w:eastAsia="Times New Roman" w:hAnsi="Times New Roman"/>
                <w:sz w:val="16"/>
                <w:szCs w:val="16"/>
                <w:b w:val="1"/>
                <w:bCs w:val="1"/>
                <w:color w:val="auto"/>
                <w:w w:val="99"/>
              </w:rPr>
              <w:t>(Unaudited)</w:t>
            </w: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17"/>
        </w:trPr>
        <w:tc>
          <w:tcPr>
            <w:tcW w:w="180" w:type="dxa"/>
            <w:vAlign w:val="bottom"/>
          </w:tcPr>
          <w:p>
            <w:pPr>
              <w:spacing w:after="0"/>
              <w:rPr>
                <w:sz w:val="18"/>
                <w:szCs w:val="18"/>
                <w:color w:val="auto"/>
              </w:rPr>
            </w:pPr>
          </w:p>
        </w:tc>
        <w:tc>
          <w:tcPr>
            <w:tcW w:w="2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Summary - beginning of period:</w:t>
            </w:r>
          </w:p>
        </w:tc>
        <w:tc>
          <w:tcPr>
            <w:tcW w:w="21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3"/>
        </w:trPr>
        <w:tc>
          <w:tcPr>
            <w:tcW w:w="180" w:type="dxa"/>
            <w:vAlign w:val="bottom"/>
            <w:tcBorders>
              <w:right w:val="single" w:sz="8" w:color="CCEEFF"/>
            </w:tcBorders>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Franchise</w:t>
            </w:r>
          </w:p>
        </w:tc>
        <w:tc>
          <w:tcPr>
            <w:tcW w:w="4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480" w:type="dxa"/>
            <w:vAlign w:val="bottom"/>
          </w:tcPr>
          <w:p>
            <w:pPr>
              <w:spacing w:after="0"/>
              <w:rPr>
                <w:sz w:val="19"/>
                <w:szCs w:val="19"/>
                <w:color w:val="auto"/>
              </w:rPr>
            </w:pPr>
          </w:p>
        </w:tc>
      </w:tr>
      <w:tr>
        <w:trPr>
          <w:trHeight w:val="211"/>
        </w:trPr>
        <w:tc>
          <w:tcPr>
            <w:tcW w:w="18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w:t>
            </w:r>
          </w:p>
        </w:tc>
        <w:tc>
          <w:tcPr>
            <w:tcW w:w="3020" w:type="dxa"/>
            <w:vAlign w:val="bottom"/>
          </w:tcPr>
          <w:p>
            <w:pPr>
              <w:spacing w:after="0"/>
              <w:rPr>
                <w:sz w:val="18"/>
                <w:szCs w:val="18"/>
                <w:color w:val="auto"/>
              </w:rPr>
            </w:pPr>
          </w:p>
        </w:tc>
        <w:tc>
          <w:tcPr>
            <w:tcW w:w="214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480" w:type="dxa"/>
            <w:vAlign w:val="bottom"/>
          </w:tcPr>
          <w:p>
            <w:pPr>
              <w:spacing w:after="0"/>
              <w:rPr>
                <w:sz w:val="18"/>
                <w:szCs w:val="18"/>
                <w:color w:val="auto"/>
              </w:rPr>
            </w:pPr>
          </w:p>
        </w:tc>
      </w:tr>
      <w:tr>
        <w:trPr>
          <w:trHeight w:val="234"/>
        </w:trPr>
        <w:tc>
          <w:tcPr>
            <w:tcW w:w="180" w:type="dxa"/>
            <w:vAlign w:val="bottom"/>
            <w:tcBorders>
              <w:right w:val="single" w:sz="8" w:color="CCEEFF"/>
            </w:tcBorders>
          </w:tcPr>
          <w:p>
            <w:pPr>
              <w:spacing w:after="0"/>
              <w:rPr>
                <w:sz w:val="19"/>
                <w:szCs w:val="19"/>
                <w:color w:val="auto"/>
              </w:rPr>
            </w:pPr>
          </w:p>
        </w:tc>
        <w:tc>
          <w:tcPr>
            <w:tcW w:w="43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Beginning of period</w:t>
            </w:r>
          </w:p>
        </w:tc>
        <w:tc>
          <w:tcPr>
            <w:tcW w:w="302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1,680</w:t>
            </w:r>
          </w:p>
        </w:tc>
        <w:tc>
          <w:tcPr>
            <w:tcW w:w="48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0"/>
        </w:trPr>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13"/>
        </w:trPr>
        <w:tc>
          <w:tcPr>
            <w:tcW w:w="180" w:type="dxa"/>
            <w:vAlign w:val="bottom"/>
            <w:tcBorders>
              <w:right w:val="single" w:sz="8" w:color="CCEEFF"/>
            </w:tcBorders>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restaurants opened:</w:t>
            </w:r>
          </w:p>
        </w:tc>
        <w:tc>
          <w:tcPr>
            <w:tcW w:w="30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08"/>
        </w:trPr>
        <w:tc>
          <w:tcPr>
            <w:tcW w:w="18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3020" w:type="dxa"/>
            <w:vAlign w:val="bottom"/>
          </w:tcPr>
          <w:p>
            <w:pPr>
              <w:spacing w:after="0"/>
              <w:rPr>
                <w:sz w:val="18"/>
                <w:szCs w:val="18"/>
                <w:color w:val="auto"/>
              </w:rPr>
            </w:pPr>
          </w:p>
        </w:tc>
        <w:tc>
          <w:tcPr>
            <w:tcW w:w="214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80" w:type="dxa"/>
            <w:vAlign w:val="bottom"/>
          </w:tcPr>
          <w:p>
            <w:pPr>
              <w:spacing w:after="0"/>
              <w:rPr>
                <w:sz w:val="18"/>
                <w:szCs w:val="18"/>
                <w:color w:val="auto"/>
              </w:rPr>
            </w:pPr>
          </w:p>
        </w:tc>
      </w:tr>
      <w:tr>
        <w:trPr>
          <w:trHeight w:val="218"/>
        </w:trPr>
        <w:tc>
          <w:tcPr>
            <w:tcW w:w="180" w:type="dxa"/>
            <w:vAlign w:val="bottom"/>
            <w:tcBorders>
              <w:right w:val="single" w:sz="8" w:color="CCEEFF"/>
            </w:tcBorders>
          </w:tcPr>
          <w:p>
            <w:pPr>
              <w:spacing w:after="0"/>
              <w:rPr>
                <w:sz w:val="18"/>
                <w:szCs w:val="18"/>
                <w:color w:val="auto"/>
              </w:rPr>
            </w:pPr>
          </w:p>
        </w:tc>
        <w:tc>
          <w:tcPr>
            <w:tcW w:w="4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International</w:t>
            </w:r>
          </w:p>
        </w:tc>
        <w:tc>
          <w:tcPr>
            <w:tcW w:w="4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r>
      <w:tr>
        <w:trPr>
          <w:trHeight w:val="204"/>
        </w:trPr>
        <w:tc>
          <w:tcPr>
            <w:tcW w:w="180" w:type="dxa"/>
            <w:vAlign w:val="bottom"/>
          </w:tcPr>
          <w:p>
            <w:pPr>
              <w:spacing w:after="0"/>
              <w:rPr>
                <w:sz w:val="17"/>
                <w:szCs w:val="17"/>
                <w:color w:val="auto"/>
              </w:rPr>
            </w:pPr>
          </w:p>
        </w:tc>
        <w:tc>
          <w:tcPr>
            <w:tcW w:w="438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6"/>
                <w:szCs w:val="16"/>
                <w:color w:val="auto"/>
              </w:rPr>
              <w:t>Total franchise restaurants opened</w:t>
            </w:r>
          </w:p>
        </w:tc>
        <w:tc>
          <w:tcPr>
            <w:tcW w:w="302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80" w:type="dxa"/>
            <w:vAlign w:val="bottom"/>
          </w:tcPr>
          <w:p>
            <w:pPr>
              <w:spacing w:after="0"/>
              <w:rPr>
                <w:sz w:val="17"/>
                <w:szCs w:val="17"/>
                <w:color w:val="auto"/>
              </w:rPr>
            </w:pPr>
          </w:p>
        </w:tc>
      </w:tr>
      <w:tr>
        <w:trPr>
          <w:trHeight w:val="196"/>
        </w:trPr>
        <w:tc>
          <w:tcPr>
            <w:tcW w:w="180" w:type="dxa"/>
            <w:vAlign w:val="bottom"/>
            <w:tcBorders>
              <w:right w:val="single" w:sz="8" w:color="CCEEFF"/>
            </w:tcBorders>
          </w:tcPr>
          <w:p>
            <w:pPr>
              <w:spacing w:after="0"/>
              <w:rPr>
                <w:sz w:val="17"/>
                <w:szCs w:val="17"/>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restaurants permanently closed:</w:t>
            </w:r>
          </w:p>
        </w:tc>
        <w:tc>
          <w:tcPr>
            <w:tcW w:w="30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211"/>
        </w:trPr>
        <w:tc>
          <w:tcPr>
            <w:tcW w:w="18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80" w:type="dxa"/>
            <w:vAlign w:val="bottom"/>
          </w:tcPr>
          <w:p>
            <w:pPr>
              <w:spacing w:after="0"/>
              <w:rPr>
                <w:sz w:val="18"/>
                <w:szCs w:val="18"/>
                <w:color w:val="auto"/>
              </w:rPr>
            </w:pPr>
          </w:p>
        </w:tc>
      </w:tr>
      <w:tr>
        <w:trPr>
          <w:trHeight w:val="216"/>
        </w:trPr>
        <w:tc>
          <w:tcPr>
            <w:tcW w:w="180" w:type="dxa"/>
            <w:vAlign w:val="bottom"/>
            <w:tcBorders>
              <w:right w:val="single" w:sz="8" w:color="CCEEFF"/>
            </w:tcBorders>
          </w:tcPr>
          <w:p>
            <w:pPr>
              <w:spacing w:after="0"/>
              <w:rPr>
                <w:sz w:val="18"/>
                <w:szCs w:val="18"/>
                <w:color w:val="auto"/>
              </w:rPr>
            </w:pPr>
          </w:p>
        </w:tc>
        <w:tc>
          <w:tcPr>
            <w:tcW w:w="4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International</w:t>
            </w:r>
          </w:p>
        </w:tc>
        <w:tc>
          <w:tcPr>
            <w:tcW w:w="4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80" w:type="dxa"/>
            <w:vAlign w:val="bottom"/>
          </w:tcPr>
          <w:p>
            <w:pPr>
              <w:spacing w:after="0"/>
              <w:rPr>
                <w:sz w:val="18"/>
                <w:szCs w:val="18"/>
                <w:color w:val="auto"/>
              </w:rPr>
            </w:pPr>
          </w:p>
        </w:tc>
      </w:tr>
      <w:tr>
        <w:trPr>
          <w:trHeight w:val="204"/>
        </w:trPr>
        <w:tc>
          <w:tcPr>
            <w:tcW w:w="180" w:type="dxa"/>
            <w:vAlign w:val="bottom"/>
          </w:tcPr>
          <w:p>
            <w:pPr>
              <w:spacing w:after="0"/>
              <w:rPr>
                <w:sz w:val="17"/>
                <w:szCs w:val="17"/>
                <w:color w:val="auto"/>
              </w:rPr>
            </w:pPr>
          </w:p>
        </w:tc>
        <w:tc>
          <w:tcPr>
            <w:tcW w:w="438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6"/>
                <w:szCs w:val="16"/>
                <w:color w:val="auto"/>
              </w:rPr>
              <w:t>Total franchise restaurants permanently closed</w:t>
            </w:r>
          </w:p>
        </w:tc>
        <w:tc>
          <w:tcPr>
            <w:tcW w:w="302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80" w:type="dxa"/>
            <w:vAlign w:val="bottom"/>
          </w:tcPr>
          <w:p>
            <w:pPr>
              <w:spacing w:after="0"/>
              <w:rPr>
                <w:sz w:val="17"/>
                <w:szCs w:val="17"/>
                <w:color w:val="auto"/>
              </w:rPr>
            </w:pPr>
          </w:p>
        </w:tc>
      </w:tr>
      <w:tr>
        <w:trPr>
          <w:trHeight w:val="207"/>
        </w:trPr>
        <w:tc>
          <w:tcPr>
            <w:tcW w:w="180" w:type="dxa"/>
            <w:vAlign w:val="bottom"/>
            <w:tcBorders>
              <w:right w:val="single" w:sz="8" w:color="CCEEFF"/>
            </w:tcBorders>
          </w:tcPr>
          <w:p>
            <w:pPr>
              <w:spacing w:after="0"/>
              <w:rPr>
                <w:sz w:val="17"/>
                <w:szCs w:val="17"/>
                <w:color w:val="auto"/>
              </w:rPr>
            </w:pPr>
          </w:p>
        </w:tc>
        <w:tc>
          <w:tcPr>
            <w:tcW w:w="4380" w:type="dxa"/>
            <w:vAlign w:val="bottom"/>
            <w:tcBorders>
              <w:bottom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Net franchise restaurant reduction</w:t>
            </w:r>
          </w:p>
        </w:tc>
        <w:tc>
          <w:tcPr>
            <w:tcW w:w="30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(5)</w:t>
            </w:r>
          </w:p>
        </w:tc>
        <w:tc>
          <w:tcPr>
            <w:tcW w:w="4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0"/>
        </w:trPr>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13"/>
        </w:trPr>
        <w:tc>
          <w:tcPr>
            <w:tcW w:w="180" w:type="dxa"/>
            <w:vAlign w:val="bottom"/>
            <w:tcBorders>
              <w:right w:val="single" w:sz="8" w:color="CCEEFF"/>
            </w:tcBorders>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30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1"/>
        </w:trPr>
        <w:tc>
          <w:tcPr>
            <w:tcW w:w="18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480" w:type="dxa"/>
            <w:vAlign w:val="bottom"/>
          </w:tcPr>
          <w:p>
            <w:pPr>
              <w:spacing w:after="0"/>
              <w:rPr>
                <w:sz w:val="18"/>
                <w:szCs w:val="18"/>
                <w:color w:val="auto"/>
              </w:rPr>
            </w:pPr>
          </w:p>
        </w:tc>
      </w:tr>
      <w:tr>
        <w:trPr>
          <w:trHeight w:val="216"/>
        </w:trPr>
        <w:tc>
          <w:tcPr>
            <w:tcW w:w="180" w:type="dxa"/>
            <w:vAlign w:val="bottom"/>
            <w:tcBorders>
              <w:right w:val="single" w:sz="8" w:color="CCEEFF"/>
            </w:tcBorders>
          </w:tcPr>
          <w:p>
            <w:pPr>
              <w:spacing w:after="0"/>
              <w:rPr>
                <w:sz w:val="18"/>
                <w:szCs w:val="18"/>
                <w:color w:val="auto"/>
              </w:rPr>
            </w:pPr>
          </w:p>
        </w:tc>
        <w:tc>
          <w:tcPr>
            <w:tcW w:w="43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w:t>
            </w:r>
          </w:p>
        </w:tc>
        <w:tc>
          <w:tcPr>
            <w:tcW w:w="302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480" w:type="dxa"/>
            <w:vAlign w:val="bottom"/>
          </w:tcPr>
          <w:p>
            <w:pPr>
              <w:spacing w:after="0"/>
              <w:rPr>
                <w:sz w:val="18"/>
                <w:szCs w:val="18"/>
                <w:color w:val="auto"/>
              </w:rPr>
            </w:pPr>
          </w:p>
        </w:tc>
      </w:tr>
      <w:tr>
        <w:trPr>
          <w:trHeight w:val="207"/>
        </w:trPr>
        <w:tc>
          <w:tcPr>
            <w:tcW w:w="180" w:type="dxa"/>
            <w:vAlign w:val="bottom"/>
          </w:tcPr>
          <w:p>
            <w:pPr>
              <w:spacing w:after="0"/>
              <w:rPr>
                <w:sz w:val="17"/>
                <w:szCs w:val="17"/>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Applebee's restaurants, end of period</w:t>
            </w:r>
          </w:p>
        </w:tc>
        <w:tc>
          <w:tcPr>
            <w:tcW w:w="302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1,673</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1,675</w:t>
            </w:r>
          </w:p>
        </w:tc>
        <w:tc>
          <w:tcPr>
            <w:tcW w:w="4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7"/>
        </w:trPr>
        <w:tc>
          <w:tcPr>
            <w:tcW w:w="180" w:type="dxa"/>
            <w:vAlign w:val="bottom"/>
            <w:tcBorders>
              <w:right w:val="single" w:sz="8" w:color="CCEEFF"/>
            </w:tcBorders>
          </w:tcPr>
          <w:p>
            <w:pPr>
              <w:spacing w:after="0"/>
              <w:rPr>
                <w:sz w:val="17"/>
                <w:szCs w:val="17"/>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30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480" w:type="dxa"/>
            <w:vAlign w:val="bottom"/>
          </w:tcPr>
          <w:p>
            <w:pPr>
              <w:spacing w:after="0"/>
              <w:rPr>
                <w:sz w:val="17"/>
                <w:szCs w:val="17"/>
                <w:color w:val="auto"/>
              </w:rPr>
            </w:pPr>
          </w:p>
        </w:tc>
      </w:tr>
      <w:tr>
        <w:trPr>
          <w:trHeight w:val="232"/>
        </w:trPr>
        <w:tc>
          <w:tcPr>
            <w:tcW w:w="180" w:type="dxa"/>
            <w:vAlign w:val="bottom"/>
          </w:tcPr>
          <w:p>
            <w:pPr>
              <w:spacing w:after="0"/>
              <w:rPr>
                <w:sz w:val="20"/>
                <w:szCs w:val="20"/>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80" w:type="dxa"/>
            <w:vAlign w:val="bottom"/>
          </w:tcPr>
          <w:p>
            <w:pPr>
              <w:spacing w:after="0"/>
              <w:rPr>
                <w:sz w:val="20"/>
                <w:szCs w:val="20"/>
                <w:color w:val="auto"/>
              </w:rPr>
            </w:pPr>
          </w:p>
        </w:tc>
      </w:tr>
      <w:tr>
        <w:trPr>
          <w:trHeight w:val="888"/>
        </w:trPr>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20" w:type="dxa"/>
            <w:vAlign w:val="bottom"/>
          </w:tcPr>
          <w:p>
            <w:pPr>
              <w:jc w:val="right"/>
              <w:ind w:right="1778"/>
              <w:spacing w:after="0"/>
              <w:rPr>
                <w:sz w:val="20"/>
                <w:szCs w:val="20"/>
                <w:color w:val="auto"/>
              </w:rPr>
            </w:pPr>
            <w:r>
              <w:rPr>
                <w:rFonts w:ascii="Times New Roman" w:cs="Times New Roman" w:eastAsia="Times New Roman" w:hAnsi="Times New Roman"/>
                <w:sz w:val="18"/>
                <w:szCs w:val="18"/>
                <w:color w:val="auto"/>
              </w:rPr>
              <w:t>28</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3"/>
        </w:trPr>
        <w:tc>
          <w:tcPr>
            <w:tcW w:w="1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7"/>
              </w:rPr>
              <w:t>IHOP</w:t>
            </w:r>
          </w:p>
        </w:tc>
        <w:tc>
          <w:tcPr>
            <w:tcW w:w="6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r>
      <w:tr>
        <w:trPr>
          <w:trHeight w:val="211"/>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Area license</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3"/>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IHOP restaurants, beginning of period</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1,781</w:t>
            </w: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9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Franchise/area license restaurants opened: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 franchise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1"/>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Domestic area license</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International franchise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4"/>
        </w:trPr>
        <w:tc>
          <w:tcPr>
            <w:tcW w:w="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franchise/area license restaurants opened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96"/>
        </w:trPr>
        <w:tc>
          <w:tcPr>
            <w:tcW w:w="20" w:type="dxa"/>
            <w:vAlign w:val="bottom"/>
            <w:shd w:val="clear" w:color="auto" w:fill="CCEEFF"/>
          </w:tcPr>
          <w:p>
            <w:pPr>
              <w:spacing w:after="0"/>
              <w:rPr>
                <w:sz w:val="17"/>
                <w:szCs w:val="17"/>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Franchise/area license restaurants permanently closed:</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Domestic franchise</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6"/>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 area license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20" w:type="dxa"/>
            <w:vAlign w:val="bottom"/>
            <w:tcBorders>
              <w:bottom w:val="single" w:sz="8" w:color="CCEEFF"/>
            </w:tcBorders>
          </w:tcPr>
          <w:p>
            <w:pPr>
              <w:spacing w:after="0"/>
              <w:rPr>
                <w:sz w:val="18"/>
                <w:szCs w:val="18"/>
                <w:color w:val="auto"/>
              </w:rPr>
            </w:pPr>
          </w:p>
        </w:tc>
        <w:tc>
          <w:tcPr>
            <w:tcW w:w="74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International franchise</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franchise/area license restaurants permanently closed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80"/>
        </w:trPr>
        <w:tc>
          <w:tcPr>
            <w:tcW w:w="20" w:type="dxa"/>
            <w:vAlign w:val="bottom"/>
          </w:tcPr>
          <w:p>
            <w:pPr>
              <w:spacing w:after="0"/>
              <w:rPr>
                <w:sz w:val="15"/>
                <w:szCs w:val="15"/>
                <w:color w:val="auto"/>
              </w:rPr>
            </w:pPr>
          </w:p>
        </w:tc>
        <w:tc>
          <w:tcPr>
            <w:tcW w:w="74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franchise/area license restaurant additions</w:t>
            </w:r>
          </w:p>
        </w:tc>
        <w:tc>
          <w:tcPr>
            <w:tcW w:w="15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in franchise/area license restaurants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13"/>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Franchise</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r>
      <w:tr>
        <w:trPr>
          <w:trHeight w:val="216"/>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Area license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7"/>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IHOP restaurants, end of period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1,790</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r>
      <w:tr>
        <w:trPr>
          <w:trHeight w:val="208"/>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bl>
    <w:p>
      <w:pPr>
        <w:spacing w:after="0" w:line="186"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restaurant counts and activity presented above do not include two domestic Applebee's ghost kitchens (small kitchens with no store-front presence, used to fill off-premise orders), 12 international Applebee's ghost kitchens and 42 international IHOP ghost kitchens. As of March 31, 2023, 49 franchise groups operated 134 Fuzzy's restaurants in 18 states within the United States and we had three company-owned restaurants in Texas.</w:t>
      </w:r>
    </w:p>
    <w:p>
      <w:pPr>
        <w:spacing w:after="0" w:line="7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closures presented in the tables above represent permanent closures of restaurants. Temporary closures, which can occur for a variety of reasons, are not reflected as reductions in this table and are included in the summary counts at the beginning and end of each period shown. Temporary closures are reflected in the weighted calculation of Effective Restaurants presented in the preceding Restaurant Data table.</w:t>
      </w:r>
    </w:p>
    <w:p>
      <w:pPr>
        <w:spacing w:after="0" w:line="7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Closures of Applebee's and IHOP restaurants adversely impact our system-wide retail sales that drive our franchise royalty revenues as well as, in the case of IHOP restaurants, sales of proprietary pancake and waffle dry mix. Further, with certain restaurants, we own or lease the underlying property and sublease it to the applicable franchisee. Thus, our rental income also could be adversely affected due to the loss of such income, as well as our obligation to make rental or other payments for such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2023 and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p>
      <w:pPr>
        <w:spacing w:after="0" w:line="186"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40" w:type="dxa"/>
            <w:vAlign w:val="bottom"/>
          </w:tcPr>
          <w:p>
            <w:pPr>
              <w:spacing w:after="0"/>
              <w:rPr>
                <w:sz w:val="18"/>
                <w:szCs w:val="18"/>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Pr>
          <w:p>
            <w:pPr>
              <w:spacing w:after="0"/>
              <w:rPr>
                <w:sz w:val="18"/>
                <w:szCs w:val="18"/>
                <w:color w:val="auto"/>
              </w:rPr>
            </w:pPr>
          </w:p>
        </w:tc>
        <w:tc>
          <w:tcPr>
            <w:tcW w:w="12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53"/>
        </w:trPr>
        <w:tc>
          <w:tcPr>
            <w:tcW w:w="63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vMerge w:val="restart"/>
          </w:tcPr>
          <w:p>
            <w:pPr>
              <w:jc w:val="center"/>
              <w:ind w:right="97"/>
              <w:spacing w:after="0" w:line="107" w:lineRule="exact"/>
              <w:rPr>
                <w:sz w:val="20"/>
                <w:szCs w:val="20"/>
                <w:color w:val="auto"/>
              </w:rPr>
            </w:pPr>
            <w:r>
              <w:rPr>
                <w:rFonts w:ascii="Times New Roman" w:cs="Times New Roman" w:eastAsia="Times New Roman" w:hAnsi="Times New Roman"/>
                <w:sz w:val="11"/>
                <w:szCs w:val="11"/>
                <w:b w:val="1"/>
                <w:bCs w:val="1"/>
                <w:color w:val="auto"/>
              </w:rPr>
              <w:t>(Unfavorable)</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vMerge w:val="restart"/>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restart"/>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183"/>
        </w:trPr>
        <w:tc>
          <w:tcPr>
            <w:tcW w:w="6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5"/>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8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color w:val="auto"/>
              </w:rPr>
              <w:t>Change vs. prior period</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Total revenue for the three months ended March 31, 2023 decreased compared with the same period of the prior year, primarily due to the refranchising of Applebee's company-operated restaurants partially offset by the increase in Applebee's and IHOP franchise operations revenue and the inclusion of the first full quarter of Fuzzy's franchise operations revenue. Smaller changes in rental and financing revenues are discussed in the sections that follow.</w:t>
      </w:r>
    </w:p>
    <w:p>
      <w:pPr>
        <w:spacing w:after="0" w:line="200" w:lineRule="exact"/>
        <w:rPr>
          <w:sz w:val="20"/>
          <w:szCs w:val="20"/>
          <w:color w:val="auto"/>
        </w:rPr>
      </w:pP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24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Pr>
          <w:p>
            <w:pPr>
              <w:spacing w:after="0"/>
              <w:rPr>
                <w:sz w:val="18"/>
                <w:szCs w:val="18"/>
                <w:color w:val="auto"/>
              </w:rPr>
            </w:pPr>
          </w:p>
        </w:tc>
        <w:tc>
          <w:tcPr>
            <w:tcW w:w="118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53"/>
        </w:trPr>
        <w:tc>
          <w:tcPr>
            <w:tcW w:w="63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right="57"/>
              <w:spacing w:after="0" w:line="107" w:lineRule="exact"/>
              <w:rPr>
                <w:sz w:val="20"/>
                <w:szCs w:val="20"/>
                <w:color w:val="auto"/>
              </w:rPr>
            </w:pPr>
            <w:r>
              <w:rPr>
                <w:rFonts w:ascii="Times New Roman" w:cs="Times New Roman" w:eastAsia="Times New Roman" w:hAnsi="Times New Roman"/>
                <w:sz w:val="11"/>
                <w:szCs w:val="11"/>
                <w:b w:val="1"/>
                <w:bCs w:val="1"/>
                <w:color w:val="auto"/>
              </w:rPr>
              <w:t>(Unfavorable)</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vMerge w:val="restart"/>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vMerge w:val="restart"/>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0" w:type="dxa"/>
            <w:vAlign w:val="bottom"/>
          </w:tcPr>
          <w:p>
            <w:pPr>
              <w:spacing w:after="0"/>
              <w:rPr>
                <w:sz w:val="1"/>
                <w:szCs w:val="1"/>
                <w:color w:val="auto"/>
              </w:rPr>
            </w:pPr>
          </w:p>
        </w:tc>
      </w:tr>
      <w:tr>
        <w:trPr>
          <w:trHeight w:val="188"/>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7"/>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4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7"/>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5"/>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0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color w:val="auto"/>
              </w:rPr>
              <w:t>Change vs. prior period</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11.7 %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Total gross profit for the three months ended March 31, 2023 increased compared with the same period of the prior year, primarily due to the increased revenue from franchise and rental operations, partially offset by the refranchising of Applebee's company-operated restaurants.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101"/>
        </w:trPr>
        <w:tc>
          <w:tcPr>
            <w:tcW w:w="6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restart"/>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(Unfavorable)</w:t>
            </w: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Franchise Operations</w:t>
            </w:r>
          </w:p>
        </w:tc>
        <w:tc>
          <w:tcPr>
            <w:tcW w:w="280" w:type="dxa"/>
            <w:vAlign w:val="bottom"/>
          </w:tcPr>
          <w:p>
            <w:pPr>
              <w:spacing w:after="0"/>
              <w:rPr>
                <w:sz w:val="3"/>
                <w:szCs w:val="3"/>
                <w:color w:val="auto"/>
              </w:rPr>
            </w:pPr>
          </w:p>
        </w:tc>
        <w:tc>
          <w:tcPr>
            <w:tcW w:w="1180" w:type="dxa"/>
            <w:vAlign w:val="bottom"/>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628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181"/>
        </w:trPr>
        <w:tc>
          <w:tcPr>
            <w:tcW w:w="6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20" w:type="dxa"/>
            <w:vAlign w:val="bottom"/>
            <w:gridSpan w:val="7"/>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(In millions, except number of restaurants)</w:t>
            </w:r>
          </w:p>
        </w:tc>
        <w:tc>
          <w:tcPr>
            <w:tcW w:w="0" w:type="dxa"/>
            <w:vAlign w:val="bottom"/>
          </w:tcPr>
          <w:p>
            <w:pPr>
              <w:spacing w:after="0"/>
              <w:rPr>
                <w:sz w:val="1"/>
                <w:szCs w:val="1"/>
                <w:color w:val="auto"/>
              </w:rPr>
            </w:pPr>
          </w:p>
        </w:tc>
      </w:tr>
      <w:tr>
        <w:trPr>
          <w:trHeight w:val="227"/>
        </w:trPr>
        <w:tc>
          <w:tcPr>
            <w:tcW w:w="6280" w:type="dxa"/>
            <w:vAlign w:val="bottom"/>
          </w:tcPr>
          <w:p>
            <w:pPr>
              <w:ind w:left="20"/>
              <w:spacing w:after="0" w:line="227" w:lineRule="exact"/>
              <w:rPr>
                <w:sz w:val="20"/>
                <w:szCs w:val="20"/>
                <w:color w:val="auto"/>
              </w:rPr>
            </w:pPr>
            <w:r>
              <w:rPr>
                <w:rFonts w:ascii="Times New Roman" w:cs="Times New Roman" w:eastAsia="Times New Roman" w:hAnsi="Times New Roman"/>
                <w:sz w:val="16"/>
                <w:szCs w:val="16"/>
                <w:color w:val="auto"/>
              </w:rPr>
              <w:t>Effective Franchise Restaurants:</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Applebee’s</w:t>
            </w: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IHOP</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2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1,773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 franchise fees</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 franchise fees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1"/>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Advertising fees</w:t>
            </w:r>
          </w:p>
        </w:tc>
        <w:tc>
          <w:tcPr>
            <w:tcW w:w="28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Fuzzy's franchise fees</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280" w:type="dxa"/>
            <w:vAlign w:val="bottom"/>
          </w:tcPr>
          <w:p>
            <w:pPr>
              <w:spacing w:after="0"/>
              <w:rPr>
                <w:sz w:val="17"/>
                <w:szCs w:val="17"/>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179.9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Expenses: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w:t>
            </w:r>
          </w:p>
        </w:tc>
        <w:tc>
          <w:tcPr>
            <w:tcW w:w="28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1"/>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Advertising expenses</w:t>
            </w:r>
          </w:p>
        </w:tc>
        <w:tc>
          <w:tcPr>
            <w:tcW w:w="28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Fuzzy's</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expenses</w:t>
            </w:r>
          </w:p>
        </w:tc>
        <w:tc>
          <w:tcPr>
            <w:tcW w:w="280" w:type="dxa"/>
            <w:vAlign w:val="bottom"/>
          </w:tcPr>
          <w:p>
            <w:pPr>
              <w:spacing w:after="0"/>
              <w:rPr>
                <w:sz w:val="17"/>
                <w:szCs w:val="17"/>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Gross Profit: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w:t>
            </w:r>
          </w:p>
        </w:tc>
        <w:tc>
          <w:tcPr>
            <w:tcW w:w="28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1"/>
        </w:trPr>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Fuzzy's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3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gross profit</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280" w:type="dxa"/>
            <w:vAlign w:val="bottom"/>
          </w:tcPr>
          <w:p>
            <w:pPr>
              <w:ind w:left="20"/>
              <w:spacing w:after="0" w:line="186" w:lineRule="exact"/>
              <w:rPr>
                <w:sz w:val="20"/>
                <w:szCs w:val="20"/>
                <w:color w:val="auto"/>
              </w:rPr>
            </w:pPr>
            <w:r>
              <w:rPr>
                <w:rFonts w:ascii="Times New Roman" w:cs="Times New Roman" w:eastAsia="Times New Roman" w:hAnsi="Times New Roman"/>
                <w:sz w:val="16"/>
                <w:szCs w:val="16"/>
                <w:color w:val="auto"/>
              </w:rPr>
              <w:t xml:space="preserve">Gross profit as % of franchise revenue </w:t>
            </w:r>
            <w:r>
              <w:rPr>
                <w:rFonts w:ascii="Times New Roman" w:cs="Times New Roman" w:eastAsia="Times New Roman" w:hAnsi="Times New Roman"/>
                <w:sz w:val="20"/>
                <w:szCs w:val="20"/>
                <w:color w:val="auto"/>
                <w:vertAlign w:val="superscript"/>
              </w:rPr>
              <w:t>(2)</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28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Gross profit as % of franchise fees </w:t>
            </w:r>
            <w:r>
              <w:rPr>
                <w:rFonts w:ascii="Times New Roman" w:cs="Times New Roman" w:eastAsia="Times New Roman" w:hAnsi="Times New Roman"/>
                <w:sz w:val="20"/>
                <w:szCs w:val="20"/>
                <w:color w:val="auto"/>
                <w:vertAlign w:val="superscript"/>
              </w:rPr>
              <w:t>(2)(3)</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90.0 %</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9" w:lineRule="exact"/>
        <w:rPr>
          <w:sz w:val="20"/>
          <w:szCs w:val="20"/>
          <w:color w:val="auto"/>
        </w:rPr>
      </w:pPr>
    </w:p>
    <w:p>
      <w:pPr>
        <w:ind w:left="160" w:right="20" w:hanging="153"/>
        <w:spacing w:after="0"/>
        <w:tabs>
          <w:tab w:leader="none" w:pos="131" w:val="left"/>
        </w:tabs>
        <w:numPr>
          <w:ilvl w:val="0"/>
          <w:numId w:val="1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Effective Franchise Restaurants are the weighted average number of franchise and area license restaurants open in each fiscal period, adjusted to account for restaurants open for only a portion of the period.</w:t>
      </w:r>
    </w:p>
    <w:p>
      <w:pPr>
        <w:spacing w:after="0" w:line="165" w:lineRule="exact"/>
        <w:rPr>
          <w:rFonts w:ascii="Times New Roman" w:cs="Times New Roman" w:eastAsia="Times New Roman" w:hAnsi="Times New Roman"/>
          <w:sz w:val="15"/>
          <w:szCs w:val="15"/>
          <w:color w:val="auto"/>
          <w:vertAlign w:val="superscript"/>
        </w:rPr>
      </w:pPr>
    </w:p>
    <w:p>
      <w:pPr>
        <w:ind w:left="140" w:hanging="133"/>
        <w:spacing w:after="0"/>
        <w:tabs>
          <w:tab w:leader="none" w:pos="14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12" w:lineRule="exact"/>
        <w:rPr>
          <w:rFonts w:ascii="Times New Roman" w:cs="Times New Roman" w:eastAsia="Times New Roman" w:hAnsi="Times New Roman"/>
          <w:sz w:val="9"/>
          <w:szCs w:val="9"/>
          <w:color w:val="auto"/>
        </w:rPr>
      </w:pPr>
    </w:p>
    <w:p>
      <w:pPr>
        <w:ind w:left="160" w:hanging="153"/>
        <w:spacing w:after="0"/>
        <w:tabs>
          <w:tab w:leader="none" w:pos="15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From time to time, advertising fee revenue may be different from advertising expenses in a given accounting period. Over the long term, advertising activity should not generate gross profit or loss.</w:t>
      </w:r>
    </w:p>
    <w:p>
      <w:pPr>
        <w:spacing w:after="0" w:line="200" w:lineRule="exact"/>
        <w:rPr>
          <w:sz w:val="20"/>
          <w:szCs w:val="20"/>
          <w:color w:val="auto"/>
        </w:rPr>
      </w:pPr>
    </w:p>
    <w:p>
      <w:pPr>
        <w:spacing w:after="0" w:line="27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Applebee's franchise fee revenue for the three months ended March 31, 2023 increased 3.4% as compared with the same period of the prior year, primarily due to the favorable impact on royalties of a 6.1% increase in domestic same-restaurant sales and a $0.3 million decrease in Applebee's international revenue.</w:t>
      </w:r>
    </w:p>
    <w:p>
      <w:pPr>
        <w:spacing w:after="0" w:line="7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Applebee's franchise expenses for the three months ended March 31, 2023 increased $0.7 million compared with the same period of the prior year primarily due to an increase in bad debt expense.</w:t>
      </w:r>
    </w:p>
    <w:p>
      <w:pPr>
        <w:spacing w:after="0" w:line="57"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IHOP's franchise fee revenue for the three months ended March 31, 2023 increased 16.2% as compared with the same period of the prior year, primarily due to the favorable impact on royalties and pancake and waffle dry mix revenue of an 8.7% increase in domestic same-restaurant sales and a $0.3 million increase in virtual brand revenue.</w:t>
      </w:r>
    </w:p>
    <w:p>
      <w:pPr>
        <w:spacing w:after="0" w:line="71" w:lineRule="exact"/>
        <w:rPr>
          <w:sz w:val="20"/>
          <w:szCs w:val="20"/>
          <w:color w:val="auto"/>
        </w:rPr>
      </w:pPr>
    </w:p>
    <w:p>
      <w:pPr>
        <w:ind w:right="220" w:firstLine="320"/>
        <w:spacing w:after="0" w:line="276" w:lineRule="auto"/>
        <w:rPr>
          <w:sz w:val="20"/>
          <w:szCs w:val="20"/>
          <w:color w:val="auto"/>
        </w:rPr>
      </w:pPr>
      <w:r>
        <w:rPr>
          <w:rFonts w:ascii="Times New Roman" w:cs="Times New Roman" w:eastAsia="Times New Roman" w:hAnsi="Times New Roman"/>
          <w:sz w:val="18"/>
          <w:szCs w:val="18"/>
          <w:color w:val="auto"/>
        </w:rPr>
        <w:t>IHOP franchise expenses for the three months ended March 31, 2023 increased $2.4 million as compared with same period of the prior year, primarily due to an increase in cost of proprietary products (primarily pancake and waffle dry mix) and an increase in bad debt expense.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Advertising revenue and expense by brand for the three months ended March 31, 2023 and 2022 were as follows:</w:t>
      </w:r>
    </w:p>
    <w:p>
      <w:pPr>
        <w:spacing w:after="0" w:line="209"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6500" w:type="dxa"/>
            <w:vAlign w:val="bottom"/>
          </w:tcPr>
          <w:p>
            <w:pPr>
              <w:spacing w:after="0"/>
              <w:rPr>
                <w:sz w:val="18"/>
                <w:szCs w:val="18"/>
                <w:color w:val="auto"/>
              </w:rPr>
            </w:pPr>
          </w:p>
        </w:tc>
        <w:tc>
          <w:tcPr>
            <w:tcW w:w="29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7"/>
        </w:trPr>
        <w:tc>
          <w:tcPr>
            <w:tcW w:w="65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183"/>
        </w:trPr>
        <w:tc>
          <w:tcPr>
            <w:tcW w:w="6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Revenues and Expenses:</w:t>
            </w: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7"/>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Applebee’s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7"/>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IHOP</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7"/>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Fuzzy's</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advertising revenues and expenses</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6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Applebee's and IHOP's advertising revenue and expense for the three months ended March 31, 2023 increased 6.0% and 8.8%, respectively, compared to the same period of the prior year primarily due to the impact of refranchising 69 Applebee's Company's owned restaurant and increases in average check for both brands as noted above.</w:t>
      </w:r>
    </w:p>
    <w:p>
      <w:pPr>
        <w:spacing w:after="0" w:line="71"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It is our accounting policy to recognize any deficiency in advertising fee revenue compared to advertising expenditure or any recovery of a previously recognized deficiency in advertising fee revenue compared to advertising expenditure in the fourth quarter of our fiscal year.</w:t>
      </w:r>
    </w:p>
    <w:p>
      <w:pPr>
        <w:spacing w:after="0" w:line="99"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w:t>
            </w:r>
          </w:p>
        </w:tc>
        <w:tc>
          <w:tcPr>
            <w:tcW w:w="280" w:type="dxa"/>
            <w:vAlign w:val="bottom"/>
          </w:tcPr>
          <w:p>
            <w:pPr>
              <w:spacing w:after="0"/>
              <w:rPr>
                <w:sz w:val="18"/>
                <w:szCs w:val="18"/>
                <w:color w:val="auto"/>
              </w:rPr>
            </w:pPr>
          </w:p>
        </w:tc>
        <w:tc>
          <w:tcPr>
            <w:tcW w:w="2780" w:type="dxa"/>
            <w:vAlign w:val="bottom"/>
            <w:gridSpan w:val="4"/>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53"/>
        </w:trPr>
        <w:tc>
          <w:tcPr>
            <w:tcW w:w="63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restart"/>
          </w:tcPr>
          <w:p>
            <w:pPr>
              <w:jc w:val="center"/>
              <w:ind w:right="79"/>
              <w:spacing w:after="0" w:line="107" w:lineRule="exact"/>
              <w:rPr>
                <w:sz w:val="20"/>
                <w:szCs w:val="20"/>
                <w:color w:val="auto"/>
              </w:rPr>
            </w:pPr>
            <w:r>
              <w:rPr>
                <w:rFonts w:ascii="Times New Roman" w:cs="Times New Roman" w:eastAsia="Times New Roman" w:hAnsi="Times New Roman"/>
                <w:sz w:val="11"/>
                <w:szCs w:val="11"/>
                <w:b w:val="1"/>
                <w:bCs w:val="1"/>
                <w:color w:val="auto"/>
              </w:rPr>
              <w:t>(Unfavorable)</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vMerge w:val="restart"/>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188"/>
        </w:trPr>
        <w:tc>
          <w:tcPr>
            <w:tcW w:w="6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28.8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7"/>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5"/>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 gross profit</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0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color w:val="auto"/>
              </w:rPr>
              <w:t xml:space="preserve">Gross profit as % of revenue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660"/>
              <w:spacing w:after="0" w:line="200" w:lineRule="exact"/>
              <w:rPr>
                <w:sz w:val="20"/>
                <w:szCs w:val="20"/>
                <w:color w:val="auto"/>
              </w:rPr>
            </w:pPr>
            <w:r>
              <w:rPr>
                <w:rFonts w:ascii="Times New Roman" w:cs="Times New Roman" w:eastAsia="Times New Roman" w:hAnsi="Times New Roman"/>
                <w:sz w:val="18"/>
                <w:szCs w:val="18"/>
                <w:color w:val="auto"/>
              </w:rPr>
              <w:t>32.4 %</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23.2 %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55" w:lineRule="exact"/>
        <w:rPr>
          <w:sz w:val="20"/>
          <w:szCs w:val="20"/>
          <w:color w:val="auto"/>
        </w:rPr>
      </w:pPr>
    </w:p>
    <w:p>
      <w:pPr>
        <w:ind w:left="140" w:hanging="133"/>
        <w:spacing w:after="0"/>
        <w:tabs>
          <w:tab w:leader="none" w:pos="14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123"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Rental operations relate primarily to IHOP franchise restaurants. Rental income includes sublease revenue from operating leases and interest income from real estate leases. Rental expenses are costs of prime operating leases and interest expense on prime finance leases. Rental operations gross profit for the three months ended March 31, 2023 increased as compared to the same period of the prior year, primarily due to lease buyouts and operating lease renewals and extensions.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Company Restaurant Operations</w:t>
      </w:r>
    </w:p>
    <w:p>
      <w:pPr>
        <w:spacing w:after="0" w:line="31"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3160" w:type="dxa"/>
            <w:vAlign w:val="bottom"/>
            <w:gridSpan w:val="6"/>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 w:type="dxa"/>
            <w:vAlign w:val="bottom"/>
          </w:tcPr>
          <w:p>
            <w:pPr>
              <w:spacing w:after="0"/>
              <w:rPr>
                <w:sz w:val="16"/>
                <w:szCs w:val="16"/>
                <w:color w:val="auto"/>
              </w:rPr>
            </w:pPr>
          </w:p>
        </w:tc>
        <w:tc>
          <w:tcPr>
            <w:tcW w:w="12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104"/>
        </w:trPr>
        <w:tc>
          <w:tcPr>
            <w:tcW w:w="6300" w:type="dxa"/>
            <w:vAlign w:val="bottom"/>
          </w:tcPr>
          <w:p>
            <w:pPr>
              <w:spacing w:after="0"/>
              <w:rPr>
                <w:sz w:val="9"/>
                <w:szCs w:val="9"/>
                <w:color w:val="auto"/>
              </w:rPr>
            </w:pPr>
          </w:p>
        </w:tc>
        <w:tc>
          <w:tcPr>
            <w:tcW w:w="316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vMerge w:val="restart"/>
          </w:tcPr>
          <w:p>
            <w:pPr>
              <w:jc w:val="center"/>
              <w:ind w:right="54"/>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(Unfavorable)</w:t>
            </w:r>
          </w:p>
        </w:tc>
        <w:tc>
          <w:tcPr>
            <w:tcW w:w="0" w:type="dxa"/>
            <w:vAlign w:val="bottom"/>
          </w:tcPr>
          <w:p>
            <w:pPr>
              <w:spacing w:after="0"/>
              <w:rPr>
                <w:sz w:val="1"/>
                <w:szCs w:val="1"/>
                <w:color w:val="auto"/>
              </w:rPr>
            </w:pPr>
          </w:p>
        </w:tc>
      </w:tr>
      <w:tr>
        <w:trPr>
          <w:trHeight w:val="36"/>
        </w:trPr>
        <w:tc>
          <w:tcPr>
            <w:tcW w:w="6300" w:type="dxa"/>
            <w:vAlign w:val="bottom"/>
          </w:tcPr>
          <w:p>
            <w:pPr>
              <w:spacing w:after="0"/>
              <w:rPr>
                <w:sz w:val="3"/>
                <w:szCs w:val="3"/>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630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0" w:type="dxa"/>
            <w:vAlign w:val="bottom"/>
          </w:tcPr>
          <w:p>
            <w:pPr>
              <w:spacing w:after="0"/>
              <w:rPr>
                <w:sz w:val="1"/>
                <w:szCs w:val="1"/>
                <w:color w:val="auto"/>
              </w:rPr>
            </w:pPr>
          </w:p>
        </w:tc>
      </w:tr>
      <w:tr>
        <w:trPr>
          <w:trHeight w:val="141"/>
        </w:trPr>
        <w:tc>
          <w:tcPr>
            <w:tcW w:w="6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Restaurants</w:t>
            </w:r>
          </w:p>
        </w:tc>
        <w:tc>
          <w:tcPr>
            <w:tcW w:w="9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30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Applebee's company restaurant sales </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7"/>
        </w:trPr>
        <w:tc>
          <w:tcPr>
            <w:tcW w:w="630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Applebee's company restaurant expenses </w:t>
            </w:r>
            <w:r>
              <w:rPr>
                <w:rFonts w:ascii="Times New Roman" w:cs="Times New Roman" w:eastAsia="Times New Roman" w:hAnsi="Times New Roman"/>
                <w:sz w:val="23"/>
                <w:szCs w:val="23"/>
                <w:color w:val="auto"/>
                <w:vertAlign w:val="superscript"/>
              </w:rPr>
              <w:t>(1)</w:t>
            </w:r>
          </w:p>
        </w:tc>
        <w:tc>
          <w:tcPr>
            <w:tcW w:w="920" w:type="dxa"/>
            <w:vAlign w:val="bottom"/>
          </w:tcPr>
          <w:p>
            <w:pPr>
              <w:spacing w:after="0"/>
              <w:rPr>
                <w:sz w:val="19"/>
                <w:szCs w:val="19"/>
                <w:color w:val="auto"/>
              </w:rPr>
            </w:pPr>
          </w:p>
        </w:tc>
        <w:tc>
          <w:tcPr>
            <w:tcW w:w="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7"/>
        </w:trPr>
        <w:tc>
          <w:tcPr>
            <w:tcW w:w="630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Fuzzy's company restaurant sales </w:t>
            </w:r>
            <w:r>
              <w:rPr>
                <w:rFonts w:ascii="Times New Roman" w:cs="Times New Roman" w:eastAsia="Times New Roman" w:hAnsi="Times New Roman"/>
                <w:sz w:val="23"/>
                <w:szCs w:val="23"/>
                <w:color w:val="auto"/>
                <w:vertAlign w:val="superscript"/>
              </w:rPr>
              <w:t>(2)</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630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Fuzzy's company restaurant expenses </w:t>
            </w:r>
            <w:r>
              <w:rPr>
                <w:rFonts w:ascii="Times New Roman" w:cs="Times New Roman" w:eastAsia="Times New Roman" w:hAnsi="Times New Roman"/>
                <w:sz w:val="23"/>
                <w:szCs w:val="23"/>
                <w:color w:val="auto"/>
                <w:vertAlign w:val="superscript"/>
              </w:rPr>
              <w:t>(2)</w:t>
            </w:r>
          </w:p>
        </w:tc>
        <w:tc>
          <w:tcPr>
            <w:tcW w:w="920" w:type="dxa"/>
            <w:vAlign w:val="bottom"/>
          </w:tcPr>
          <w:p>
            <w:pPr>
              <w:spacing w:after="0"/>
              <w:rPr>
                <w:sz w:val="19"/>
                <w:szCs w:val="19"/>
                <w:color w:val="auto"/>
              </w:rPr>
            </w:pPr>
          </w:p>
        </w:tc>
        <w:tc>
          <w:tcPr>
            <w:tcW w:w="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8"/>
        </w:trPr>
        <w:tc>
          <w:tcPr>
            <w:tcW w:w="6300" w:type="dxa"/>
            <w:vAlign w:val="bottom"/>
            <w:tcBorders>
              <w:top w:val="single" w:sz="8" w:color="CCEEFF"/>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Company restaurant gross profit</w:t>
            </w: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131"/>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8"/>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ind w:right="131"/>
              <w:spacing w:after="0" w:line="194" w:lineRule="exact"/>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0"/>
        </w:trPr>
        <w:tc>
          <w:tcPr>
            <w:tcW w:w="6300" w:type="dxa"/>
            <w:vAlign w:val="bottom"/>
            <w:tcBorders>
              <w:top w:val="single" w:sz="8" w:color="CCEEFF"/>
            </w:tcBorders>
          </w:tcPr>
          <w:p>
            <w:pPr>
              <w:ind w:left="20"/>
              <w:spacing w:after="0" w:line="200" w:lineRule="exact"/>
              <w:rPr>
                <w:sz w:val="20"/>
                <w:szCs w:val="20"/>
                <w:color w:val="auto"/>
              </w:rPr>
            </w:pPr>
            <w:r>
              <w:rPr>
                <w:rFonts w:ascii="Times New Roman" w:cs="Times New Roman" w:eastAsia="Times New Roman" w:hAnsi="Times New Roman"/>
                <w:sz w:val="18"/>
                <w:szCs w:val="18"/>
                <w:color w:val="auto"/>
              </w:rPr>
              <w:t xml:space="preserve">Gross profit as % of revenue </w:t>
            </w:r>
            <w:r>
              <w:rPr>
                <w:rFonts w:ascii="Times New Roman" w:cs="Times New Roman" w:eastAsia="Times New Roman" w:hAnsi="Times New Roman"/>
                <w:sz w:val="23"/>
                <w:szCs w:val="23"/>
                <w:color w:val="auto"/>
                <w:vertAlign w:val="superscript"/>
              </w:rPr>
              <w:t>(3)</w:t>
            </w:r>
          </w:p>
        </w:tc>
        <w:tc>
          <w:tcPr>
            <w:tcW w:w="9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ind w:left="140" w:hanging="133"/>
        <w:spacing w:after="0" w:line="218" w:lineRule="auto"/>
        <w:tabs>
          <w:tab w:leader="none" w:pos="14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Related to 69 Applebee's company-operated restaurants that were still operating through October 2022.</w:t>
      </w:r>
    </w:p>
    <w:p>
      <w:pPr>
        <w:ind w:left="140" w:hanging="133"/>
        <w:spacing w:after="0"/>
        <w:tabs>
          <w:tab w:leader="none" w:pos="14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Related to three Fuzzy's company-operated restaurants that were acquired in December 2022.</w:t>
      </w:r>
    </w:p>
    <w:p>
      <w:pPr>
        <w:spacing w:after="0" w:line="7"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352"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Applebee's company restaurant gross profit for the three months ended March 31, 2023 decreased 100% compared to the same period of 2022, due to the refranchising of the company-operated restaurants in October 2022.</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three months ended March 31, 2023, company restaurant operations included the first full quarter of Fuzzy's acquired last December.</w:t>
      </w:r>
    </w:p>
    <w:p>
      <w:pPr>
        <w:spacing w:after="0" w:line="11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Company segment restaurant expenses may include costs associated with reacquired restaurants in the process of being refranchised. There were no reacquired restaurants expenses during the three months ended March 31, 2023.</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Financing Operations</w:t>
      </w:r>
    </w:p>
    <w:p>
      <w:pPr>
        <w:spacing w:after="0" w:line="11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Financing revenues primarily consist of interest income from the financing of IHOP equipment leases and franchise fees as well as interest income on Applebee's notes receivable from franchisees. Financing expenses are the cost of taxes related to IHOP equipment leases.</w:t>
      </w:r>
    </w:p>
    <w:p>
      <w:pPr>
        <w:spacing w:after="0" w:line="5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Financing revenue and gross profit for the three months ended March 31, 2023 declined compared to the same period of the prior year, primarily because of progressive decline in interest income as note balances are repaid.</w:t>
      </w:r>
    </w:p>
    <w:p>
      <w:pPr>
        <w:spacing w:after="0" w:line="93" w:lineRule="exact"/>
        <w:rPr>
          <w:sz w:val="20"/>
          <w:szCs w:val="20"/>
          <w:color w:val="auto"/>
        </w:rPr>
      </w:pPr>
    </w:p>
    <w:tbl>
      <w:tblPr>
        <w:tblLayout w:type="fixed"/>
        <w:tblInd w:w="320" w:type="dxa"/>
        <w:tblCellMar>
          <w:top w:w="0" w:type="dxa"/>
          <w:left w:w="0" w:type="dxa"/>
          <w:bottom w:w="0" w:type="dxa"/>
          <w:right w:w="0" w:type="dxa"/>
        </w:tblCellMar>
      </w:tblPr>
      <w:tr>
        <w:trPr>
          <w:trHeight w:val="222"/>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G&amp;A Expenses</w:t>
            </w:r>
          </w:p>
        </w:tc>
        <w:tc>
          <w:tcPr>
            <w:tcW w:w="220" w:type="dxa"/>
            <w:vAlign w:val="bottom"/>
          </w:tcPr>
          <w:p>
            <w:pPr>
              <w:spacing w:after="0"/>
              <w:rPr>
                <w:sz w:val="19"/>
                <w:szCs w:val="19"/>
                <w:color w:val="auto"/>
              </w:rPr>
            </w:pPr>
          </w:p>
        </w:tc>
        <w:tc>
          <w:tcPr>
            <w:tcW w:w="27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Pr>
          <w:p>
            <w:pPr>
              <w:spacing w:after="0"/>
              <w:rPr>
                <w:sz w:val="19"/>
                <w:szCs w:val="19"/>
                <w:color w:val="auto"/>
              </w:rPr>
            </w:pPr>
          </w:p>
        </w:tc>
        <w:tc>
          <w:tcPr>
            <w:tcW w:w="120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8"/>
              </w:rPr>
              <w:t>Favorable</w:t>
            </w:r>
          </w:p>
        </w:tc>
        <w:tc>
          <w:tcPr>
            <w:tcW w:w="0" w:type="dxa"/>
            <w:vAlign w:val="bottom"/>
          </w:tcPr>
          <w:p>
            <w:pPr>
              <w:spacing w:after="0"/>
              <w:rPr>
                <w:sz w:val="1"/>
                <w:szCs w:val="1"/>
                <w:color w:val="auto"/>
              </w:rPr>
            </w:pPr>
          </w:p>
        </w:tc>
      </w:tr>
      <w:tr>
        <w:trPr>
          <w:trHeight w:val="53"/>
        </w:trPr>
        <w:tc>
          <w:tcPr>
            <w:tcW w:w="65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restart"/>
          </w:tcPr>
          <w:p>
            <w:pPr>
              <w:jc w:val="center"/>
              <w:ind w:right="84"/>
              <w:spacing w:after="0" w:line="107" w:lineRule="exact"/>
              <w:rPr>
                <w:sz w:val="20"/>
                <w:szCs w:val="20"/>
                <w:color w:val="auto"/>
              </w:rPr>
            </w:pPr>
            <w:r>
              <w:rPr>
                <w:rFonts w:ascii="Times New Roman" w:cs="Times New Roman" w:eastAsia="Times New Roman" w:hAnsi="Times New Roman"/>
                <w:sz w:val="11"/>
                <w:szCs w:val="11"/>
                <w:b w:val="1"/>
                <w:bCs w:val="1"/>
                <w:color w:val="auto"/>
              </w:rPr>
              <w:t>(Unfavorable)</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vMerge w:val="restart"/>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0" w:type="dxa"/>
            <w:vAlign w:val="bottom"/>
          </w:tcPr>
          <w:p>
            <w:pPr>
              <w:spacing w:after="0"/>
              <w:rPr>
                <w:sz w:val="1"/>
                <w:szCs w:val="1"/>
                <w:color w:val="auto"/>
              </w:rPr>
            </w:pPr>
          </w:p>
        </w:tc>
      </w:tr>
      <w:tr>
        <w:trPr>
          <w:trHeight w:val="188"/>
        </w:trPr>
        <w:tc>
          <w:tcPr>
            <w:tcW w:w="6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G&amp;A expenses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G&amp;A expenses for the three months ended March 31, 2023 increased 23.0% compared to the same period of the prior year, primarily due to increases in personnel-related costs, professional services, occupancy costs and software maintenance costs. Included in total G&amp;A expenses for the three months ended March 31, 2023 was $1.9 million of expense related to Fuzzy's, which was acquired in December 2022.</w:t>
      </w:r>
    </w:p>
    <w:p>
      <w:pPr>
        <w:spacing w:after="0" w:line="107"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6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Items</w:t>
            </w:r>
          </w:p>
        </w:tc>
        <w:tc>
          <w:tcPr>
            <w:tcW w:w="220" w:type="dxa"/>
            <w:vAlign w:val="bottom"/>
          </w:tcPr>
          <w:p>
            <w:pPr>
              <w:spacing w:after="0"/>
              <w:rPr>
                <w:sz w:val="19"/>
                <w:szCs w:val="19"/>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Pr>
          <w:p>
            <w:pPr>
              <w:spacing w:after="0"/>
              <w:rPr>
                <w:sz w:val="19"/>
                <w:szCs w:val="19"/>
                <w:color w:val="auto"/>
              </w:rPr>
            </w:pPr>
          </w:p>
        </w:tc>
        <w:tc>
          <w:tcPr>
            <w:tcW w:w="12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53"/>
        </w:trPr>
        <w:tc>
          <w:tcPr>
            <w:tcW w:w="65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vMerge w:val="restart"/>
          </w:tcPr>
          <w:p>
            <w:pPr>
              <w:jc w:val="center"/>
              <w:ind w:right="97"/>
              <w:spacing w:after="0" w:line="107" w:lineRule="exact"/>
              <w:rPr>
                <w:sz w:val="20"/>
                <w:szCs w:val="20"/>
                <w:color w:val="auto"/>
              </w:rPr>
            </w:pPr>
            <w:r>
              <w:rPr>
                <w:rFonts w:ascii="Times New Roman" w:cs="Times New Roman" w:eastAsia="Times New Roman" w:hAnsi="Times New Roman"/>
                <w:sz w:val="11"/>
                <w:szCs w:val="11"/>
                <w:b w:val="1"/>
                <w:bCs w:val="1"/>
                <w:color w:val="auto"/>
              </w:rPr>
              <w:t>(Unfavorable)</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restart"/>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188"/>
        </w:trPr>
        <w:tc>
          <w:tcPr>
            <w:tcW w:w="6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2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left="757"/>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2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2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20" w:type="dxa"/>
            <w:vAlign w:val="bottom"/>
          </w:tcPr>
          <w:p>
            <w:pPr>
              <w:jc w:val="center"/>
              <w:ind w:left="757"/>
              <w:spacing w:after="0"/>
              <w:rPr>
                <w:sz w:val="20"/>
                <w:szCs w:val="20"/>
                <w:color w:val="auto"/>
              </w:rPr>
            </w:pPr>
            <w:r>
              <w:rPr>
                <w:rFonts w:ascii="Times New Roman" w:cs="Times New Roman" w:eastAsia="Times New Roman" w:hAnsi="Times New Roman"/>
                <w:sz w:val="18"/>
                <w:szCs w:val="18"/>
                <w:color w:val="auto"/>
                <w:w w:val="97"/>
              </w:rPr>
              <w:t>1.7</w:t>
            </w:r>
          </w:p>
        </w:tc>
        <w:tc>
          <w:tcPr>
            <w:tcW w:w="0" w:type="dxa"/>
            <w:vAlign w:val="bottom"/>
          </w:tcPr>
          <w:p>
            <w:pPr>
              <w:spacing w:after="0"/>
              <w:rPr>
                <w:sz w:val="1"/>
                <w:szCs w:val="1"/>
                <w:color w:val="auto"/>
              </w:rPr>
            </w:pPr>
          </w:p>
        </w:tc>
      </w:tr>
      <w:tr>
        <w:trPr>
          <w:trHeight w:val="22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w w:val="98"/>
              </w:rPr>
              <w:t>(1.4)</w:t>
            </w:r>
          </w:p>
        </w:tc>
        <w:tc>
          <w:tcPr>
            <w:tcW w:w="0" w:type="dxa"/>
            <w:vAlign w:val="bottom"/>
          </w:tcPr>
          <w:p>
            <w:pPr>
              <w:spacing w:after="0"/>
              <w:rPr>
                <w:sz w:val="1"/>
                <w:szCs w:val="1"/>
                <w:color w:val="auto"/>
              </w:rPr>
            </w:pPr>
          </w:p>
        </w:tc>
      </w:tr>
      <w:tr>
        <w:trPr>
          <w:trHeight w:val="220"/>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center"/>
              <w:ind w:left="757"/>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113" w:lineRule="exact"/>
        <w:rPr>
          <w:sz w:val="20"/>
          <w:szCs w:val="20"/>
          <w:color w:val="auto"/>
        </w:rPr>
      </w:pPr>
    </w:p>
    <w:p>
      <w:pPr>
        <w:jc w:val="both"/>
        <w:ind w:right="320" w:firstLine="320"/>
        <w:spacing w:after="0" w:line="261" w:lineRule="auto"/>
        <w:rPr>
          <w:sz w:val="20"/>
          <w:szCs w:val="20"/>
          <w:color w:val="auto"/>
        </w:rPr>
      </w:pPr>
      <w:r>
        <w:rPr>
          <w:rFonts w:ascii="Times New Roman" w:cs="Times New Roman" w:eastAsia="Times New Roman" w:hAnsi="Times New Roman"/>
          <w:sz w:val="18"/>
          <w:szCs w:val="18"/>
          <w:color w:val="auto"/>
        </w:rPr>
        <w:t>Interest expense, net for the three months ended March 31, 2023 declined compared to the same period of the prior year due to an increase in interest income from improved yields partially offset by an increase in interest expense on our Credit Facility. We had $100 million outstanding under our Credit Facility during the three months ended March 31, 2023, whereas we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 xml:space="preserve">had no borrowings outstanding during the three months ended March 31, 2022.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for additional discussion related to our Credit Facility.</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Gain on extinguishment of debt</w:t>
      </w:r>
    </w:p>
    <w:p>
      <w:pPr>
        <w:spacing w:after="0" w:line="11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Company purchased $67.9 million of its 2019 Class A-2 Notes under par and recognized a $1.7 million gain on extinguishment of debt during the three months ended March 31, 2023.</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Loss (gain) on disposition of assets</w:t>
      </w:r>
    </w:p>
    <w:p>
      <w:pPr>
        <w:spacing w:after="0" w:line="11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There were no individually significant gains or losses on disposition of assets during the three months ended March 31, 2023. The gain on disposition of assets for the three months ended March 31, 2022 primarily related to sale of land and buildings for two IHOP restaurants located on sites owned by us.</w:t>
      </w:r>
    </w:p>
    <w:p>
      <w:pPr>
        <w:spacing w:after="0" w:line="93"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tc>
        <w:tc>
          <w:tcPr>
            <w:tcW w:w="260" w:type="dxa"/>
            <w:vAlign w:val="bottom"/>
          </w:tcPr>
          <w:p>
            <w:pPr>
              <w:spacing w:after="0"/>
              <w:rPr>
                <w:sz w:val="19"/>
                <w:szCs w:val="19"/>
                <w:color w:val="auto"/>
              </w:rPr>
            </w:pPr>
          </w:p>
        </w:tc>
        <w:tc>
          <w:tcPr>
            <w:tcW w:w="2760" w:type="dxa"/>
            <w:vAlign w:val="bottom"/>
            <w:gridSpan w:val="3"/>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Pr>
          <w:p>
            <w:pPr>
              <w:spacing w:after="0"/>
              <w:rPr>
                <w:sz w:val="19"/>
                <w:szCs w:val="19"/>
                <w:color w:val="auto"/>
              </w:rPr>
            </w:pPr>
          </w:p>
        </w:tc>
        <w:tc>
          <w:tcPr>
            <w:tcW w:w="13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Favorable</w:t>
            </w:r>
          </w:p>
        </w:tc>
        <w:tc>
          <w:tcPr>
            <w:tcW w:w="0" w:type="dxa"/>
            <w:vAlign w:val="bottom"/>
          </w:tcPr>
          <w:p>
            <w:pPr>
              <w:spacing w:after="0"/>
              <w:rPr>
                <w:sz w:val="1"/>
                <w:szCs w:val="1"/>
                <w:color w:val="auto"/>
              </w:rPr>
            </w:pPr>
          </w:p>
        </w:tc>
      </w:tr>
      <w:tr>
        <w:trPr>
          <w:trHeight w:val="53"/>
        </w:trPr>
        <w:tc>
          <w:tcPr>
            <w:tcW w:w="61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vMerge w:val="restart"/>
          </w:tcPr>
          <w:p>
            <w:pPr>
              <w:jc w:val="center"/>
              <w:ind w:right="119"/>
              <w:spacing w:after="0" w:line="107" w:lineRule="exact"/>
              <w:rPr>
                <w:sz w:val="20"/>
                <w:szCs w:val="20"/>
                <w:color w:val="auto"/>
              </w:rPr>
            </w:pPr>
            <w:r>
              <w:rPr>
                <w:rFonts w:ascii="Times New Roman" w:cs="Times New Roman" w:eastAsia="Times New Roman" w:hAnsi="Times New Roman"/>
                <w:sz w:val="11"/>
                <w:szCs w:val="11"/>
                <w:b w:val="1"/>
                <w:bCs w:val="1"/>
                <w:color w:val="auto"/>
              </w:rPr>
              <w:t>(Unfavorable)</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2"/>
                <w:szCs w:val="2"/>
                <w:color w:val="auto"/>
              </w:rPr>
            </w:pPr>
          </w:p>
        </w:tc>
        <w:tc>
          <w:tcPr>
            <w:tcW w:w="1220" w:type="dxa"/>
            <w:vAlign w:val="bottom"/>
            <w:vMerge w:val="restart"/>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0" w:type="dxa"/>
            <w:vAlign w:val="bottom"/>
          </w:tcPr>
          <w:p>
            <w:pPr>
              <w:spacing w:after="0"/>
              <w:rPr>
                <w:sz w:val="1"/>
                <w:szCs w:val="1"/>
                <w:color w:val="auto"/>
              </w:rPr>
            </w:pPr>
          </w:p>
        </w:tc>
      </w:tr>
      <w:tr>
        <w:trPr>
          <w:trHeight w:val="188"/>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36.2</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34.2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7"/>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9"/>
              </w:rPr>
              <w:t>3.0 %</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income tax provision or benefit will vary from period to period in our normal course of business for two reasons: a change in income before income taxes and a change in the effective tax rate. Changes in our income before income taxes were addressed in the preceding sections of “Consolidated Results of Operations - Comparison of the Three Months Ended March 31, 2023 and 2022.”</w:t>
      </w:r>
    </w:p>
    <w:p>
      <w:pPr>
        <w:spacing w:after="0" w:line="7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2023 was different than the rate of the prior comparable period primarily due to the recognition of higher excess tax benefits from stock-based compensation and lower non-deductible executive compensation.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5"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Key provisions of our long-term debt potentially impacting liquidity are summarized below. See Note 7 - Long-Term Debt, of the Notes to the Consolidated Financial Statements, for additional detail on long-term debt, including the balances outstanding at March 31, 2023 and 2022.</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Instruments</w:t>
      </w:r>
    </w:p>
    <w:p>
      <w:pPr>
        <w:spacing w:after="0" w:line="11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long-term debt consists of two tranches of fixed rate senior secured notes, the Series 2019-1 4.194% Fixed Rate Senior Secured Notes, Class A-2-I (“Class A-2-I Notes”) in an initial aggregate principal amount of $700 million and the Series 2019-1 4.723% Fixed Rate Senior Secured Notes in an initial aggregate principal amount of $600 million (the “Class A-2-II Notes” and, together with the Class A-2-I Notes, the “2019 Class A-2 Notes”). In August 2022, Applebee's Funding LLC and IHOP Funding LLC (the “Co-Issuers”) entered into the Credit Facility that allows for drawings up to $325 million of variable funding notes on a revolving basis and the issuance of letters of credit.</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Maturity</w:t>
      </w:r>
    </w:p>
    <w:p>
      <w:pPr>
        <w:spacing w:after="0" w:line="11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legal final maturity of the 2019 Class A-2 Notes is in June 2049, but it is anticipated that, unless repaid earlier, the Class A-2-II Notes will be repaid in June 2026.</w:t>
      </w:r>
    </w:p>
    <w:p>
      <w:pPr>
        <w:spacing w:after="0" w:line="5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Payment of Principal and Interest</w:t>
      </w:r>
    </w:p>
    <w:p>
      <w:pPr>
        <w:spacing w:after="0" w:line="11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While the 2019 Class A-2 Notes are outstanding, payment of principal and interest is required to be made on the Class A-2 Notes on a quarterly basis. The payment of principal on the 2019 Class A-2 Notes may be suspended when the leverage ratio for the Company and its subsidiaries is less than or equal to 5.25x. Exceeding the leverage ratio of 5.25x does not violate any covenant related to the Class A-2 Notes. On February 16, 2023, our Company's Board of Directors authorized a debt repurchase program of up to $100 million.</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2023, our leverage ratio was approximately 4.5x. Therefore, quarterly principal payments are not required.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Make-whole Premiums</w:t>
      </w:r>
    </w:p>
    <w:p>
      <w:pPr>
        <w:spacing w:after="0" w:line="11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may voluntarily repay the Class A-2 Notes at any time; however, if repaid prior to certain dates we would be required to pay make-whole premiums. As of March 31, 2023, the make-whole premium associated with voluntary prepayment of the Class A-2-I Notes was zero and remained as such until refinanced in April 2023. As of March 31, 2023, the make-whole premium associated with voluntary prepayment of the Class A-2-II Notes was approximately $1.8 million; this amount increased compared to prior quarter due to rising interest rates. We would also be subject to a make-whole premium in the event of a mandatory prepayment required following certain rapid amortization events or certain asset dispositions. The mandatory make-whole premium requirements are considered derivatives embedded that must be bifurcated for separate valuation. We estimated the fair value of these derivatives to be immaterial as of March 31, 2023, based on the probability-weighted discounted cash flows associated with either event.</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Covenants and Restrictions</w:t>
      </w:r>
    </w:p>
    <w:p>
      <w:pPr>
        <w:spacing w:after="0" w:line="11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long-term debt is subject to a series of covenants and restrictions customary for transactions of this type, including maintenance of a DSCR. In general, the DSCR ratio is net cash flow for the four quarters preceding the calculation date divided by the total debt service payments of the preceding four quarters. The complete definitions of the DSCR and all calculation elements are contained in the indenture, and subsequent amendments thereto, under which the Class A-2 Notes were issued.</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Failure to maintain a prescribed DSCR can trigger the following events:</w:t>
      </w:r>
    </w:p>
    <w:p>
      <w:pPr>
        <w:spacing w:after="0" w:line="113" w:lineRule="exact"/>
        <w:rPr>
          <w:sz w:val="20"/>
          <w:szCs w:val="20"/>
          <w:color w:val="auto"/>
        </w:rPr>
      </w:pPr>
    </w:p>
    <w:p>
      <w:pPr>
        <w:ind w:left="1280" w:hanging="314"/>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112" w:lineRule="exact"/>
        <w:rPr>
          <w:rFonts w:ascii="Times New Roman" w:cs="Times New Roman" w:eastAsia="Times New Roman" w:hAnsi="Times New Roman"/>
          <w:sz w:val="18"/>
          <w:szCs w:val="18"/>
          <w:color w:val="auto"/>
        </w:rPr>
      </w:pPr>
    </w:p>
    <w:p>
      <w:pPr>
        <w:ind w:left="1280" w:hanging="314"/>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112" w:lineRule="exact"/>
        <w:rPr>
          <w:rFonts w:ascii="Times New Roman" w:cs="Times New Roman" w:eastAsia="Times New Roman" w:hAnsi="Times New Roman"/>
          <w:sz w:val="18"/>
          <w:szCs w:val="18"/>
          <w:color w:val="auto"/>
        </w:rPr>
      </w:pPr>
    </w:p>
    <w:p>
      <w:pPr>
        <w:ind w:left="1280" w:hanging="314"/>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112" w:lineRule="exact"/>
        <w:rPr>
          <w:rFonts w:ascii="Times New Roman" w:cs="Times New Roman" w:eastAsia="Times New Roman" w:hAnsi="Times New Roman"/>
          <w:sz w:val="18"/>
          <w:szCs w:val="18"/>
          <w:color w:val="auto"/>
        </w:rPr>
      </w:pPr>
    </w:p>
    <w:p>
      <w:pPr>
        <w:ind w:left="1280" w:hanging="314"/>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DSCR for the reporting period ended March 31, 2023 was approximately 4.0x.</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11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Secured Overnight Financing Rate (“SOFR”),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SOFR for a one-month tenor in effect at such time plus 0.50% plus (b) 2.00%.</w:t>
      </w:r>
    </w:p>
    <w:p>
      <w:pPr>
        <w:spacing w:after="0" w:line="77"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August 2022, the Company borrowed $100 million against the Credit Facility, all of which was outstanding at March 31, 2023. The amount of $3.4 million was pledged against the Credit Facility for outstanding letters of credit, leaving $221.6 million of the Credit Facility available for borrowing at March 31, 2023.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on Credit Facility borrowings for the period outstanding during the three months ended March 31, 2023 was 7.30%.</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Dividends declared and paid per share for the three months ended March 31, 2023 and 2022 were as follows:</w:t>
      </w:r>
    </w:p>
    <w:p>
      <w:pPr>
        <w:spacing w:after="0" w:line="155"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Borders>
              <w:bottom w:val="single" w:sz="8" w:color="auto"/>
            </w:tcBorders>
          </w:tcPr>
          <w:p>
            <w:pPr>
              <w:spacing w:after="0"/>
              <w:rPr>
                <w:sz w:val="18"/>
                <w:szCs w:val="18"/>
                <w:color w:val="auto"/>
              </w:rPr>
            </w:pPr>
          </w:p>
        </w:tc>
      </w:tr>
      <w:tr>
        <w:trPr>
          <w:trHeight w:val="208"/>
        </w:trPr>
        <w:tc>
          <w:tcPr>
            <w:tcW w:w="65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r>
      <w:tr>
        <w:trPr>
          <w:trHeight w:val="22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2"/>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11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r>
    </w:tbl>
    <w:p>
      <w:pPr>
        <w:spacing w:after="0" w:line="176"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On February 17, 2022, the Company's Board of Directors declared a first quarter 2022 cash dividend of $0.51 per share of common stock, paid on April 1, 2022 to the stockholders of record as of the close of business on March 21, 2022.</w:t>
      </w:r>
    </w:p>
    <w:p>
      <w:pPr>
        <w:spacing w:after="0" w:line="57"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On December 2, 2022, the Board of Directors declared a fourth quarter 2022 cash dividend of $0.51 per share of common stock, paid on January 6, 2023 to the stockholders of record as of the close of business on December 17,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On February 21, 2023, the Board of Directors declared a first quarter 2023 cash dividend of $0.51 per share of common stock, paid on March 31, 2023 to the stockholders of record as of the close of business on March 20, 2023.</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11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On February 17, 2022, the Company's Board of Directors authorized a new share repurchase program, effective April 1, 2022, of up to $250 million (the “2022 Repurchase Program”). In connection with the approval of the 2022 Repurchase Program, the 2019 Share Repurchase Program terminated effective April 1, 2022.</w:t>
      </w:r>
    </w:p>
    <w:p>
      <w:pPr>
        <w:spacing w:after="0" w:line="7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During the three months ended March 31, 2023, the Company repurchased 74,860 shares of common stock at a cost of $5.0 million. Cumulatively, the Company repurchased 1,224,449 shares at a cost of $83.7 million under the 2022 Repurchase Program.</w:t>
      </w:r>
    </w:p>
    <w:p>
      <w:pPr>
        <w:spacing w:after="0" w:line="57"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this stock repurchase activity during the first quarter of 2023.</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summary, our cash flows for the three months ended March 31, 2023 and March 31, 2022 were as follows:</w:t>
      </w:r>
    </w:p>
    <w:p>
      <w:pPr>
        <w:spacing w:after="0" w:line="155"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29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8"/>
        </w:trPr>
        <w:tc>
          <w:tcPr>
            <w:tcW w:w="6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5"/>
              </w:rPr>
              <w:t>23.9</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8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left="533"/>
              <w:spacing w:after="0"/>
              <w:rPr>
                <w:sz w:val="20"/>
                <w:szCs w:val="20"/>
                <w:color w:val="auto"/>
              </w:rPr>
            </w:pPr>
            <w:r>
              <w:rPr>
                <w:rFonts w:ascii="Times New Roman" w:cs="Times New Roman" w:eastAsia="Times New Roman" w:hAnsi="Times New Roman"/>
                <w:sz w:val="18"/>
                <w:szCs w:val="18"/>
                <w:color w:val="auto"/>
                <w:w w:val="96"/>
              </w:rPr>
              <w:t>(14.4)</w:t>
            </w:r>
          </w:p>
        </w:tc>
      </w:tr>
      <w:tr>
        <w:trPr>
          <w:trHeight w:val="22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6"/>
              </w:rPr>
              <w:t>(32.2)</w:t>
            </w:r>
          </w:p>
        </w:tc>
      </w:tr>
      <w:tr>
        <w:trPr>
          <w:trHeight w:val="22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533"/>
              <w:spacing w:after="0"/>
              <w:rPr>
                <w:sz w:val="20"/>
                <w:szCs w:val="20"/>
                <w:color w:val="auto"/>
              </w:rPr>
            </w:pPr>
            <w:r>
              <w:rPr>
                <w:rFonts w:ascii="Times New Roman" w:cs="Times New Roman" w:eastAsia="Times New Roman" w:hAnsi="Times New Roman"/>
                <w:sz w:val="18"/>
                <w:szCs w:val="18"/>
                <w:color w:val="auto"/>
                <w:w w:val="96"/>
              </w:rPr>
              <w:t>(22.7)</w:t>
            </w:r>
          </w:p>
        </w:tc>
      </w:tr>
      <w:tr>
        <w:trPr>
          <w:trHeight w:val="20"/>
        </w:trPr>
        <w:tc>
          <w:tcPr>
            <w:tcW w:w="6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11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Cash provided by operating activities increased $23.9 million during the three months ended March 31, 2023 compared to the same period of the prior year. Our net income plus the non-cash reconciling items shown in our statements of cash flows (primarily depreciation, impairment and closure charges, stock-based compensation and deferred taxes) increased $0.8 million from 2022. This was primarily due to an increase in gross profit, partially offset by an increase in G&amp;A expenses. Net changes in working capital used cash of $17.9 million during the three months ended March 31, 2023 compared to using cash of $42.6 million during the same period of the prior year, a favorable change of $24.7 million. The favorable change in working capital was primarily due to a decrease in payments for corporate bonuses and other employee compensation and the timing of disbursements.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11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Investing activities used net cash of $12.7 million for the three months ended March 31, 2023. Capital expenditures of $16 million was partially offset by principal receipts from notes, equipment contracts and other long-term receivables of $3.3 million.</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11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Financing activities used net cash of $93.2 million for the three months ended March 31, 2023. The increase in cash used by financing activities was due to a $66.6 million repayment of Credit Facility in 2023 that did not recur in 2022. Additionally, we repurchased common stock in the amount of $5.0 million, repurchased of surrendered shares of $3.5 million, and paid dividends of $16.0 million.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total cash balances, net of revolving credit facility borrowings, as of March 31, 2023 and December 31, 2022 were as follows:</w:t>
      </w:r>
    </w:p>
    <w:p>
      <w:pPr>
        <w:spacing w:after="0" w:line="155"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89"/>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80" w:type="dxa"/>
            <w:vAlign w:val="bottom"/>
            <w:gridSpan w:val="4"/>
          </w:tcPr>
          <w:p>
            <w:pPr>
              <w:jc w:val="right"/>
              <w:ind w:right="13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Revolving credit facility borrowing</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restricted cash and cash equivalents, net</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right="100" w:firstLine="320"/>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$89.3 million and $96.7 million of cash held for gift card programs and advertising funds as of March 31, 2023 and December 31, 2022, respectively. The decrease in cash and cash equivalents between March 31, 2023 and December 31, 2022 was primarily due to payments to repurchase common stock, dividend payments and other payments including employee bonuses and advertising.</w:t>
      </w:r>
    </w:p>
    <w:p>
      <w:pPr>
        <w:spacing w:after="0" w:line="71" w:lineRule="exact"/>
        <w:rPr>
          <w:sz w:val="20"/>
          <w:szCs w:val="20"/>
          <w:color w:val="auto"/>
        </w:rPr>
      </w:pPr>
    </w:p>
    <w:p>
      <w:pPr>
        <w:jc w:val="both"/>
        <w:ind w:right="100" w:firstLine="320"/>
        <w:spacing w:after="0" w:line="276" w:lineRule="auto"/>
        <w:rPr>
          <w:sz w:val="20"/>
          <w:szCs w:val="20"/>
          <w:color w:val="auto"/>
        </w:rPr>
      </w:pPr>
      <w:r>
        <w:rPr>
          <w:rFonts w:ascii="Times New Roman" w:cs="Times New Roman" w:eastAsia="Times New Roman" w:hAnsi="Times New Roman"/>
          <w:sz w:val="18"/>
          <w:szCs w:val="18"/>
          <w:color w:val="auto"/>
        </w:rPr>
        <w:t>We believe that our unrestricted cash and cash equivalents on hand, cash flow from operations and the borrowing capacity available under our Credit Facility will provide us with adequate liquidity for at least the next twelve months.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17" w:lineRule="exact"/>
        <w:rPr>
          <w:sz w:val="20"/>
          <w:szCs w:val="20"/>
          <w:color w:val="auto"/>
        </w:rPr>
      </w:pPr>
    </w:p>
    <w:p>
      <w:pPr>
        <w:jc w:val="both"/>
        <w:ind w:right="100" w:firstLine="320"/>
        <w:spacing w:after="0" w:line="257"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payment of cash dividends on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73" w:lineRule="exact"/>
        <w:rPr>
          <w:sz w:val="20"/>
          <w:szCs w:val="20"/>
          <w:color w:val="auto"/>
        </w:rPr>
      </w:pPr>
    </w:p>
    <w:p>
      <w:pPr>
        <w:jc w:val="both"/>
        <w:ind w:right="100" w:firstLine="320"/>
        <w:spacing w:after="0" w:line="257"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(negative) free cash flow is as follows:</w:t>
      </w:r>
    </w:p>
    <w:p>
      <w:pPr>
        <w:spacing w:after="0" w:line="115"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6680" w:type="dxa"/>
            <w:vAlign w:val="bottom"/>
          </w:tcPr>
          <w:p>
            <w:pPr>
              <w:spacing w:after="0"/>
              <w:rPr>
                <w:sz w:val="18"/>
                <w:szCs w:val="18"/>
                <w:color w:val="auto"/>
              </w:rPr>
            </w:pPr>
          </w:p>
        </w:tc>
        <w:tc>
          <w:tcPr>
            <w:tcW w:w="296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66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8"/>
        </w:trPr>
        <w:tc>
          <w:tcPr>
            <w:tcW w:w="6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Receipts from notes and equipment contracts receivable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additions to property and equipment</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0"/>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(negative) free cash flow</w:t>
            </w: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6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right="100" w:firstLine="320"/>
        <w:spacing w:after="0" w:line="261" w:lineRule="auto"/>
        <w:rPr>
          <w:sz w:val="20"/>
          <w:szCs w:val="20"/>
          <w:color w:val="auto"/>
        </w:rPr>
      </w:pPr>
      <w:r>
        <w:rPr>
          <w:rFonts w:ascii="Times New Roman" w:cs="Times New Roman" w:eastAsia="Times New Roman" w:hAnsi="Times New Roman"/>
          <w:sz w:val="18"/>
          <w:szCs w:val="18"/>
          <w:color w:val="auto"/>
        </w:rPr>
        <w:t>Adjusted free cash flow for the three months ended March 31, 2023 improved compared to the same period of the prior year due to the increase in cash flows provided by operating activities, partially offset by the increase in capital expenditures and a decrease in receipts from notes and equipment contracts receivable, each of which was discussed in preceding sections of this MD&amp;A.</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changes to the contractual obligations as disclosed in our Annual Report on Form 10-K for the year ended December 31, 2022.</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5" w:lineRule="exact"/>
        <w:rPr>
          <w:sz w:val="20"/>
          <w:szCs w:val="20"/>
          <w:color w:val="auto"/>
        </w:rPr>
      </w:pPr>
    </w:p>
    <w:p>
      <w:pPr>
        <w:jc w:val="both"/>
        <w:ind w:right="100" w:firstLine="363"/>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circumstances. Accounting assumptions and estimates are inherently uncertain and actual results may differ materially from our estimates.</w:t>
      </w:r>
    </w:p>
    <w:p>
      <w:pPr>
        <w:spacing w:after="0" w:line="11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 summary of our critical accounting estimates is included in Management’s Discussion and Analysis of Financial Condition and Results of Operations contained in our Annual Report on Form 10-K for the year ended December 31, 2022. During the three months ended March 31, 2023, there were no significant changes in our critical accounting policies or in our critical accounting estimates.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material changes from the information contained in the Company’s Annual Report on Form 10-K for the year ended December 31, 2022.</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1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5"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5" w:lineRule="exact"/>
        <w:rPr>
          <w:sz w:val="20"/>
          <w:szCs w:val="20"/>
          <w:color w:val="auto"/>
        </w:rPr>
      </w:pPr>
    </w:p>
    <w:p>
      <w:pPr>
        <w:ind w:right="140" w:firstLine="361"/>
        <w:spacing w:after="0" w:line="276"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Item 1A of Part I of the Company’s Annual Report on Form 10-K for the fiscal year ended December 31, 2022.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0999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993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0" w:type="dxa"/>
            <w:vAlign w:val="bottom"/>
          </w:tcPr>
          <w:p>
            <w:pPr>
              <w:spacing w:after="0"/>
              <w:rPr>
                <w:sz w:val="1"/>
                <w:szCs w:val="1"/>
                <w:color w:val="auto"/>
              </w:rPr>
            </w:pPr>
          </w:p>
        </w:tc>
      </w:tr>
      <w:tr>
        <w:trPr>
          <w:trHeight w:val="145"/>
        </w:trPr>
        <w:tc>
          <w:tcPr>
            <w:tcW w:w="2580" w:type="dxa"/>
            <w:vAlign w:val="bottom"/>
          </w:tcPr>
          <w:p>
            <w:pPr>
              <w:spacing w:after="0"/>
              <w:rPr>
                <w:sz w:val="12"/>
                <w:szCs w:val="12"/>
                <w:color w:val="auto"/>
              </w:rPr>
            </w:pPr>
          </w:p>
        </w:tc>
        <w:tc>
          <w:tcPr>
            <w:tcW w:w="3440" w:type="dxa"/>
            <w:vAlign w:val="bottom"/>
            <w:vMerge w:val="restart"/>
          </w:tcPr>
          <w:p>
            <w:pPr>
              <w:jc w:val="center"/>
              <w:ind w:left="1789"/>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80" w:type="dxa"/>
            <w:vAlign w:val="bottom"/>
          </w:tcPr>
          <w:p>
            <w:pPr>
              <w:jc w:val="center"/>
              <w:ind w:left="209"/>
              <w:spacing w:after="0" w:line="14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34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tcPr>
          <w:p>
            <w:pPr>
              <w:jc w:val="center"/>
              <w:ind w:left="229"/>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0" w:type="dxa"/>
            <w:vAlign w:val="bottom"/>
          </w:tcPr>
          <w:p>
            <w:pPr>
              <w:spacing w:after="0"/>
              <w:rPr>
                <w:sz w:val="1"/>
                <w:szCs w:val="1"/>
                <w:color w:val="auto"/>
              </w:rPr>
            </w:pPr>
          </w:p>
        </w:tc>
      </w:tr>
      <w:tr>
        <w:trPr>
          <w:trHeight w:val="145"/>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440" w:type="dxa"/>
            <w:vAlign w:val="bottom"/>
          </w:tcPr>
          <w:p>
            <w:pPr>
              <w:jc w:val="center"/>
              <w:ind w:left="1789"/>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480" w:type="dxa"/>
            <w:vAlign w:val="bottom"/>
          </w:tcPr>
          <w:p>
            <w:pPr>
              <w:jc w:val="center"/>
              <w:ind w:left="209"/>
              <w:spacing w:after="0" w:line="14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0" w:type="dxa"/>
            <w:vAlign w:val="bottom"/>
          </w:tcPr>
          <w:p>
            <w:pPr>
              <w:spacing w:after="0"/>
              <w:rPr>
                <w:sz w:val="1"/>
                <w:szCs w:val="1"/>
                <w:color w:val="auto"/>
              </w:rPr>
            </w:pPr>
          </w:p>
        </w:tc>
      </w:tr>
      <w:tr>
        <w:trPr>
          <w:trHeight w:val="189"/>
        </w:trPr>
        <w:tc>
          <w:tcPr>
            <w:tcW w:w="2580" w:type="dxa"/>
            <w:vAlign w:val="bottom"/>
            <w:vMerge w:val="continue"/>
          </w:tcPr>
          <w:p>
            <w:pPr>
              <w:spacing w:after="0"/>
              <w:rPr>
                <w:sz w:val="16"/>
                <w:szCs w:val="16"/>
                <w:color w:val="auto"/>
              </w:rPr>
            </w:pPr>
          </w:p>
        </w:tc>
        <w:tc>
          <w:tcPr>
            <w:tcW w:w="3440" w:type="dxa"/>
            <w:vAlign w:val="bottom"/>
          </w:tcPr>
          <w:p>
            <w:pPr>
              <w:jc w:val="center"/>
              <w:ind w:left="1769"/>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8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programs (b)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jc w:val="center"/>
        <w:ind w:right="160"/>
        <w:spacing w:after="0" w:line="204" w:lineRule="auto"/>
        <w:rPr>
          <w:sz w:val="20"/>
          <w:szCs w:val="20"/>
          <w:color w:val="auto"/>
        </w:rPr>
      </w:pPr>
      <w:r>
        <w:rPr>
          <w:rFonts w:ascii="Times New Roman" w:cs="Times New Roman" w:eastAsia="Times New Roman" w:hAnsi="Times New Roman"/>
          <w:sz w:val="14"/>
          <w:szCs w:val="14"/>
          <w:b w:val="1"/>
          <w:bCs w:val="1"/>
          <w:color w:val="auto"/>
        </w:rPr>
        <w:t>shares that may yet be</w:t>
      </w:r>
    </w:p>
    <w:p>
      <w:pPr>
        <w:jc w:val="center"/>
        <w:ind w:right="160"/>
        <w:spacing w:after="0" w:line="218" w:lineRule="auto"/>
        <w:rPr>
          <w:sz w:val="20"/>
          <w:szCs w:val="20"/>
          <w:color w:val="auto"/>
        </w:rPr>
      </w:pPr>
      <w:r>
        <w:rPr>
          <w:rFonts w:ascii="Times New Roman" w:cs="Times New Roman" w:eastAsia="Times New Roman" w:hAnsi="Times New Roman"/>
          <w:sz w:val="14"/>
          <w:szCs w:val="14"/>
          <w:b w:val="1"/>
          <w:bCs w:val="1"/>
          <w:color w:val="auto"/>
        </w:rPr>
        <w:t>purchased under the</w:t>
      </w:r>
    </w:p>
    <w:p>
      <w:pPr>
        <w:ind w:left="180"/>
        <w:spacing w:after="0"/>
        <w:rPr>
          <w:sz w:val="20"/>
          <w:szCs w:val="20"/>
          <w:color w:val="auto"/>
        </w:rPr>
      </w:pPr>
      <w:r>
        <w:rPr>
          <w:rFonts w:ascii="Times New Roman" w:cs="Times New Roman" w:eastAsia="Times New Roman" w:hAnsi="Times New Roman"/>
          <w:sz w:val="14"/>
          <w:szCs w:val="14"/>
          <w:b w:val="1"/>
          <w:bCs w:val="1"/>
          <w:color w:val="auto"/>
        </w:rPr>
        <w:t>plans or programs (b)</w:t>
      </w:r>
    </w:p>
    <w:p>
      <w:pPr>
        <w:spacing w:after="0" w:line="21" w:lineRule="exact"/>
        <w:rPr>
          <w:sz w:val="20"/>
          <w:szCs w:val="20"/>
          <w:color w:val="auto"/>
        </w:rPr>
      </w:pPr>
    </w:p>
    <w:p>
      <w:pPr>
        <w:sectPr>
          <w:pgSz w:w="11900" w:h="16838" w:orient="portrait"/>
          <w:cols w:equalWidth="0" w:num="2">
            <w:col w:w="8940" w:space="440"/>
            <w:col w:w="186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2, 2023 - January 29,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CCEEFF"/>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171,282,000</w:t>
            </w:r>
          </w:p>
        </w:tc>
      </w:tr>
      <w:tr>
        <w:trPr>
          <w:trHeight w:val="211"/>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30, 2023 - February 26,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171,282,000</w:t>
            </w:r>
          </w:p>
        </w:tc>
      </w:tr>
      <w:tr>
        <w:trPr>
          <w:trHeight w:val="21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27, 2023 - April 2,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120,535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70.14</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74,860</w:t>
            </w:r>
          </w:p>
        </w:tc>
        <w:tc>
          <w:tcPr>
            <w:tcW w:w="6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166,282,000</w:t>
            </w:r>
          </w:p>
        </w:tc>
      </w:tr>
      <w:tr>
        <w:trPr>
          <w:trHeight w:val="209"/>
        </w:trPr>
        <w:tc>
          <w:tcPr>
            <w:tcW w:w="44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121,490</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74,860</w:t>
            </w:r>
          </w:p>
        </w:tc>
        <w:tc>
          <w:tcPr>
            <w:tcW w:w="6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166,282,000</w:t>
            </w:r>
          </w:p>
        </w:tc>
      </w:tr>
      <w:tr>
        <w:trPr>
          <w:trHeight w:val="20"/>
        </w:trPr>
        <w:tc>
          <w:tcPr>
            <w:tcW w:w="44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84" w:lineRule="exact"/>
        <w:rPr>
          <w:sz w:val="20"/>
          <w:szCs w:val="20"/>
          <w:color w:val="auto"/>
        </w:rPr>
      </w:pPr>
    </w:p>
    <w:p>
      <w:pPr>
        <w:ind w:left="240" w:right="240" w:hanging="233"/>
        <w:spacing w:after="0" w:line="245" w:lineRule="auto"/>
        <w:tabs>
          <w:tab w:leader="none" w:pos="139"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These amounts represent shares owned and tendered by employees to satisfy tax withholding obligations arising upon vesting of restricted stock awards. Shares so surrendered by the participants are repurchased by us pursuant to the terms of the plan and the applicable individual award agreements under which the shares were issued and not pursuant to publicly announced repurchase authorizations.</w:t>
      </w:r>
    </w:p>
    <w:p>
      <w:pPr>
        <w:spacing w:after="0" w:line="170" w:lineRule="exact"/>
        <w:rPr>
          <w:rFonts w:ascii="Times New Roman" w:cs="Times New Roman" w:eastAsia="Times New Roman" w:hAnsi="Times New Roman"/>
          <w:sz w:val="17"/>
          <w:szCs w:val="17"/>
          <w:color w:val="auto"/>
          <w:vertAlign w:val="superscript"/>
        </w:rPr>
      </w:pPr>
    </w:p>
    <w:p>
      <w:pPr>
        <w:jc w:val="both"/>
        <w:ind w:left="240" w:right="240" w:hanging="233"/>
        <w:spacing w:after="0" w:line="263" w:lineRule="auto"/>
        <w:tabs>
          <w:tab w:leader="none" w:pos="261"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February 17, 2022, the Company's Board of Directors authorized a share repurchase program, effective April 1, 2022, of up to $250 million (the “2022 Repurchase Program”). In connection with the approval of the 2022 Repurchase Program, the 2019 Share Repurchase Program terminated effective April 1, 2022. The 2022 Repurchase Program, as approved by the Board of Directors, does not require the repurchase of a specific number of shares and can be terminated at any time.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7"/>
              </w:rPr>
              <w:t>Item 6. Exhibits.</w:t>
            </w:r>
          </w:p>
        </w:tc>
        <w:tc>
          <w:tcPr>
            <w:tcW w:w="10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6"/>
        </w:trPr>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*31.1</w:t>
            </w:r>
          </w:p>
        </w:tc>
        <w:tc>
          <w:tcPr>
            <w:tcW w:w="8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Certification of Chief Executive Officer pursuant to Rule 13a-14(a) of the Securities Exchange Act of 1934, as amended.</w:t>
            </w:r>
          </w:p>
        </w:tc>
        <w:tc>
          <w:tcPr>
            <w:tcW w:w="1000" w:type="dxa"/>
            <w:vAlign w:val="bottom"/>
            <w:gridSpan w:val="2"/>
          </w:tcPr>
          <w:p>
            <w:pPr>
              <w:spacing w:after="0"/>
              <w:rPr>
                <w:sz w:val="24"/>
                <w:szCs w:val="24"/>
                <w:color w:val="auto"/>
              </w:rPr>
            </w:pPr>
          </w:p>
        </w:tc>
      </w:tr>
      <w:tr>
        <w:trPr>
          <w:trHeight w:val="207"/>
        </w:trPr>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*31.2</w:t>
            </w:r>
          </w:p>
        </w:tc>
        <w:tc>
          <w:tcPr>
            <w:tcW w:w="9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of the Securities Exchange Act of 1934, as amended.</w:t>
            </w:r>
          </w:p>
        </w:tc>
      </w:tr>
      <w:tr>
        <w:trPr>
          <w:trHeight w:val="20"/>
        </w:trPr>
        <w:tc>
          <w:tcPr>
            <w:tcW w:w="13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46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*32.1</w:t>
            </w:r>
          </w:p>
        </w:tc>
        <w:tc>
          <w:tcPr>
            <w:tcW w:w="960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8"/>
              </w:rPr>
              <w:t>Certification of Chief Executive Officer pursuant to 18 U.S.C. Section 1350, as adopted pursuant to Section 906 of the Sarbanes-Oxley</w:t>
            </w:r>
          </w:p>
        </w:tc>
      </w:tr>
      <w:tr>
        <w:trPr>
          <w:trHeight w:val="153"/>
        </w:trPr>
        <w:tc>
          <w:tcPr>
            <w:tcW w:w="1380" w:type="dxa"/>
            <w:vAlign w:val="bottom"/>
          </w:tcPr>
          <w:p>
            <w:pPr>
              <w:spacing w:after="0"/>
              <w:rPr>
                <w:sz w:val="13"/>
                <w:szCs w:val="13"/>
                <w:color w:val="auto"/>
              </w:rPr>
            </w:pPr>
          </w:p>
        </w:tc>
        <w:tc>
          <w:tcPr>
            <w:tcW w:w="1080" w:type="dxa"/>
            <w:vAlign w:val="bottom"/>
            <w:tcBorders>
              <w:bottom w:val="single" w:sz="8" w:color="0E32E1"/>
            </w:tcBorders>
          </w:tcPr>
          <w:p>
            <w:pPr>
              <w:spacing w:after="0" w:line="154" w:lineRule="exact"/>
              <w:rPr>
                <w:sz w:val="20"/>
                <w:szCs w:val="20"/>
                <w:color w:val="auto"/>
              </w:rPr>
            </w:pPr>
            <w:r>
              <w:rPr>
                <w:rFonts w:ascii="Times New Roman" w:cs="Times New Roman" w:eastAsia="Times New Roman" w:hAnsi="Times New Roman"/>
                <w:sz w:val="17"/>
                <w:szCs w:val="17"/>
                <w:color w:val="0E32E1"/>
              </w:rPr>
              <w:t>Act of 2002.**</w:t>
            </w:r>
          </w:p>
        </w:tc>
        <w:tc>
          <w:tcPr>
            <w:tcW w:w="8520" w:type="dxa"/>
            <w:vAlign w:val="bottom"/>
            <w:gridSpan w:val="4"/>
          </w:tcPr>
          <w:p>
            <w:pPr>
              <w:spacing w:after="0"/>
              <w:rPr>
                <w:sz w:val="13"/>
                <w:szCs w:val="13"/>
                <w:color w:val="auto"/>
              </w:rPr>
            </w:pPr>
          </w:p>
        </w:tc>
      </w:tr>
      <w:tr>
        <w:trPr>
          <w:trHeight w:val="220"/>
        </w:trPr>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*32.2</w:t>
            </w:r>
          </w:p>
        </w:tc>
        <w:tc>
          <w:tcPr>
            <w:tcW w:w="9600" w:type="dxa"/>
            <w:vAlign w:val="bottom"/>
            <w:gridSpan w:val="5"/>
          </w:tcPr>
          <w:p>
            <w:pPr>
              <w:spacing w:after="0"/>
              <w:rPr>
                <w:sz w:val="20"/>
                <w:szCs w:val="20"/>
                <w:color w:val="auto"/>
              </w:rPr>
            </w:pPr>
            <w:r>
              <w:rPr>
                <w:rFonts w:ascii="Times New Roman" w:cs="Times New Roman" w:eastAsia="Times New Roman" w:hAnsi="Times New Roman"/>
                <w:sz w:val="18"/>
                <w:szCs w:val="18"/>
                <w:color w:val="0E32E1"/>
                <w:w w:val="98"/>
              </w:rPr>
              <w:t>Certification of Chief Financial Officer pursuant to 18 U.S.C. Section 1350, as adopted pursuant to Section 906 of the Sarbanes-Oxley</w:t>
            </w:r>
          </w:p>
        </w:tc>
      </w:tr>
      <w:tr>
        <w:trPr>
          <w:trHeight w:val="153"/>
        </w:trPr>
        <w:tc>
          <w:tcPr>
            <w:tcW w:w="1380" w:type="dxa"/>
            <w:vAlign w:val="bottom"/>
          </w:tcPr>
          <w:p>
            <w:pPr>
              <w:spacing w:after="0"/>
              <w:rPr>
                <w:sz w:val="13"/>
                <w:szCs w:val="13"/>
                <w:color w:val="auto"/>
              </w:rPr>
            </w:pPr>
          </w:p>
        </w:tc>
        <w:tc>
          <w:tcPr>
            <w:tcW w:w="1080" w:type="dxa"/>
            <w:vAlign w:val="bottom"/>
            <w:tcBorders>
              <w:top w:val="single" w:sz="8" w:color="0E32E1"/>
              <w:bottom w:val="single" w:sz="8" w:color="0E32E1"/>
            </w:tcBorders>
          </w:tcPr>
          <w:p>
            <w:pPr>
              <w:spacing w:after="0" w:line="154" w:lineRule="exact"/>
              <w:rPr>
                <w:sz w:val="20"/>
                <w:szCs w:val="20"/>
                <w:color w:val="auto"/>
              </w:rPr>
            </w:pPr>
            <w:r>
              <w:rPr>
                <w:rFonts w:ascii="Times New Roman" w:cs="Times New Roman" w:eastAsia="Times New Roman" w:hAnsi="Times New Roman"/>
                <w:sz w:val="17"/>
                <w:szCs w:val="17"/>
                <w:color w:val="0E32E1"/>
              </w:rPr>
              <w:t>Act of 2002.**</w:t>
            </w:r>
          </w:p>
        </w:tc>
        <w:tc>
          <w:tcPr>
            <w:tcW w:w="8480" w:type="dxa"/>
            <w:vAlign w:val="bottom"/>
            <w:tcBorders>
              <w:top w:val="single" w:sz="8" w:color="0E32E1"/>
            </w:tcBorders>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7"/>
        </w:trPr>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101.INS</w:t>
            </w:r>
          </w:p>
        </w:tc>
        <w:tc>
          <w:tcPr>
            <w:tcW w:w="9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2"/>
        </w:trPr>
        <w:tc>
          <w:tcPr>
            <w:tcW w:w="1380" w:type="dxa"/>
            <w:vAlign w:val="bottom"/>
          </w:tcPr>
          <w:p>
            <w:pPr>
              <w:spacing w:after="0"/>
              <w:rPr>
                <w:sz w:val="20"/>
                <w:szCs w:val="20"/>
                <w:color w:val="auto"/>
              </w:rPr>
            </w:pPr>
          </w:p>
        </w:tc>
        <w:tc>
          <w:tcPr>
            <w:tcW w:w="96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101.SCH</w:t>
            </w:r>
          </w:p>
        </w:tc>
        <w:tc>
          <w:tcPr>
            <w:tcW w:w="9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7"/>
        </w:trPr>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101.CAL</w:t>
            </w:r>
          </w:p>
        </w:tc>
        <w:tc>
          <w:tcPr>
            <w:tcW w:w="9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7"/>
        </w:trPr>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101.DEF</w:t>
            </w:r>
          </w:p>
        </w:tc>
        <w:tc>
          <w:tcPr>
            <w:tcW w:w="9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27"/>
        </w:trPr>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101.LAB</w:t>
            </w:r>
          </w:p>
        </w:tc>
        <w:tc>
          <w:tcPr>
            <w:tcW w:w="9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32"/>
        </w:trPr>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101.PRE</w:t>
            </w:r>
          </w:p>
        </w:tc>
        <w:tc>
          <w:tcPr>
            <w:tcW w:w="9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ind w:left="1380" w:hanging="618"/>
        <w:spacing w:after="0"/>
        <w:tabs>
          <w:tab w:leader="none" w:pos="13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5" w:lineRule="exact"/>
        <w:rPr>
          <w:rFonts w:ascii="Times New Roman" w:cs="Times New Roman" w:eastAsia="Times New Roman" w:hAnsi="Times New Roman"/>
          <w:sz w:val="18"/>
          <w:szCs w:val="18"/>
          <w:color w:val="auto"/>
        </w:rPr>
      </w:pPr>
    </w:p>
    <w:p>
      <w:pPr>
        <w:ind w:left="480" w:hanging="473"/>
        <w:spacing w:after="0" w:line="247" w:lineRule="auto"/>
        <w:tabs>
          <w:tab w:leader="none" w:pos="3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ind w:left="480" w:hanging="473"/>
        <w:spacing w:after="0" w:line="247" w:lineRule="auto"/>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1" w:lineRule="exact"/>
        <w:rPr>
          <w:sz w:val="20"/>
          <w:szCs w:val="20"/>
          <w:color w:val="auto"/>
        </w:rPr>
      </w:pPr>
    </w:p>
    <w:p>
      <w:pPr>
        <w:ind w:left="300" w:hanging="293"/>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compensatory plan or arrangement in which directors or executive officers are eligible to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28"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Dine Brands Global,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66" w:lineRule="exact"/>
        <w:rPr>
          <w:sz w:val="20"/>
          <w:szCs w:val="20"/>
          <w:color w:val="auto"/>
        </w:rPr>
      </w:pPr>
    </w:p>
    <w:p>
      <w:pPr>
        <w:ind w:left="840"/>
        <w:spacing w:after="0"/>
        <w:tabs>
          <w:tab w:leader="none" w:pos="5800" w:val="left"/>
          <w:tab w:leader="none" w:pos="7440" w:val="left"/>
        </w:tabs>
        <w:rPr>
          <w:sz w:val="20"/>
          <w:szCs w:val="20"/>
          <w:color w:val="auto"/>
        </w:rPr>
      </w:pPr>
      <w:r>
        <w:rPr>
          <w:rFonts w:ascii="Times New Roman" w:cs="Times New Roman" w:eastAsia="Times New Roman" w:hAnsi="Times New Roman"/>
          <w:sz w:val="18"/>
          <w:szCs w:val="18"/>
          <w:color w:val="auto"/>
        </w:rPr>
        <w:t>Dated: 3rd day of May,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15875</wp:posOffset>
            </wp:positionV>
            <wp:extent cx="25723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jc w:val="center"/>
        <w:ind w:left="49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4980"/>
        <w:spacing w:after="0" w:line="216"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ind w:left="7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3" w:lineRule="exact"/>
        <w:rPr>
          <w:sz w:val="20"/>
          <w:szCs w:val="20"/>
          <w:color w:val="auto"/>
        </w:rPr>
      </w:pPr>
    </w:p>
    <w:p>
      <w:pPr>
        <w:ind w:left="840"/>
        <w:spacing w:after="0"/>
        <w:tabs>
          <w:tab w:leader="none" w:pos="5800" w:val="left"/>
          <w:tab w:leader="none" w:pos="7420" w:val="left"/>
        </w:tabs>
        <w:rPr>
          <w:sz w:val="20"/>
          <w:szCs w:val="20"/>
          <w:color w:val="auto"/>
        </w:rPr>
      </w:pPr>
      <w:r>
        <w:rPr>
          <w:rFonts w:ascii="Times New Roman" w:cs="Times New Roman" w:eastAsia="Times New Roman" w:hAnsi="Times New Roman"/>
          <w:sz w:val="18"/>
          <w:szCs w:val="18"/>
          <w:color w:val="auto"/>
        </w:rPr>
        <w:t>Dated: 3rd day of May,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15875</wp:posOffset>
            </wp:positionV>
            <wp:extent cx="25723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jc w:val="center"/>
        <w:ind w:left="498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4980"/>
        <w:spacing w:after="0" w:line="216"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70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26" w:lineRule="exact"/>
        <w:rPr>
          <w:sz w:val="20"/>
          <w:szCs w:val="20"/>
          <w:color w:val="auto"/>
        </w:rPr>
      </w:pPr>
    </w:p>
    <w:p>
      <w:pPr>
        <w:ind w:left="840"/>
        <w:spacing w:after="0"/>
        <w:tabs>
          <w:tab w:leader="none" w:pos="5800" w:val="left"/>
          <w:tab w:leader="none" w:pos="7560" w:val="left"/>
        </w:tabs>
        <w:rPr>
          <w:sz w:val="20"/>
          <w:szCs w:val="20"/>
          <w:color w:val="auto"/>
        </w:rPr>
      </w:pPr>
      <w:r>
        <w:rPr>
          <w:rFonts w:ascii="Times New Roman" w:cs="Times New Roman" w:eastAsia="Times New Roman" w:hAnsi="Times New Roman"/>
          <w:sz w:val="18"/>
          <w:szCs w:val="18"/>
          <w:color w:val="auto"/>
        </w:rPr>
        <w:t>Dated: 3rd day of May,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15875</wp:posOffset>
            </wp:positionV>
            <wp:extent cx="25723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jc w:val="center"/>
        <w:ind w:left="4980"/>
        <w:spacing w:after="0"/>
        <w:rPr>
          <w:sz w:val="20"/>
          <w:szCs w:val="20"/>
          <w:color w:val="auto"/>
        </w:rPr>
      </w:pPr>
      <w:r>
        <w:rPr>
          <w:rFonts w:ascii="Times New Roman" w:cs="Times New Roman" w:eastAsia="Times New Roman" w:hAnsi="Times New Roman"/>
          <w:sz w:val="18"/>
          <w:szCs w:val="18"/>
          <w:color w:val="auto"/>
        </w:rPr>
        <w:t>Allison Hall</w:t>
      </w:r>
    </w:p>
    <w:p>
      <w:pPr>
        <w:jc w:val="center"/>
        <w:ind w:left="4980"/>
        <w:spacing w:after="0" w:line="216" w:lineRule="auto"/>
        <w:rPr>
          <w:sz w:val="20"/>
          <w:szCs w:val="20"/>
          <w:color w:val="auto"/>
        </w:rPr>
      </w:pPr>
      <w:r>
        <w:rPr>
          <w:rFonts w:ascii="Times New Roman" w:cs="Times New Roman" w:eastAsia="Times New Roman" w:hAnsi="Times New Roman"/>
          <w:sz w:val="18"/>
          <w:szCs w:val="18"/>
          <w:i w:val="1"/>
          <w:iCs w:val="1"/>
          <w:color w:val="auto"/>
        </w:rPr>
        <w:t>Chief Accounting Officer</w:t>
      </w:r>
    </w:p>
    <w:p>
      <w:pPr>
        <w:ind w:left="70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460"/>
          </w:cols>
          <w:pgMar w:left="320" w:top="118" w:right="11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126" w:lineRule="exact"/>
        <w:rPr>
          <w:sz w:val="20"/>
          <w:szCs w:val="20"/>
          <w:color w:val="auto"/>
        </w:rPr>
      </w:pPr>
    </w:p>
    <w:p>
      <w:pPr>
        <w:ind w:left="660" w:hanging="653"/>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2" w:lineRule="exact"/>
        <w:rPr>
          <w:rFonts w:ascii="Times New Roman" w:cs="Times New Roman" w:eastAsia="Times New Roman" w:hAnsi="Times New Roman"/>
          <w:sz w:val="18"/>
          <w:szCs w:val="18"/>
          <w:color w:val="auto"/>
        </w:rPr>
      </w:pPr>
    </w:p>
    <w:p>
      <w:pPr>
        <w:ind w:firstLine="7"/>
        <w:spacing w:after="0" w:line="276" w:lineRule="auto"/>
        <w:tabs>
          <w:tab w:leader="none" w:pos="7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8"/>
          <w:szCs w:val="18"/>
          <w:color w:val="auto"/>
        </w:rPr>
      </w:pPr>
    </w:p>
    <w:p>
      <w:pPr>
        <w:ind w:firstLine="7"/>
        <w:spacing w:after="0" w:line="276" w:lineRule="auto"/>
        <w:tabs>
          <w:tab w:leader="none" w:pos="7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firstLine="7"/>
        <w:spacing w:after="0" w:line="261" w:lineRule="auto"/>
        <w:tabs>
          <w:tab w:leader="none" w:pos="93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firstLine="646"/>
        <w:spacing w:after="0" w:line="261" w:lineRule="auto"/>
        <w:tabs>
          <w:tab w:leader="none" w:pos="90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firstLine="646"/>
        <w:spacing w:after="0" w:line="261" w:lineRule="auto"/>
        <w:tabs>
          <w:tab w:leader="none" w:pos="116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firstLine="646"/>
        <w:spacing w:after="0" w:line="276" w:lineRule="auto"/>
        <w:tabs>
          <w:tab w:leader="none" w:pos="12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right="20" w:firstLine="646"/>
        <w:spacing w:after="0" w:line="261" w:lineRule="auto"/>
        <w:tabs>
          <w:tab w:leader="none" w:pos="99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firstLine="7"/>
        <w:spacing w:after="0" w:line="276"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firstLine="646"/>
        <w:spacing w:after="0" w:line="276" w:lineRule="auto"/>
        <w:tabs>
          <w:tab w:leader="none" w:pos="93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right="20" w:firstLine="646"/>
        <w:spacing w:after="0" w:line="276" w:lineRule="auto"/>
        <w:tabs>
          <w:tab w:leader="none" w:pos="92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0" w:lineRule="exact"/>
        <w:rPr>
          <w:sz w:val="20"/>
          <w:szCs w:val="20"/>
          <w:color w:val="auto"/>
        </w:rPr>
      </w:pPr>
    </w:p>
    <w:p>
      <w:pPr>
        <w:ind w:left="860"/>
        <w:spacing w:after="0"/>
        <w:tabs>
          <w:tab w:leader="none" w:pos="8600" w:val="left"/>
        </w:tabs>
        <w:rPr>
          <w:sz w:val="20"/>
          <w:szCs w:val="20"/>
          <w:color w:val="auto"/>
        </w:rPr>
      </w:pPr>
      <w:r>
        <w:rPr>
          <w:rFonts w:ascii="Times New Roman" w:cs="Times New Roman" w:eastAsia="Times New Roman" w:hAnsi="Times New Roman"/>
          <w:sz w:val="18"/>
          <w:szCs w:val="18"/>
          <w:color w:val="auto"/>
        </w:rPr>
        <w:t>Dated: 3rd day of May, 2023</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4700905</wp:posOffset>
            </wp:positionH>
            <wp:positionV relativeFrom="paragraph">
              <wp:posOffset>15875</wp:posOffset>
            </wp:positionV>
            <wp:extent cx="23780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52"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7280"/>
        <w:spacing w:after="0" w:line="200"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92"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Vance Y. Chang, certify that:</w:t>
      </w:r>
    </w:p>
    <w:p>
      <w:pPr>
        <w:spacing w:after="0" w:line="113" w:lineRule="exact"/>
        <w:rPr>
          <w:sz w:val="20"/>
          <w:szCs w:val="20"/>
          <w:color w:val="auto"/>
        </w:rPr>
      </w:pPr>
    </w:p>
    <w:p>
      <w:pPr>
        <w:ind w:left="660" w:hanging="653"/>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2" w:lineRule="exact"/>
        <w:rPr>
          <w:rFonts w:ascii="Times New Roman" w:cs="Times New Roman" w:eastAsia="Times New Roman" w:hAnsi="Times New Roman"/>
          <w:sz w:val="18"/>
          <w:szCs w:val="18"/>
          <w:color w:val="auto"/>
        </w:rPr>
      </w:pPr>
    </w:p>
    <w:p>
      <w:pPr>
        <w:ind w:right="240" w:firstLine="7"/>
        <w:spacing w:after="0" w:line="306" w:lineRule="auto"/>
        <w:tabs>
          <w:tab w:leader="none" w:pos="65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right="200" w:firstLine="7"/>
        <w:spacing w:after="0" w:line="276" w:lineRule="auto"/>
        <w:tabs>
          <w:tab w:leader="none" w:pos="6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right="220" w:firstLine="7"/>
        <w:spacing w:after="0" w:line="261" w:lineRule="auto"/>
        <w:tabs>
          <w:tab w:leader="none" w:pos="6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right="40" w:firstLine="646"/>
        <w:spacing w:after="0" w:line="261"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right="180" w:firstLine="646"/>
        <w:spacing w:after="0" w:line="261" w:lineRule="auto"/>
        <w:tabs>
          <w:tab w:leader="none" w:pos="130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right="340" w:firstLine="646"/>
        <w:spacing w:after="0" w:line="276" w:lineRule="auto"/>
        <w:tabs>
          <w:tab w:leader="none" w:pos="130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ind w:right="320" w:firstLine="646"/>
        <w:spacing w:after="0" w:line="261" w:lineRule="auto"/>
        <w:tabs>
          <w:tab w:leader="none" w:pos="130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right="140" w:firstLine="7"/>
        <w:spacing w:after="0" w:line="276" w:lineRule="auto"/>
        <w:tabs>
          <w:tab w:leader="none" w:pos="6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right="580" w:firstLine="646"/>
        <w:spacing w:after="0" w:line="276"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right="260" w:firstLine="646"/>
        <w:spacing w:after="0" w:line="276" w:lineRule="auto"/>
        <w:tabs>
          <w:tab w:leader="none" w:pos="130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840"/>
        <w:spacing w:after="0"/>
        <w:tabs>
          <w:tab w:leader="none" w:pos="8540" w:val="left"/>
        </w:tabs>
        <w:rPr>
          <w:sz w:val="20"/>
          <w:szCs w:val="20"/>
          <w:color w:val="auto"/>
        </w:rPr>
      </w:pPr>
      <w:r>
        <w:rPr>
          <w:rFonts w:ascii="Times New Roman" w:cs="Times New Roman" w:eastAsia="Times New Roman" w:hAnsi="Times New Roman"/>
          <w:sz w:val="18"/>
          <w:szCs w:val="18"/>
          <w:color w:val="auto"/>
        </w:rPr>
        <w:t>Dated: 3rd day of May, 2023</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15875</wp:posOffset>
            </wp:positionV>
            <wp:extent cx="23526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52675" cy="8255"/>
                    </a:xfrm>
                    <a:prstGeom prst="rect">
                      <a:avLst/>
                    </a:prstGeom>
                    <a:noFill/>
                  </pic:spPr>
                </pic:pic>
              </a:graphicData>
            </a:graphic>
          </wp:anchor>
        </w:drawing>
      </w:r>
    </w:p>
    <w:p>
      <w:pPr>
        <w:spacing w:after="0" w:line="52"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Vance Y. Chang</w:t>
      </w:r>
    </w:p>
    <w:p>
      <w:pPr>
        <w:ind w:left="8400"/>
        <w:spacing w:after="0" w:line="200"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92"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8" w:lineRule="exact"/>
        <w:rPr>
          <w:sz w:val="20"/>
          <w:szCs w:val="20"/>
          <w:color w:val="auto"/>
        </w:rPr>
      </w:pPr>
    </w:p>
    <w:p>
      <w:pPr>
        <w:jc w:val="both"/>
        <w:ind w:firstLine="640"/>
        <w:spacing w:after="0" w:line="298"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March 31, 2023, as filed with the Securities and Exchange Commission on the 3rd day of May, 2023 (the “Report”), John W. Peyton, as Chief Executive Officer of the Company, hereby certifies, pursuant to 18 U.S.C. Section 1350, as adopted pursuant to Section 906 of the Sarbanes-Oxley Act of 2002, to the best of his knowledge, that:</w:t>
      </w:r>
    </w:p>
    <w:p>
      <w:pPr>
        <w:spacing w:after="0" w:line="211" w:lineRule="exact"/>
        <w:rPr>
          <w:sz w:val="20"/>
          <w:szCs w:val="20"/>
          <w:color w:val="auto"/>
        </w:rPr>
      </w:pPr>
    </w:p>
    <w:p>
      <w:pPr>
        <w:ind w:left="1640" w:hanging="514"/>
        <w:spacing w:after="0"/>
        <w:tabs>
          <w:tab w:leader="none" w:pos="1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86" w:lineRule="exact"/>
        <w:rPr>
          <w:rFonts w:ascii="Times New Roman" w:cs="Times New Roman" w:eastAsia="Times New Roman" w:hAnsi="Times New Roman"/>
          <w:sz w:val="18"/>
          <w:szCs w:val="18"/>
          <w:color w:val="auto"/>
        </w:rPr>
      </w:pPr>
    </w:p>
    <w:p>
      <w:pPr>
        <w:ind w:left="1680" w:hanging="554"/>
        <w:spacing w:after="0"/>
        <w:tabs>
          <w:tab w:leader="none" w:pos="1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3rd day of May, 2023</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John W. Peyton</w:t>
            </w:r>
          </w:p>
        </w:tc>
      </w:tr>
      <w:tr>
        <w:trPr>
          <w:trHeight w:val="213"/>
        </w:trPr>
        <w:tc>
          <w:tcPr>
            <w:tcW w:w="6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W. Peyton</w:t>
            </w:r>
          </w:p>
        </w:tc>
      </w:tr>
      <w:tr>
        <w:trPr>
          <w:trHeight w:val="180"/>
        </w:trPr>
        <w:tc>
          <w:tcPr>
            <w:tcW w:w="6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6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4"/>
        </w:trPr>
        <w:tc>
          <w:tcPr>
            <w:tcW w:w="6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374" w:lineRule="exact"/>
        <w:rPr>
          <w:sz w:val="20"/>
          <w:szCs w:val="20"/>
          <w:color w:val="auto"/>
        </w:rPr>
      </w:pPr>
    </w:p>
    <w:p>
      <w:pPr>
        <w:jc w:val="both"/>
        <w:ind w:firstLine="640"/>
        <w:spacing w:after="0" w:line="298"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892"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8" w:lineRule="exact"/>
        <w:rPr>
          <w:sz w:val="20"/>
          <w:szCs w:val="20"/>
          <w:color w:val="auto"/>
        </w:rPr>
      </w:pPr>
    </w:p>
    <w:p>
      <w:pPr>
        <w:jc w:val="both"/>
        <w:ind w:firstLine="640"/>
        <w:spacing w:after="0" w:line="298"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March 31, 2023, as filed with the Securities and Exchange Commission on the 3rd day of May, 2023 (the “Report”), Vance Y. Chang, as Chief Financial Officer of the Company, hereby certifies, pursuant to 18 U.S.C. Section 1350, as adopted pursuant to Section 906 of the Sarbanes-Oxley Act of 2002, to the best of his knowledge, that:</w:t>
      </w:r>
    </w:p>
    <w:p>
      <w:pPr>
        <w:spacing w:after="0" w:line="211" w:lineRule="exact"/>
        <w:rPr>
          <w:sz w:val="20"/>
          <w:szCs w:val="20"/>
          <w:color w:val="auto"/>
        </w:rPr>
      </w:pPr>
    </w:p>
    <w:p>
      <w:pPr>
        <w:ind w:left="1640" w:hanging="514"/>
        <w:spacing w:after="0"/>
        <w:tabs>
          <w:tab w:leader="none" w:pos="1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86" w:lineRule="exact"/>
        <w:rPr>
          <w:rFonts w:ascii="Times New Roman" w:cs="Times New Roman" w:eastAsia="Times New Roman" w:hAnsi="Times New Roman"/>
          <w:sz w:val="18"/>
          <w:szCs w:val="18"/>
          <w:color w:val="auto"/>
        </w:rPr>
      </w:pPr>
    </w:p>
    <w:p>
      <w:pPr>
        <w:ind w:left="1680" w:hanging="554"/>
        <w:spacing w:after="0"/>
        <w:tabs>
          <w:tab w:leader="none" w:pos="1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3rd day of May, 2023</w:t>
            </w: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 Vance Y. Chang</w:t>
            </w:r>
          </w:p>
        </w:tc>
      </w:tr>
      <w:tr>
        <w:trPr>
          <w:trHeight w:val="213"/>
        </w:trPr>
        <w:tc>
          <w:tcPr>
            <w:tcW w:w="68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r>
      <w:tr>
        <w:trPr>
          <w:trHeight w:val="180"/>
        </w:trPr>
        <w:tc>
          <w:tcPr>
            <w:tcW w:w="68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35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i w:val="1"/>
                <w:iCs w:val="1"/>
                <w:color w:val="auto"/>
                <w:w w:val="98"/>
              </w:rPr>
              <w:t>Chief Financial Officer</w:t>
            </w:r>
          </w:p>
        </w:tc>
      </w:tr>
      <w:tr>
        <w:trPr>
          <w:trHeight w:val="234"/>
        </w:trPr>
        <w:tc>
          <w:tcPr>
            <w:tcW w:w="6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r>
    </w:tbl>
    <w:p>
      <w:pPr>
        <w:spacing w:after="0" w:line="374" w:lineRule="exact"/>
        <w:rPr>
          <w:sz w:val="20"/>
          <w:szCs w:val="20"/>
          <w:color w:val="auto"/>
        </w:rPr>
      </w:pPr>
    </w:p>
    <w:p>
      <w:pPr>
        <w:jc w:val="both"/>
        <w:ind w:firstLine="640"/>
        <w:spacing w:after="0" w:line="298"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8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3"/>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upperLetter"/>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7"/>
    </w:lvl>
    <w:lvl w:ilvl="1">
      <w:lvlJc w:val="left"/>
      <w:lvlText w:val="•"/>
      <w:numFmt w:val="bullet"/>
      <w:start w:val="1"/>
    </w:lvl>
  </w:abstractNum>
  <w:abstractNum w:abstractNumId="9">
    <w:nsid w:val="436C6125"/>
    <w:multiLevelType w:val="hybridMultilevel"/>
    <w:lvl w:ilvl="0">
      <w:lvlJc w:val="left"/>
      <w:lvlText w:val="%1."/>
      <w:numFmt w:val="decimal"/>
      <w:start w:val="7"/>
    </w:lvl>
    <w:lvl w:ilvl="1">
      <w:lvlJc w:val="left"/>
      <w:lvlText w:val="•"/>
      <w:numFmt w:val="bullet"/>
      <w:start w:val="1"/>
    </w:lvl>
  </w:abstractNum>
  <w:abstractNum w:abstractNumId="10">
    <w:nsid w:val="628C895D"/>
    <w:multiLevelType w:val="hybridMultilevel"/>
    <w:lvl w:ilvl="0">
      <w:lvlJc w:val="left"/>
      <w:lvlText w:val="%1."/>
      <w:numFmt w:val="decimal"/>
      <w:start w:val="15"/>
    </w:lvl>
  </w:abstractNum>
  <w:abstractNum w:abstractNumId="11">
    <w:nsid w:val="333AB105"/>
    <w:multiLevelType w:val="hybridMultilevel"/>
    <w:lvl w:ilvl="0">
      <w:lvlJc w:val="left"/>
      <w:lvlText w:val="%1."/>
      <w:numFmt w:val="decimal"/>
      <w:start w:val="16"/>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lowerLetter"/>
      <w:start w:val="1"/>
    </w:lvl>
    <w:lvl w:ilvl="1">
      <w:lvlJc w:val="left"/>
      <w:lvlText w:val="(%2)"/>
      <w:numFmt w:val="lowerLetter"/>
      <w:start w:val="1"/>
    </w:lvl>
  </w:abstractNum>
  <w:abstractNum w:abstractNumId="16">
    <w:nsid w:val="75A2A8D4"/>
    <w:multiLevelType w:val="hybridMultilevel"/>
    <w:lvl w:ilvl="0">
      <w:lvlJc w:val="left"/>
      <w:lvlText w:val="(%1)"/>
      <w:numFmt w:val="lowerLetter"/>
      <w:start w:val="2"/>
    </w:lvl>
    <w:lvl w:ilvl="1">
      <w:lvlJc w:val="left"/>
      <w:lvlText w:val="%2"/>
      <w:numFmt w:val="lowerLetter"/>
      <w:start w:val="1"/>
    </w:lvl>
  </w:abstractNum>
  <w:abstractNum w:abstractNumId="17">
    <w:nsid w:val="8EDBDAB"/>
    <w:multiLevelType w:val="hybridMultilevel"/>
    <w:lvl w:ilvl="0">
      <w:lvlJc w:val="left"/>
      <w:lvlText w:val="(%1)"/>
      <w:numFmt w:val="lowerLetter"/>
      <w:start w:val="3"/>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
      <w:numFmt w:val="bullet"/>
      <w:start w:val="1"/>
    </w:lvl>
    <w:lvl w:ilvl="1">
      <w:lvlJc w:val="left"/>
      <w:lvlText w:val="%2"/>
      <w:numFmt w:val="decimal"/>
      <w:start w:val="104"/>
    </w:lvl>
  </w:abstractNum>
  <w:abstractNum w:abstractNumId="24">
    <w:nsid w:val="2CA88611"/>
    <w:multiLevelType w:val="hybridMultilevel"/>
    <w:lvl w:ilvl="0">
      <w:lvlJc w:val="left"/>
      <w:lvlText w:val="**"/>
      <w:numFmt w:val="bullet"/>
      <w:start w:val="1"/>
    </w:lvl>
    <w:lvl w:ilvl="1">
      <w:lvlJc w:val="left"/>
      <w:lvlText w:val="%2"/>
      <w:numFmt w:val="decimal"/>
      <w:start w:val="1"/>
    </w:lvl>
  </w:abstractNum>
  <w:abstractNum w:abstractNumId="25">
    <w:nsid w:val="836C40E"/>
    <w:multiLevelType w:val="hybridMultilevel"/>
    <w:lvl w:ilvl="0">
      <w:lvlJc w:val="left"/>
      <w:lvlText w:val="***"/>
      <w:numFmt w:val="bullet"/>
      <w:start w:val="1"/>
    </w:lvl>
    <w:lvl w:ilvl="1">
      <w:lvlJc w:val="left"/>
      <w:lvlText w:val="%2"/>
      <w:numFmt w:val="decimal"/>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2023-05-03T06:32:10Z</dcterms:created>
  <dcterms:modified xsi:type="dcterms:W3CDTF">2023-05-03T06:32:10Z</dcterms:modified>
</cp:coreProperties>
</file>