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left="40" w:right="2340"/>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Dine Brands Global,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Gavriel Kahane</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Arkhouse Management Co. LP, 106 W 56th Street, 17th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212-465-1301</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Richard Brand; Kiran Kadekar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White &amp; Case LLP, 1221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819-8200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Arkhouse Management Co. LP</w:t>
      </w:r>
    </w:p>
    <w:p>
      <w:pPr>
        <w:sectPr>
          <w:pgSz w:w="11900" w:h="16857" w:orient="portrait"/>
          <w:cols w:equalWidth="0" w:num="1">
            <w:col w:w="11240"/>
          </w:cols>
          <w:pgMar w:left="320" w:top="866" w:right="339" w:bottom="0" w:gutter="0" w:footer="0" w:header="0"/>
        </w:sectPr>
      </w:pPr>
    </w:p>
    <w:bookmarkStart w:id="1" w:name="page2"/>
    <w:bookmarkEnd w:id="1"/>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4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40" w:type="dxa"/>
            <w:vAlign w:val="bottom"/>
            <w:vMerge w:val="continue"/>
          </w:tcPr>
          <w:p>
            <w:pPr>
              <w:spacing w:after="0"/>
              <w:rPr>
                <w:sz w:val="3"/>
                <w:szCs w:val="3"/>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546,700.00</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40" w:type="dxa"/>
            <w:vAlign w:val="bottom"/>
          </w:tcPr>
          <w:p>
            <w:pPr>
              <w:spacing w:after="0"/>
              <w:rPr>
                <w:sz w:val="3"/>
                <w:szCs w:val="3"/>
                <w:color w:val="auto"/>
              </w:rPr>
            </w:pPr>
          </w:p>
        </w:tc>
        <w:tc>
          <w:tcPr>
            <w:tcW w:w="10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546,700.00</w:t>
            </w:r>
          </w:p>
        </w:tc>
        <w:tc>
          <w:tcPr>
            <w:tcW w:w="0" w:type="dxa"/>
            <w:vAlign w:val="bottom"/>
          </w:tcPr>
          <w:p>
            <w:pPr>
              <w:spacing w:after="0"/>
              <w:rPr>
                <w:sz w:val="1"/>
                <w:szCs w:val="1"/>
                <w:color w:val="auto"/>
              </w:rPr>
            </w:pPr>
          </w:p>
        </w:tc>
      </w:tr>
      <w:tr>
        <w:trPr>
          <w:trHeight w:val="338"/>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546,700.00</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4.3 %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IA</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Based on the 12,659,150 shares of Common Stock stated by the Issuer as being outstanding as of July 26, 2026 in</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10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w w:val="99"/>
              </w:rPr>
              <w:t>its Form 10-Q, filed with the United States Securities and Exchange Commission on August 5, 2026 (the "2026 Q2</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40"/>
              <w:spacing w:after="0" w:line="240" w:lineRule="exact"/>
              <w:rPr>
                <w:sz w:val="20"/>
                <w:szCs w:val="20"/>
                <w:color w:val="auto"/>
              </w:rPr>
            </w:pPr>
            <w:r>
              <w:rPr>
                <w:rFonts w:ascii="Times New Roman" w:cs="Times New Roman" w:eastAsia="Times New Roman" w:hAnsi="Times New Roman"/>
                <w:sz w:val="22"/>
                <w:szCs w:val="22"/>
                <w:color w:val="auto"/>
              </w:rPr>
              <w:t>10-Q"). Excludes shares of Common Stock reported as beneficially owned by Cobblers Reporting Persons (as</w:t>
            </w:r>
          </w:p>
        </w:tc>
        <w:tc>
          <w:tcPr>
            <w:tcW w:w="0" w:type="dxa"/>
            <w:vAlign w:val="bottom"/>
          </w:tcPr>
          <w:p>
            <w:pPr>
              <w:spacing w:after="0"/>
              <w:rPr>
                <w:sz w:val="1"/>
                <w:szCs w:val="1"/>
                <w:color w:val="auto"/>
              </w:rPr>
            </w:pPr>
          </w:p>
        </w:tc>
      </w:tr>
      <w:tr>
        <w:trPr>
          <w:trHeight w:val="309"/>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defined below).</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-5433060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Arkhouse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2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11" w:right="339" w:bottom="0" w:gutter="0" w:footer="0" w:header="0"/>
        </w:sectPr>
      </w:pPr>
    </w:p>
    <w:bookmarkStart w:id="2" w:name="page3"/>
    <w:bookmarkEnd w:id="2"/>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line="230" w:lineRule="auto"/>
        <w:rPr>
          <w:sz w:val="20"/>
          <w:szCs w:val="20"/>
          <w:color w:val="auto"/>
        </w:rPr>
      </w:pPr>
      <w:r>
        <w:rPr>
          <w:rFonts w:ascii="Times New Roman" w:cs="Times New Roman" w:eastAsia="Times New Roman" w:hAnsi="Times New Roman"/>
          <w:sz w:val="22"/>
          <w:szCs w:val="22"/>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546,700.00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546,700.00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546,700.00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74" w:lineRule="exact"/>
        <w:rPr>
          <w:sz w:val="20"/>
          <w:szCs w:val="20"/>
          <w:color w:val="auto"/>
        </w:rPr>
      </w:pPr>
    </w:p>
    <w:p>
      <w:pPr>
        <w:jc w:val="both"/>
        <w:ind w:left="420"/>
        <w:spacing w:after="0" w:line="244" w:lineRule="auto"/>
        <w:rPr>
          <w:sz w:val="20"/>
          <w:szCs w:val="20"/>
          <w:color w:val="auto"/>
        </w:rPr>
      </w:pPr>
      <w:r>
        <w:rPr>
          <w:rFonts w:ascii="Times New Roman" w:cs="Times New Roman" w:eastAsia="Times New Roman" w:hAnsi="Times New Roman"/>
          <w:sz w:val="22"/>
          <w:szCs w:val="22"/>
          <w:color w:val="auto"/>
        </w:rPr>
        <w:t>Based on the 12,659,150 shares of Common Stock stated by the Issuer as being outstanding as of July 26, 2026 in its 2026 Q2 10-Q. Excludes shares of Common Stock reported as beneficially owned by Cobblers Reporting Persons (as defined below).</w:t>
      </w:r>
    </w:p>
    <w:p>
      <w:pPr>
        <w:spacing w:after="0" w:line="400" w:lineRule="exact"/>
        <w:rPr>
          <w:sz w:val="20"/>
          <w:szCs w:val="20"/>
          <w:color w:val="auto"/>
        </w:rPr>
      </w:pPr>
    </w:p>
    <w:p>
      <w:pPr>
        <w:sectPr>
          <w:pgSz w:w="11900" w:h="16889" w:orient="portrait"/>
          <w:cols w:equalWidth="0" w:num="2">
            <w:col w:w="1120" w:space="40"/>
            <w:col w:w="10080"/>
          </w:cols>
          <w:pgMar w:left="320" w:top="612" w:right="339" w:bottom="0" w:gutter="0" w:footer="0" w:header="0"/>
        </w:sect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Arkhouse Value Fund GP X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89" w:orient="portrait"/>
          <w:cols w:equalWidth="0" w:num="1">
            <w:col w:w="11240"/>
          </w:cols>
          <w:pgMar w:left="320" w:top="612" w:right="339"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Reporting</w:t>
            </w:r>
          </w:p>
        </w:tc>
        <w:tc>
          <w:tcPr>
            <w:tcW w:w="10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73,700.00</w:t>
            </w:r>
          </w:p>
        </w:tc>
        <w:tc>
          <w:tcPr>
            <w:tcW w:w="0" w:type="dxa"/>
            <w:vAlign w:val="bottom"/>
          </w:tcPr>
          <w:p>
            <w:pPr>
              <w:spacing w:after="0"/>
              <w:rPr>
                <w:sz w:val="1"/>
                <w:szCs w:val="1"/>
                <w:color w:val="auto"/>
              </w:rPr>
            </w:pPr>
          </w:p>
        </w:tc>
      </w:tr>
      <w:tr>
        <w:trPr>
          <w:trHeight w:val="297"/>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2"/>
                <w:szCs w:val="22"/>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73,700.00</w:t>
            </w:r>
          </w:p>
        </w:tc>
        <w:tc>
          <w:tcPr>
            <w:tcW w:w="0" w:type="dxa"/>
            <w:vAlign w:val="bottom"/>
          </w:tcPr>
          <w:p>
            <w:pPr>
              <w:spacing w:after="0"/>
              <w:rPr>
                <w:sz w:val="1"/>
                <w:szCs w:val="1"/>
                <w:color w:val="auto"/>
              </w:rPr>
            </w:pPr>
          </w:p>
        </w:tc>
      </w:tr>
      <w:tr>
        <w:trPr>
          <w:trHeight w:val="338"/>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73,700.00</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0.6 %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w:t>
            </w:r>
          </w:p>
        </w:tc>
        <w:tc>
          <w:tcPr>
            <w:tcW w:w="101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8"/>
              </w:rPr>
              <w:t>Based on the 12,659,150 shares of Common Stock stated by the Issuer as being outstanding as of July 26, 2026</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100" w:type="dxa"/>
            <w:vAlign w:val="bottom"/>
          </w:tcPr>
          <w:p>
            <w:pPr>
              <w:ind w:left="440"/>
              <w:spacing w:after="0" w:line="229" w:lineRule="exact"/>
              <w:rPr>
                <w:sz w:val="20"/>
                <w:szCs w:val="20"/>
                <w:color w:val="auto"/>
              </w:rPr>
            </w:pPr>
            <w:r>
              <w:rPr>
                <w:rFonts w:ascii="Times New Roman" w:cs="Times New Roman" w:eastAsia="Times New Roman" w:hAnsi="Times New Roman"/>
                <w:sz w:val="22"/>
                <w:szCs w:val="22"/>
                <w:color w:val="auto"/>
                <w:w w:val="98"/>
              </w:rPr>
              <w:t>in its 2026 Q2 10-Q. Excludes shares of Common Stock reported as beneficially owned by Cobblers Reporting</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440"/>
              <w:spacing w:after="0" w:line="240" w:lineRule="exact"/>
              <w:rPr>
                <w:sz w:val="20"/>
                <w:szCs w:val="20"/>
                <w:color w:val="auto"/>
              </w:rPr>
            </w:pPr>
            <w:r>
              <w:rPr>
                <w:rFonts w:ascii="Times New Roman" w:cs="Times New Roman" w:eastAsia="Times New Roman" w:hAnsi="Times New Roman"/>
                <w:sz w:val="22"/>
                <w:szCs w:val="22"/>
                <w:color w:val="auto"/>
              </w:rPr>
              <w:t>Persons (as defined below).</w:t>
            </w: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-1894205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Arkhouse Value Fund GP II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0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23,000.00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23,000.00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100" w:space="60"/>
            <w:col w:w="10080"/>
          </w:cols>
          <w:pgMar w:left="320" w:top="102" w:right="339" w:bottom="0" w:gutter="0" w:footer="0" w:header="0"/>
          <w:type w:val="continuous"/>
        </w:sectPr>
      </w:pPr>
    </w:p>
    <w:bookmarkStart w:id="4" w:name="page5"/>
    <w:bookmarkEnd w:id="4"/>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23,000.00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74" w:lineRule="exact"/>
        <w:rPr>
          <w:sz w:val="20"/>
          <w:szCs w:val="20"/>
          <w:color w:val="auto"/>
        </w:rPr>
      </w:pPr>
    </w:p>
    <w:p>
      <w:pPr>
        <w:jc w:val="both"/>
        <w:ind w:left="420"/>
        <w:spacing w:after="0" w:line="244" w:lineRule="auto"/>
        <w:rPr>
          <w:sz w:val="20"/>
          <w:szCs w:val="20"/>
          <w:color w:val="auto"/>
        </w:rPr>
      </w:pPr>
      <w:r>
        <w:rPr>
          <w:rFonts w:ascii="Times New Roman" w:cs="Times New Roman" w:eastAsia="Times New Roman" w:hAnsi="Times New Roman"/>
          <w:sz w:val="22"/>
          <w:szCs w:val="22"/>
          <w:color w:val="auto"/>
        </w:rPr>
        <w:t>Based on the 12,659,150 shares of Common Stock stated by the Issuer as being outstanding as of July 26, 2026 in its 2026 Q2 10-Q. Excludes shares of Common Stock reported as beneficially owned by Cobblers Reporting Persons (as defined below).</w:t>
      </w:r>
    </w:p>
    <w:p>
      <w:pPr>
        <w:spacing w:after="0" w:line="400" w:lineRule="exact"/>
        <w:rPr>
          <w:sz w:val="20"/>
          <w:szCs w:val="20"/>
          <w:color w:val="auto"/>
        </w:rPr>
      </w:pPr>
    </w:p>
    <w:p>
      <w:pPr>
        <w:sectPr>
          <w:pgSz w:w="11900" w:h="16838" w:orient="portrait"/>
          <w:cols w:equalWidth="0" w:num="2">
            <w:col w:w="1120" w:space="40"/>
            <w:col w:w="10080"/>
          </w:cols>
          <w:pgMar w:left="320" w:top="355" w:right="339" w:bottom="0" w:gutter="0" w:footer="0" w:header="0"/>
        </w:sect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Gavriel Kahane</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355" w:right="339" w:bottom="0" w:gutter="0" w:footer="0" w:header="0"/>
          <w:type w:val="continuous"/>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546,700.00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546,700.00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546,700.00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4.3 %</w:t>
      </w:r>
    </w:p>
    <w:p>
      <w:pPr>
        <w:spacing w:after="0" w:line="44" w:lineRule="exact"/>
        <w:rPr>
          <w:sz w:val="20"/>
          <w:szCs w:val="20"/>
          <w:color w:val="auto"/>
        </w:rPr>
      </w:pPr>
    </w:p>
    <w:p>
      <w:pPr>
        <w:sectPr>
          <w:pgSz w:w="11900" w:h="16838" w:orient="portrait"/>
          <w:cols w:equalWidth="0" w:num="2">
            <w:col w:w="1100" w:space="60"/>
            <w:col w:w="10080"/>
          </w:cols>
          <w:pgMar w:left="320" w:top="355" w:right="339" w:bottom="0" w:gutter="0" w:footer="0" w:header="0"/>
          <w:type w:val="continuous"/>
        </w:sectPr>
      </w:pPr>
    </w:p>
    <w:p>
      <w:pPr>
        <w:ind w:left="40"/>
        <w:spacing w:after="0"/>
        <w:tabs>
          <w:tab w:leader="none" w:pos="1140" w:val="left"/>
        </w:tabs>
        <w:rPr>
          <w:sz w:val="20"/>
          <w:szCs w:val="20"/>
          <w:color w:val="auto"/>
        </w:rPr>
      </w:pPr>
      <w:r>
        <w:rPr>
          <w:rFonts w:ascii="Times New Roman" w:cs="Times New Roman" w:eastAsia="Times New Roman" w:hAnsi="Times New Roman"/>
          <w:sz w:val="21"/>
          <w:szCs w:val="21"/>
          <w:color w:val="auto"/>
        </w:rPr>
        <w:t>14</w:t>
      </w:r>
      <w:r>
        <w:rPr>
          <w:sz w:val="20"/>
          <w:szCs w:val="20"/>
          <w:color w:val="auto"/>
        </w:rPr>
        <w:tab/>
      </w:r>
      <w:r>
        <w:rPr>
          <w:rFonts w:ascii="Times New Roman" w:cs="Times New Roman" w:eastAsia="Times New Roman" w:hAnsi="Times New Roman"/>
          <w:sz w:val="21"/>
          <w:szCs w:val="21"/>
          <w:color w:val="auto"/>
        </w:rPr>
        <w:t>Type of Reporting Person (See Instructions)</w:t>
      </w:r>
    </w:p>
    <w:p>
      <w:pPr>
        <w:sectPr>
          <w:pgSz w:w="11900" w:h="16838" w:orient="portrait"/>
          <w:cols w:equalWidth="0" w:num="1">
            <w:col w:w="11240"/>
          </w:cols>
          <w:pgMar w:left="320" w:top="355" w:right="339" w:bottom="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color w:val="auto"/>
        </w:rPr>
        <w:t>IN</w:t>
      </w:r>
    </w:p>
    <w:p>
      <w:pPr>
        <w:spacing w:after="0" w:line="27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Based on the 12,659,150 shares of Common Stock stated by the Issuer as being outstanding as of July 26, 2026 in its 2026 Q2 10-Q. Excludes shares of Common Stock reported as beneficially owned by Cobblers Reporting Persons (as defined below).</w:t>
      </w:r>
    </w:p>
    <w:p>
      <w:pPr>
        <w:spacing w:after="0" w:line="400" w:lineRule="exact"/>
        <w:rPr>
          <w:sz w:val="20"/>
          <w:szCs w:val="20"/>
          <w:color w:val="auto"/>
        </w:rPr>
      </w:pPr>
    </w:p>
    <w:p>
      <w:pPr>
        <w:sectPr>
          <w:pgSz w:w="11900" w:h="16838" w:orient="portrait"/>
          <w:cols w:equalWidth="0" w:num="2">
            <w:col w:w="1400" w:space="180"/>
            <w:col w:w="9660"/>
          </w:cols>
          <w:pgMar w:left="320" w:top="355" w:right="339" w:bottom="0" w:gutter="0" w:footer="0" w:header="0"/>
        </w:sect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$0.01 par value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Dine Brands Global,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10 West Walnut Street, 5th Floor, Pasadena, CALIFORNIA , 91103.</w:t>
      </w:r>
    </w:p>
    <w:p>
      <w:pPr>
        <w:spacing w:after="0" w:line="20" w:lineRule="exact"/>
        <w:rPr>
          <w:sz w:val="20"/>
          <w:szCs w:val="20"/>
          <w:color w:val="auto"/>
        </w:rPr>
      </w:pPr>
    </w:p>
    <w:p>
      <w:pPr>
        <w:ind w:left="40" w:right="40"/>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Cobblers Cove (as defined below), Cobblers Cove Capital Management GP LLC, Matthew Perkal and Benjamin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Rattner, (all of the foregoing, collectively, the "Cobblers Reporting Persons") are filing a separate Schedule 13D</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reporting beneficial ownership of shares of the Common Stock.</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right="80"/>
        <w:spacing w:after="0" w:line="246" w:lineRule="auto"/>
        <w:rPr>
          <w:sz w:val="20"/>
          <w:szCs w:val="20"/>
          <w:color w:val="auto"/>
        </w:rPr>
      </w:pPr>
      <w:r>
        <w:rPr>
          <w:rFonts w:ascii="Times New Roman" w:cs="Times New Roman" w:eastAsia="Times New Roman" w:hAnsi="Times New Roman"/>
          <w:sz w:val="21"/>
          <w:szCs w:val="21"/>
          <w:color w:val="auto"/>
        </w:rPr>
        <w:t>This statement on Schedule 13D (this "Schedule 13D") is being filed by (i) Arkhouse Management Co. LP ("Arkhouse Management"), (ii) Arkhouse GP LLC ("Arkhouse GP"), (iii) Arkhouse Value Fund GP X LLC ("Fund X GP"), (iv) Arkhouse Value Fund GP II LLC ("Fund II GP") and (v) Gavriel Kahane ("Mr. Kahane", and, together with Arkhouse Management, Arkhouse GP, Fund X GP and Fund II GP, the "Reporting Persons"). Arkhouse Management serves as investment advisor to certain affiliated funds, including Arkhouse Value Fund X LP, a</w:t>
      </w:r>
    </w:p>
    <w:p>
      <w:pPr>
        <w:spacing w:after="0" w:line="1" w:lineRule="exact"/>
        <w:rPr>
          <w:sz w:val="20"/>
          <w:szCs w:val="20"/>
          <w:color w:val="auto"/>
        </w:rPr>
      </w:pPr>
    </w:p>
    <w:p>
      <w:pPr>
        <w:ind w:left="960" w:right="100" w:hanging="912"/>
        <w:spacing w:after="0" w:line="232" w:lineRule="auto"/>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Delaware limited partnership ("Fund X") and Arkhouse Primary Fund LP, a Delaware limited partnership ("Primary Fund," and, together with Fund X, the "Arkhouse Funds") and separately managed accounts, which hold of record the shares of Common Stock reported herein as beneficially owned by the Reporting Persons. Arkhouse GP serves as the general partner of Arkhouse Management. Fund X GP serves as the general partner of Fund X and Fund II GP serves as the general partner of Primary Fund. Mr. Kahane serves as the managing member of Arkhouse GP, and each of Fund X GP and Fund II GP.</w:t>
      </w:r>
    </w:p>
    <w:p>
      <w:pPr>
        <w:spacing w:after="0" w:line="20" w:lineRule="exact"/>
        <w:rPr>
          <w:rFonts w:ascii="Times New Roman" w:cs="Times New Roman" w:eastAsia="Times New Roman" w:hAnsi="Times New Roman"/>
          <w:sz w:val="22"/>
          <w:szCs w:val="22"/>
          <w:color w:val="auto"/>
        </w:rPr>
      </w:pPr>
    </w:p>
    <w:p>
      <w:pPr>
        <w:ind w:left="960" w:right="140" w:hanging="912"/>
        <w:spacing w:after="0" w:line="185" w:lineRule="auto"/>
        <w:tabs>
          <w:tab w:leader="none" w:pos="96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address of the principal office and principal place of business of the Reporting Persons and each of the Arkhouse Funds is 106 W 56th Street, 17th Floor, New York, NY 10019.</w:t>
      </w:r>
    </w:p>
    <w:p>
      <w:pPr>
        <w:spacing w:after="0" w:line="17" w:lineRule="exact"/>
        <w:rPr>
          <w:rFonts w:ascii="Times New Roman" w:cs="Times New Roman" w:eastAsia="Times New Roman" w:hAnsi="Times New Roman"/>
          <w:sz w:val="39"/>
          <w:szCs w:val="39"/>
          <w:color w:val="auto"/>
          <w:vertAlign w:val="subscript"/>
        </w:rPr>
      </w:pPr>
    </w:p>
    <w:p>
      <w:pPr>
        <w:ind w:left="960" w:right="160"/>
        <w:spacing w:after="0" w:line="249" w:lineRule="auto"/>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The principal business of Arkhouse Management is to provide investment advisory services and to be the investment manager to certain affiliated funds and separately managed accounts, including the Arkhouse Funds. The principal business of Arkhouse GP is to serve as the general partner of Arkhouse Management. The principal business of Fund</w:t>
      </w:r>
    </w:p>
    <w:p>
      <w:pPr>
        <w:spacing w:after="0" w:line="1" w:lineRule="exact"/>
        <w:rPr>
          <w:rFonts w:ascii="Times New Roman" w:cs="Times New Roman" w:eastAsia="Times New Roman" w:hAnsi="Times New Roman"/>
          <w:sz w:val="39"/>
          <w:szCs w:val="39"/>
          <w:color w:val="auto"/>
          <w:vertAlign w:val="subscript"/>
        </w:rPr>
      </w:pPr>
    </w:p>
    <w:p>
      <w:pPr>
        <w:ind w:left="960" w:right="180" w:hanging="912"/>
        <w:spacing w:after="0" w:line="234" w:lineRule="auto"/>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GP is to serve as the general partner of Fund X. The principal business of Fund II GP is to serve as the general partner of Primary Fund. The principal business of Mr. Kahane is to serve as the managing member of Arkhouse GP, and each of Fund X GP and Fund II GP, and as managing partner of Arkhouse Management. The principal business of each of the Arkhouse Funds is to invest in securities.</w:t>
      </w:r>
    </w:p>
    <w:p>
      <w:pPr>
        <w:spacing w:after="0" w:line="15" w:lineRule="exact"/>
        <w:rPr>
          <w:rFonts w:ascii="Times New Roman" w:cs="Times New Roman" w:eastAsia="Times New Roman" w:hAnsi="Times New Roman"/>
          <w:sz w:val="22"/>
          <w:szCs w:val="22"/>
          <w:color w:val="auto"/>
        </w:rPr>
      </w:pPr>
    </w:p>
    <w:p>
      <w:pPr>
        <w:ind w:left="960" w:right="500" w:hanging="912"/>
        <w:spacing w:after="0" w:line="185" w:lineRule="auto"/>
        <w:tabs>
          <w:tab w:leader="none" w:pos="96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None of the Reporting Persons nor any of the Arkhouse Funds has, during the last five years,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None of the Reporting Persons nor any of the Arkhouse Funds has, during the last five years, been a party to a civil</w:t>
      </w:r>
    </w:p>
    <w:p>
      <w:pPr>
        <w:spacing w:after="0" w:line="14" w:lineRule="exact"/>
        <w:rPr>
          <w:rFonts w:ascii="Times New Roman" w:cs="Times New Roman" w:eastAsia="Times New Roman" w:hAnsi="Times New Roman"/>
          <w:sz w:val="39"/>
          <w:szCs w:val="39"/>
          <w:color w:val="auto"/>
          <w:vertAlign w:val="subscript"/>
        </w:rPr>
      </w:pPr>
    </w:p>
    <w:p>
      <w:pPr>
        <w:ind w:left="960" w:right="180" w:hanging="912"/>
        <w:spacing w:after="0" w:line="184" w:lineRule="auto"/>
        <w:tabs>
          <w:tab w:leader="none" w:pos="960" w:val="left"/>
        </w:tabs>
        <w:numPr>
          <w:ilvl w:val="0"/>
          <w:numId w:val="10"/>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6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Arkhouse Management is a Delaware limited partnership. Arkhouse GP is a Delaware limited liability company.</w:t>
      </w:r>
    </w:p>
    <w:p>
      <w:pPr>
        <w:spacing w:after="0" w:line="14" w:lineRule="exact"/>
        <w:rPr>
          <w:rFonts w:ascii="Times New Roman" w:cs="Times New Roman" w:eastAsia="Times New Roman" w:hAnsi="Times New Roman"/>
          <w:sz w:val="42"/>
          <w:szCs w:val="42"/>
          <w:color w:val="auto"/>
          <w:vertAlign w:val="subscript"/>
        </w:rPr>
      </w:pPr>
    </w:p>
    <w:p>
      <w:pPr>
        <w:ind w:left="960" w:right="440" w:hanging="912"/>
        <w:spacing w:after="0" w:line="237" w:lineRule="auto"/>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Fund X and Primary Fund are each Delaware limited partnerships. Fund X GP and Fund II GP are each Delaware limited liability companies. Mr. Kahane is a citizen of the United States.</w:t>
      </w:r>
    </w:p>
    <w:p>
      <w:pPr>
        <w:spacing w:after="0" w:line="16"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60" w:right="100"/>
        <w:spacing w:after="0" w:line="248" w:lineRule="auto"/>
        <w:rPr>
          <w:sz w:val="20"/>
          <w:szCs w:val="20"/>
          <w:color w:val="auto"/>
        </w:rPr>
      </w:pPr>
      <w:r>
        <w:rPr>
          <w:rFonts w:ascii="Times New Roman" w:cs="Times New Roman" w:eastAsia="Times New Roman" w:hAnsi="Times New Roman"/>
          <w:sz w:val="21"/>
          <w:szCs w:val="21"/>
          <w:color w:val="auto"/>
        </w:rPr>
        <w:t>The 546,700 shares of Common Stock reported herein as beneficially owned by Reporting Persons were acquired in open market purchases using working capital, which may from time to time include margin borrowing in margin accounts established and maintained with one or more prime brokers and/or other third parties which extend margin credit in the ordinary course of business and pursuant to such arrangements shares of the Common Stock reported herein may be pledged as collateral security from time to time along with other securities in such accounts. Because other securities may be from time to time held in such margin accounts, it is not possible to determine the amounts, if any, of margin used to purchase the shares of Common Stock. The aggregate purchase price of the shares of Common</w:t>
      </w:r>
    </w:p>
    <w:p>
      <w:pPr>
        <w:sectPr>
          <w:pgSz w:w="11900" w:h="16838" w:orient="portrait"/>
          <w:cols w:equalWidth="0" w:num="1">
            <w:col w:w="11240"/>
          </w:cols>
          <w:pgMar w:left="320" w:top="355" w:right="339" w:bottom="0" w:gutter="0" w:footer="0" w:header="0"/>
          <w:type w:val="continuous"/>
        </w:sectPr>
      </w:pPr>
    </w:p>
    <w:bookmarkStart w:id="6" w:name="page7"/>
    <w:bookmarkEnd w:id="6"/>
    <w:p>
      <w:pPr>
        <w:spacing w:after="0" w:line="12" w:lineRule="exact"/>
        <w:rPr>
          <w:sz w:val="20"/>
          <w:szCs w:val="20"/>
          <w:color w:val="auto"/>
        </w:rPr>
      </w:pPr>
    </w:p>
    <w:p>
      <w:pPr>
        <w:ind w:left="920" w:right="900"/>
        <w:spacing w:after="0" w:line="256" w:lineRule="auto"/>
        <w:rPr>
          <w:sz w:val="20"/>
          <w:szCs w:val="20"/>
          <w:color w:val="auto"/>
        </w:rPr>
      </w:pPr>
      <w:r>
        <w:rPr>
          <w:rFonts w:ascii="Times New Roman" w:cs="Times New Roman" w:eastAsia="Times New Roman" w:hAnsi="Times New Roman"/>
          <w:sz w:val="22"/>
          <w:szCs w:val="22"/>
          <w:color w:val="auto"/>
        </w:rPr>
        <w:t>Stock reported herein as beneficially owned by Reporting Persons is approximately $15,683,250, excluding brokerage commissions.</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0"/>
        <w:spacing w:after="0" w:line="242" w:lineRule="auto"/>
        <w:rPr>
          <w:sz w:val="20"/>
          <w:szCs w:val="20"/>
          <w:color w:val="auto"/>
        </w:rPr>
      </w:pPr>
      <w:r>
        <w:rPr>
          <w:rFonts w:ascii="Times New Roman" w:cs="Times New Roman" w:eastAsia="Times New Roman" w:hAnsi="Times New Roman"/>
          <w:sz w:val="21"/>
          <w:szCs w:val="21"/>
          <w:color w:val="auto"/>
        </w:rPr>
        <w:t>The Reporting Persons believe that the Issuer's Common Stock is undervalued and represents an attractive investment opportunity. On October 26, 2026, Arkhouse Management (together with its affiliates, "Arkhouse") and Cobblers Cove Capital LP ("Cobblers Cove") delivered to the Board of Directors of the Issuer (the "Issuer's Board") a non-binding proposal (the "Proposal") to acquire all of the outstanding shares of Common Stock of the Issuer for $39.00 per share, in cash. A copy of the Proposal is filed herewith as Exhibit 99.1 and is incorporated herein by reference. Also on October 26, 2026, Arkhouse and Cobblers Cove executed a non-binding summary of proposed terms (the "Term Sheet") outlining a framework for working together on an exclusive basis, subject among other things to finalization of terms and definitive documents, to pursue an acquisition of the Issuer, sharing certain fees and jointly bearing certain expenses related to such potential acquisition, and agreeing a structure for the post-acquisition governance and operation of the Issuer. The Term Sheet also provides a non-binding framework pursuant to which each of Arkhouse and Cobblers Cove would fund a committed percentage of equity financing required in connection with the acquisition. The above summary is qualified in its entirety by reference to the Term Sheet, a copy of which is filed herewith as Exhibit 99.2 and is incorporated herein by reference. On October 29, 2026, Arkhouse Management and Cobblers Cove received a letter from the Issuer's Board (the "Dine Brands Response Letter"), stating that the Issuer's Board had rejected the Proposal. A copy of the Dine Brands Response Letter is filed herewith as Exhibit 99.3 and is incorporated herein by reference. On November 2, 2026, Arkhouse Management and Cobblers Cove jointly responded to the Dine Brands Response Letter in a letter to the Issuer's Board (the "November 2 Letter") that among other things (i) expressed disappointment "that the Board rejected [their] proposal without engaging with [them]", especially in light of the premium offered and their expressed optimism that "access to management and confirmatory due diligence would allow [them] to identify additional value that could support an increase in [their] proposed price", (ii) noted the unusual (in the view of the Reporting Persons) speed with which such rejection was made and</w:t>
      </w:r>
    </w:p>
    <w:p>
      <w:pPr>
        <w:spacing w:after="0" w:line="14" w:lineRule="exact"/>
        <w:rPr>
          <w:sz w:val="20"/>
          <w:szCs w:val="20"/>
          <w:color w:val="auto"/>
        </w:rPr>
      </w:pPr>
    </w:p>
    <w:p>
      <w:pPr>
        <w:ind w:left="920" w:firstLine="6"/>
        <w:spacing w:after="0" w:line="230" w:lineRule="auto"/>
        <w:tabs>
          <w:tab w:leader="none" w:pos="129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expressed a continued eagerness to work with the Issuer towards a potential transaction. A copy of the November 2 Letter is filed herewith as Exhibit 99.4 and is incorporated herein by reference. The Reporting Persons from time to time expect to enter into discussions with directors and officers of the Issuer, other stockholders of the Issuer (including without limitation Cobblers Reporting Persons) or third parties in connection with the above-described matters and, more generally, in connection with the Reporting Persons' investment in the Issuer. Such discussions may include, without limitation, one or more of members of management, members of the board (individually or acting as a whole), other stockholders of the Issuer and other persons to discuss the governance, board composition, management, operations, business, assets, capitalization, financial condition, strategic plans and future of the Issuer (including without limitation, the potential acquisition by Reporting Persons and/or Cobblers Reporting Persons of control of the Issuer and/or any and all of the issued and outstanding Common Stock (and the terms of any such potential acquisition)), as well as other matters related to the Issuer. The Reporting Persons may also seek to explore other methods for increasing their respective ownership positions in, or economic exposure to, the Issuer, including, without limitation, through open market purchases or an acquisition of shares of Common Stock from other stockholders or through the entry into derivatives arrangements. Any of the foregoing may take place together with or separately from Cobblers Reporting Persons. The Reporting Persons intend to review their respective investments in the Issuer on a continuing basis and may from time to time and at any time in the future depending on various factors, including, without limitation, the outcome of any discussions referenced above, the Issuer's financial position and strategic direction, actions taken by the board, price levels of the shares of Common Stock, other investment opportunities available to the Reporting Persons, conditions in securities and other markets, and general economic and industry conditions, take such actions with respect to the investment in the Issuer as they deem appropriate, including, without limitation: (i) acquiring additional shares of Common Stock and/or other equity, debt, notes, other securities, or derivatives or other instruments that are based upon or relate to the value of the Common Stock or otherwise relate to the Issuer (collectively, "Securities") in the open market or otherwise; (ii) disposing of any or all of their Securities in the open market or otherwise and/or cash-settling any derivatives or other instruments that are based upon or relate to the value of the Common Stock or otherwise relate to the Issuer; (iii) engaging in any hedging or similar transactions with respect to the Securities; (iv) changing the terms on which they would propose to acquire control of the Issuer and/or any and all of the issued and outstanding Common Stock and/or at any time abandoning their current intention to, either alone or together with Cobblers Reporting Persons, seek to acquire control of the Issuer and/or any and all of the issued and outstanding Common Stock; or (v) otherwise proposing or considering, or changing their intention with respect to, one or more of the actions described in subsections (a) through (j) of Item 4 of Schedule 13D (whether or not otherwise described above). Except as set forth in this Item 4, the Reporting Persons have no present plans or proposals that relate to or would result in any of the matters set forth in subparagraphs (a) through (j) of Item 4 of Schedule 13D.</w:t>
      </w:r>
    </w:p>
    <w:p>
      <w:pPr>
        <w:spacing w:after="0" w:line="4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0" w:hanging="912"/>
        <w:spacing w:after="0" w:line="246" w:lineRule="auto"/>
        <w:tabs>
          <w:tab w:leader="none" w:pos="92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responses of the Reporting Persons to Rows (7) through (13) of the cover pages of this Schedule 13D are incorporated herein by reference. The information in Item 4 and Item 6 is incorporated herein by reference. Primary Fund is the direct holder of 23,000 of the shares of Common Stock reported herein as beneficially owned by the Reporting Persons and Fund X is the direct holder of 73,700 of the shares of Common Stock reported herein as beneficially owned by the Reporting Persons. In addition, separately managed accounts managed by Arkhouse Management are the direct holders of 450,000 of the shares of Common Stock reported herein as beneficially owned by the Reporting Persons. Neither Primary Fund nor Fund X nor the owners of such separately managed accounts possess any voting or dispositive power, sole or shared, over any of the shares of Common Stock reported herein. The power to vote or direct the voting of, and dispose of and direct the disposition of, the 23,000 shares of Common Stock</w:t>
      </w:r>
    </w:p>
    <w:p>
      <w:pPr>
        <w:sectPr>
          <w:pgSz w:w="11900" w:h="16850" w:orient="portrait"/>
          <w:cols w:equalWidth="0" w:num="1">
            <w:col w:w="11140"/>
          </w:cols>
          <w:pgMar w:left="360" w:top="111" w:right="399" w:bottom="0" w:gutter="0" w:footer="0" w:header="0"/>
        </w:sectPr>
      </w:pPr>
    </w:p>
    <w:bookmarkStart w:id="7" w:name="page8"/>
    <w:bookmarkEnd w:id="7"/>
    <w:p>
      <w:pPr>
        <w:ind w:left="920"/>
        <w:spacing w:after="0" w:line="242" w:lineRule="auto"/>
        <w:rPr>
          <w:sz w:val="20"/>
          <w:szCs w:val="20"/>
          <w:color w:val="auto"/>
        </w:rPr>
      </w:pPr>
      <w:r>
        <w:rPr>
          <w:rFonts w:ascii="Times New Roman" w:cs="Times New Roman" w:eastAsia="Times New Roman" w:hAnsi="Times New Roman"/>
          <w:sz w:val="21"/>
          <w:szCs w:val="21"/>
          <w:color w:val="auto"/>
        </w:rPr>
        <w:t>reported herein as owned by Primary Fund (which represent approximately 0.2% of the Issuer's outstanding shares of Common Stock, based on the 12,659,150 shares of Common Stock stated by the Issuer as being outstanding as of July 26, 2026 in its 2026 Q2 10-Q) is shared among Fund II GP, Arkhouse Management, Arkhouse GP and Mr. Kahane. The power to vote or direct the voting of, and dispose of and direct the disposition of, the 73,700 shares of Common Stock reported herein as owned by Fund X (which represent approximately 0.6% of the Issuer's outstanding shares of Common Stock, based on the 12,659,150 shares of Common Stock stated by the Issuer as being outstanding as of July 26, 2026 in its 2026 Q2 10-Q) is shared among Fund X GP, Arkhouse Management, Arkhouse GP and Mr. Kahane. The power to vote or direct the voting of, and dispose of and direct the disposition of, the 450,000 shares of Common Stock reported herein as owned by separately managed accounts managed by Arkhouse Management (which represent approximately 3.6% of the Issuer's outstanding shares of Common Stock, based on the 12,659,150 shares of Common Stock stated by the Issuer as being outstanding as of July 26, 2026 in its 2026 Q2 10-Q) is shared among Arkhouse Management, Arkhouse GP and Mr. Kahane. In addition, the Reporting Persons and Cobblers Cove have jointly submitted the Proposal to the Issuer and have entered into the Term Sheet which memorializes their determination, on a non-binding basis, to work together in connection therewith, as further described in Item 4 above. As a result thereof, the Reporting Persons and the Cobblers Reporting Persons may be deemed to be a "group" pursuant to Section 13(d) of the Act and, as such, the Reporting Persons may be deemed to have beneficial ownership over the 173,027 shares of Common Stock reported by the Cobblers Reporting Persons on the date hereof as beneficially owned by the Cobblers Reporting Persons, which, if taken together with the shares of Common Stock beneficially owned by the Reporting Persons as of the date hereof, would represent approximately 5.7% of Issuer's outstanding shares of Common Stock, based on the 12,659,150 shares of Common Stock stated by the Issuer as being outstanding as of July 26, 2026 in its 2026 Q2 10-Q. The shares of Common Stock reported as beneficially owned by the Reporting Persons, taken together with the shares of Common Stock referenced by the Total Return Swaps (as defined below) entered into by the funds and separately managed accounts described in Item 6 below, constitute aggregate economic exposure by the Reporting Persons to approximately 17.8% of the Common Stock, and further would, if aggregated with the shares of Common Stock reported by the Cobblers Reporting Persons as being beneficially owned by them as of the date hereof, represent aggregate economic exposure to approximately 19.2% of the Common Stock. However, none of the Reporting Persons possess any voting or dispositive power, sole or shared, over any of the shares of Common Stock beneficially owned by the Cobblers Reporting Persons (and the Cobblers Reporting Persons do not possess any voting or dispositive power, sole or shared, over any of the shares of Common Stock beneficially owned by any of the Reporting Persons), and each Reporting Person expressly disclaims beneficial ownership of any of the shares of Common Stock reported by the Cobblers Reporting Persons as beneficially owned by them. Neither the filing of this Schedule 13D nor any of its contents shall be deemed to constitute an admission that any of the Reporting Persons or any of their respective affiliates is the beneficial owner of any of the shares of Common Stock beneficially owned by the Cobblers Reporting Persons for purposes of Section 13(d) of the Act or for any other purpose. The Reporting Persons are only responsible for the information contained in this Schedule 13D and assume no responsibility for any information contained in or derived from any Schedule 13D filed by the Cobblers Reporting Persons.</w:t>
      </w:r>
    </w:p>
    <w:p>
      <w:pPr>
        <w:spacing w:after="0" w:line="280" w:lineRule="exact"/>
        <w:rPr>
          <w:sz w:val="20"/>
          <w:szCs w:val="20"/>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response to Item 5(a) is incorporated herein by reference.</w:t>
      </w:r>
    </w:p>
    <w:p>
      <w:pPr>
        <w:spacing w:after="0" w:line="44"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1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Other than as described herein or in Exhibit 99.5 filed herewith, which is incorporated herein by reference, no transactions in the Common Stock were effected by the Reporting Persons during the past 60 days.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Except for the rights of Primary Fund, Fund X and separately managed account owners to receive dividends and</w:t>
      </w:r>
    </w:p>
    <w:p>
      <w:pPr>
        <w:spacing w:after="0" w:line="14" w:lineRule="exact"/>
        <w:rPr>
          <w:rFonts w:ascii="Times New Roman" w:cs="Times New Roman" w:eastAsia="Times New Roman" w:hAnsi="Times New Roman"/>
          <w:sz w:val="39"/>
          <w:szCs w:val="39"/>
          <w:color w:val="auto"/>
          <w:vertAlign w:val="subscript"/>
        </w:rPr>
      </w:pPr>
    </w:p>
    <w:p>
      <w:pPr>
        <w:jc w:val="both"/>
        <w:ind w:left="920" w:right="340" w:hanging="912"/>
        <w:spacing w:after="0" w:line="184" w:lineRule="auto"/>
        <w:tabs>
          <w:tab w:leader="none" w:pos="920" w:val="left"/>
        </w:tabs>
        <w:numPr>
          <w:ilvl w:val="0"/>
          <w:numId w:val="1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proceeds from the sale of investments held in their accounts, no person that is not a Reporting Person is known to have the right to receive or the power to direct the receipt of dividends from, or the proceeds from the sale of, any Common Stock reported herein as beneficially owned by the Reporting Persons.</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spacing w:after="0" w:line="243" w:lineRule="auto"/>
        <w:rPr>
          <w:sz w:val="20"/>
          <w:szCs w:val="20"/>
          <w:color w:val="auto"/>
        </w:rPr>
      </w:pPr>
      <w:r>
        <w:rPr>
          <w:rFonts w:ascii="Times New Roman" w:cs="Times New Roman" w:eastAsia="Times New Roman" w:hAnsi="Times New Roman"/>
          <w:sz w:val="21"/>
          <w:szCs w:val="21"/>
          <w:color w:val="auto"/>
        </w:rPr>
        <w:t>Item 4 of this Schedule 13D (for the avoidance of doubt including the reference to the Term Sheet therein) is hereby incorporated by reference into this Item 6. The Arkhouse Funds, Arkhouse Value Fund XII LP, a Delaware limited partnership managed by Arkhouse Management that does not own or possess any voting or dispositive power (sole or shared) over any shares of Common Stock, and separately managed accounts managed by Arkhouse Management have entered into the long side of cash-settled total return swaps (the "Total Return Swaps") with third-party financial institutions referencing, as of November 2, 2026, an aggregate of 1,711,286 shares of Common Stock. The weighted average initial reference price per share for such Total Return Swaps was approximately $28.87, representing an aggregate equity notional amount of approximately $49,410,235. Under the Total Return Swaps, each applicable fund or separate account generally receives the benefit of increases, and bears the risk of decreases, in the value of the reference shares of Common Stock relative to the applicable contractual reference prices. Amounts payable by either party are determined in accordance with the applicable agreement, including its provisions concerning dividends, financing charges, other applicable adjustments and payment netting, and are settled in cash on the applicable settlement dates, including upon maturity or earlier termination. The Total Return Swaps do not provide for physical settlement and do not give any fund or separate account any contractual right to acquire, vote or direct the voting of the reference shares of Common Stock. The Reporting Persons have entered into a Joint Filing Agreement, dated as of the date hereof, pursuant to which they have agreed to file this Schedule 13D and any amendments thereto jointly in accordance with Rule 13d-1(k) under the Act. A copy of the Joint Filing Agreement is filed as Exhibit 99.6 hereto and is incorporated herein by reference. Except as disclosed in this Schedule 13D, there are no contracts, arrangements, understandings or relationships (legal or otherwise) among the Reporting Persons and any other person with respect to any securities of the Issuer, including but not limited to, transfer or voting of any of the securities,</w:t>
      </w:r>
    </w:p>
    <w:p>
      <w:pPr>
        <w:sectPr>
          <w:pgSz w:w="11900" w:h="16838" w:orient="portrait"/>
          <w:cols w:equalWidth="0" w:num="1">
            <w:col w:w="11100"/>
          </w:cols>
          <w:pgMar w:left="360" w:top="111" w:right="439" w:bottom="0" w:gutter="0" w:footer="0" w:header="0"/>
        </w:sectPr>
      </w:pPr>
    </w:p>
    <w:bookmarkStart w:id="8" w:name="page9"/>
    <w:bookmarkEnd w:id="8"/>
    <w:p>
      <w:pPr>
        <w:ind w:left="920" w:right="420"/>
        <w:spacing w:after="0" w:line="256" w:lineRule="auto"/>
        <w:rPr>
          <w:sz w:val="20"/>
          <w:szCs w:val="20"/>
          <w:color w:val="auto"/>
        </w:rPr>
      </w:pPr>
      <w:r>
        <w:rPr>
          <w:rFonts w:ascii="Times New Roman" w:cs="Times New Roman" w:eastAsia="Times New Roman" w:hAnsi="Times New Roman"/>
          <w:sz w:val="22"/>
          <w:szCs w:val="22"/>
          <w:color w:val="auto"/>
        </w:rPr>
        <w:t>finder's fees, joint ventures, loan or option arrangements, puts or calls, guarantees of profits, division of profits or loss, or the giving or withholding of proxies.</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160"/>
        <w:spacing w:after="0" w:line="239" w:lineRule="auto"/>
        <w:rPr>
          <w:sz w:val="20"/>
          <w:szCs w:val="20"/>
          <w:color w:val="auto"/>
        </w:rPr>
      </w:pPr>
      <w:r>
        <w:rPr>
          <w:rFonts w:ascii="Times New Roman" w:cs="Times New Roman" w:eastAsia="Times New Roman" w:hAnsi="Times New Roman"/>
          <w:sz w:val="22"/>
          <w:szCs w:val="22"/>
          <w:color w:val="auto"/>
        </w:rPr>
        <w:t>Exhibit 99.1 Proposal, dated October 26, 2026. Exhibit 99.2 Summary of Proposed Terms, between Arkhouse Management Co. LP and Cobblers Cove Capital LP, dated as of October 26, 2026. Exhibit 99.3 Dine Brands Response Letter, dated October 29, 2026. Exhibit 99.4 Letter to Dine Brands, dated November 2, 2026. Exhibit 99.5 Trading Data. Exhibit 99.6 Joint Filing Agreement.</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Arkhouse Management Co.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Gavriel Kahane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Gavriel Kahane, Managing Member of Arkhouse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GP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11/02/2026</w:t>
      </w:r>
    </w:p>
    <w:p>
      <w:pPr>
        <w:spacing w:after="0" w:line="15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Arkhouse GP LLC</w:t>
      </w:r>
    </w:p>
    <w:p>
      <w:pPr>
        <w:spacing w:after="0" w:line="152"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Gavriel Kahane</w:t>
      </w:r>
    </w:p>
    <w:p>
      <w:pPr>
        <w:spacing w:after="0" w:line="4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Name/Title: Gavriel Kahane, Managing Member</w:t>
      </w:r>
    </w:p>
    <w:p>
      <w:pPr>
        <w:spacing w:after="0" w:line="44"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11/02/2026</w:t>
      </w:r>
    </w:p>
    <w:p>
      <w:pPr>
        <w:spacing w:after="0" w:line="15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Arkhouse Value Fund GP X LLC</w:t>
      </w:r>
    </w:p>
    <w:p>
      <w:pPr>
        <w:spacing w:after="0" w:line="152"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Gavriel Kahane</w:t>
      </w:r>
    </w:p>
    <w:p>
      <w:pPr>
        <w:spacing w:after="0" w:line="4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Name/Title: Gavriel Kahane, Managing Member</w:t>
      </w:r>
    </w:p>
    <w:p>
      <w:pPr>
        <w:spacing w:after="0" w:line="44"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11/02/2026</w:t>
      </w:r>
    </w:p>
    <w:p>
      <w:pPr>
        <w:spacing w:after="0" w:line="152"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Arkhouse Value Fund GP II LLC</w:t>
      </w:r>
    </w:p>
    <w:p>
      <w:pPr>
        <w:spacing w:after="0" w:line="152"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Gavriel Kahane</w:t>
      </w:r>
    </w:p>
    <w:p>
      <w:pPr>
        <w:spacing w:after="0" w:line="4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Name/Title: Gavriel Kahane, Managing Member</w:t>
      </w:r>
    </w:p>
    <w:p>
      <w:pPr>
        <w:spacing w:after="0" w:line="44"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11/02/2026</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Gavriel Kahane</w:t>
      </w:r>
    </w:p>
    <w:p>
      <w:pPr>
        <w:spacing w:after="0" w:line="152"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Gavriel Kahane</w:t>
      </w:r>
    </w:p>
    <w:p>
      <w:pPr>
        <w:spacing w:after="0" w:line="4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Name/Title: Gavriel Kahane</w:t>
      </w:r>
    </w:p>
    <w:p>
      <w:pPr>
        <w:spacing w:after="0" w:line="44"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11/02/2026</w:t>
      </w:r>
    </w:p>
    <w:p>
      <w:pPr>
        <w:sectPr>
          <w:pgSz w:w="11900" w:h="16838" w:orient="portrait"/>
          <w:cols w:equalWidth="0" w:num="1">
            <w:col w:w="11140"/>
          </w:cols>
          <w:pgMar w:left="360" w:top="111" w:right="39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26,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 Email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Dine Brands Global,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West Walnut Street, 5th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Pasadena, California 91103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Non-Binding Proposal to Acquire Dine Brands Global,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Members of the Board: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behalf of Cobblers Cove Capital LP (“Cobblers Cove”) and Arkhouse Management Co. LP (“Arkhouse” and, together with Cobblers Cove, “we” or “us”), we are pleased to submit this confidential, non-binding proposal to acquire all of the outstanding common stock of Dine Brands Global, Inc. (the “Company” or “you”) for $39.00 per share in cash (the “Proposed Transaction”). Our proposal represents a premium of 32.8% to the Company’s 30-day volume-weighted average price (“VWAP”) and 25.4% to its closing price of $31.10 on October 23, 2026, and would deliver immediate and certain value to the Company’s stockholders. We are optimistic that, with access to management and the opportunity to conduct confirmatory due diligence, we will identify additional value that would allow us to increase our proposed price.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great respect for Applebee’s and IHOP, their franchisees, and the Company’s management team. Under John Peyton’s leadership, the Company has navigated a difficult environment for casual and family dining while advancing initiatives such as dual-brand development, and we would welcome the opportunity to partner with John and his team in the next chapter of the business. We do not believe the public markets are the right home for that chapter. The investments these brands need will pay back over several years, yet the Company is judged quarter to quarter on results those same investments may temporarily depress.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Cobblers Cove is an asset management firm with $1 billion of committed capital dedicated to control transactions. Its team has a long record of control and minority investments in consumer and retail businesses, with experience spanning some of the sector’s most complex transactions, including, most recently, the carve-out of Family Dollar, as well as JCPenney, Sears, Neiman Marcus, Nine West (n/k/a Premier Brands) and Barneys.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Arkhouse is a New York-based investment firm that focuses on M&amp;A strategies, including public-to-private transactions. Arkhouse’s team of professionals consists of private and public equity specialists who have closed $25+ billion of transactions and have an 18-year record of investing in and engaging with public companies.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publicly available information and our extensive industry knowledge, we are pleased to submit this preliminary, non-binding proposal regarding the Proposed Transaction (the “Proposal”).</w:t>
      </w:r>
    </w:p>
    <w:p>
      <w:pPr>
        <w:spacing w:after="0" w:line="162" w:lineRule="exact"/>
        <w:rPr>
          <w:sz w:val="20"/>
          <w:szCs w:val="20"/>
          <w:color w:val="auto"/>
        </w:rPr>
      </w:pPr>
    </w:p>
    <w:p>
      <w:pPr>
        <w:ind w:left="660" w:right="4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The purchaser would be a newly formed entity controlled by Cobblers Cove and Arkhouse, capitalized by funds and accounts managed by us.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We propose to acquire 100% of the outstanding common stock of the Company for $39.00 per share in cash. This price represents a premium of 32.8% to the Company’s 30-day VWAP of $29.37 and 25.4% to its closing price of $31.10 on October 23, 2026. Our Proposal is subject to confirmatory due diligence and the negotiation and execution of a mutually acceptable definitive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jc w:val="both"/>
        <w:ind w:left="660" w:hanging="328"/>
        <w:spacing w:after="0" w:line="25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Basis for Valuation</w:t>
      </w:r>
      <w:r>
        <w:rPr>
          <w:rFonts w:ascii="Times New Roman" w:cs="Times New Roman" w:eastAsia="Times New Roman" w:hAnsi="Times New Roman"/>
          <w:sz w:val="18"/>
          <w:szCs w:val="18"/>
          <w:color w:val="auto"/>
        </w:rPr>
        <w:t>: Our proposed price reflects our analysis of the Company’s current cash flow profile and historical financial performance, including capital expenditure needs, and implied return on investment calculations under certain scenarios. In addition, we have analyzed valuations of selected public companies and past M&amp;A transactions in the restaurant sector for businesses with similar operating and financial profiles. Further, our proposed price assumes (i) that the Company has a generally financially healthy and profitable franchisee base, (ii) the number of outstanding shares and share equivalents of the Company remains unchanged from the number outstanding today, (iii) the Company’s net indebtedness is consistent with its most recent public filings and (iv) the Company pays no dividends other than its regular quarterly dividend.</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The Proposed Transaction is not subject to any financing condition. We expect to finance the Proposed Transaction through a combination of equity and whole business securitization (WBS) debt, with a bridge facility for the full debt amount that would be committed at the signing of a definitive agreement. Our equity will be committed in full at signing by funds and accounts managed by us.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 Requirements</w:t>
      </w:r>
      <w:r>
        <w:rPr>
          <w:rFonts w:ascii="Times New Roman" w:cs="Times New Roman" w:eastAsia="Times New Roman" w:hAnsi="Times New Roman"/>
          <w:sz w:val="18"/>
          <w:szCs w:val="18"/>
          <w:color w:val="auto"/>
        </w:rPr>
        <w:t>: Based on our sector knowledge and experience, we believe that we can complete our confirmatory due diligence in 4 to 6 weeks with reasonable access to Company-related information and its management team. We are prepared to enter into a customary confidentiality agreement immediately. This Proposal and our willingness to enter into definitive legal documentation for the Proposed Transaction is conditioned on our satisfaction with the results of our confirmatory due diligence (including franchisee health, quality of earnings, and customary legal, tax, accounting and employee benefits matters). We would expect to complete this due diligence expeditiously and have engaged legal (Paul, Weiss, Rifkind, Wharton &amp; Garrison LLP), financial, accounting and other third-party advisors that are prepared to commence due diligence as soon as possible.</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Future Intentions</w:t>
      </w:r>
      <w:r>
        <w:rPr>
          <w:rFonts w:ascii="Times New Roman" w:cs="Times New Roman" w:eastAsia="Times New Roman" w:hAnsi="Times New Roman"/>
          <w:sz w:val="18"/>
          <w:szCs w:val="18"/>
          <w:color w:val="auto"/>
        </w:rPr>
        <w:t>: Under our ownership, we believe the Company would benefit from strengthening and growing the business, away from the short-term pressures of the public markets. We would leverage the Company’s strong brands together with its technology infrastructure, bring fresh focus to menu innovation and franchisee performance and drive growth in existing and new territories and markets. We hold the Company’s management team in high regard and have not had any discussions with them regarding their roles or compensation following the Proposed Transaction.</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Approvals and Timing</w:t>
      </w:r>
      <w:r>
        <w:rPr>
          <w:rFonts w:ascii="Times New Roman" w:cs="Times New Roman" w:eastAsia="Times New Roman" w:hAnsi="Times New Roman"/>
          <w:sz w:val="18"/>
          <w:szCs w:val="18"/>
          <w:color w:val="auto"/>
        </w:rPr>
        <w:t>: Other than the approval of the Company’s stockholders and customary antitrust filings, we do not anticipate requiring any external approvals. We have received preliminary approval from our investment committees and we do not foresee any issues in obtaining final approvals for the Proposed Transaction subject to satisfactory due diligence and negotiation of a definitive agreement. We believe we could sign a definitive agreement within six to eight weeks of receiving due diligence access.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Contact Details</w:t>
      </w:r>
      <w:r>
        <w:rPr>
          <w:rFonts w:ascii="Times New Roman" w:cs="Times New Roman" w:eastAsia="Times New Roman" w:hAnsi="Times New Roman"/>
          <w:sz w:val="18"/>
          <w:szCs w:val="18"/>
          <w:color w:val="auto"/>
        </w:rPr>
        <w:t>: The following are available to answer any questions: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Cobblers Cove Capital LP</w:t>
            </w:r>
          </w:p>
        </w:tc>
        <w:tc>
          <w:tcPr>
            <w:tcW w:w="74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Arkhouse Management Co. LP</w:t>
            </w:r>
          </w:p>
        </w:tc>
      </w:tr>
      <w:tr>
        <w:trPr>
          <w:trHeight w:val="216"/>
        </w:trPr>
        <w:tc>
          <w:tcPr>
            <w:tcW w:w="3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Matthew Perkal</w:t>
            </w:r>
          </w:p>
        </w:tc>
        <w:tc>
          <w:tcPr>
            <w:tcW w:w="74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Gavriel Kahane</w:t>
            </w:r>
          </w:p>
        </w:tc>
      </w:tr>
      <w:tr>
        <w:trPr>
          <w:trHeight w:val="216"/>
        </w:trPr>
        <w:tc>
          <w:tcPr>
            <w:tcW w:w="3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Managing Partner</w:t>
            </w:r>
          </w:p>
        </w:tc>
        <w:tc>
          <w:tcPr>
            <w:tcW w:w="74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Managing Partner</w:t>
            </w:r>
          </w:p>
        </w:tc>
      </w:tr>
      <w:tr>
        <w:trPr>
          <w:trHeight w:val="216"/>
        </w:trPr>
        <w:tc>
          <w:tcPr>
            <w:tcW w:w="3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mp@cobblerscovecapital.com</w:t>
            </w:r>
          </w:p>
        </w:tc>
        <w:tc>
          <w:tcPr>
            <w:tcW w:w="74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gavriel@arkhousefund.com</w:t>
            </w:r>
          </w:p>
        </w:tc>
      </w:tr>
      <w:tr>
        <w:trPr>
          <w:trHeight w:val="234"/>
        </w:trPr>
        <w:tc>
          <w:tcPr>
            <w:tcW w:w="3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 (914) 589-8893</w:t>
            </w:r>
          </w:p>
        </w:tc>
        <w:tc>
          <w:tcPr>
            <w:tcW w:w="74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+1 (201) 621-3603</w:t>
            </w:r>
          </w:p>
        </w:tc>
      </w:tr>
      <w:tr>
        <w:trPr>
          <w:trHeight w:val="655"/>
        </w:trPr>
        <w:tc>
          <w:tcPr>
            <w:tcW w:w="384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4" w:right="339" w:bottom="1440" w:gutter="0" w:footer="0" w:header="0"/>
        </w:sectPr>
      </w:pPr>
    </w:p>
    <w:bookmarkStart w:id="11" w:name="page12"/>
    <w:bookmarkEnd w:id="11"/>
    <w:p>
      <w:pPr>
        <w:jc w:val="both"/>
        <w:spacing w:after="0" w:line="256" w:lineRule="auto"/>
        <w:rPr>
          <w:sz w:val="20"/>
          <w:szCs w:val="20"/>
          <w:color w:val="auto"/>
        </w:rPr>
      </w:pPr>
      <w:r>
        <w:rPr>
          <w:rFonts w:ascii="Times New Roman" w:cs="Times New Roman" w:eastAsia="Times New Roman" w:hAnsi="Times New Roman"/>
          <w:sz w:val="18"/>
          <w:szCs w:val="18"/>
          <w:color w:val="auto"/>
        </w:rPr>
        <w:t>This letter is being delivered to you on a confidential basis. Accordingly, we ask that you keep the terms of this letter, and the fact that discussions and negotiations are taking place regarding this letter and the Proposed Transaction, strictly confidential; provided, however, you may make disclosures to your representatives who have a need to know such information in connection with evaluating, negotiating and consummating the Proposed Transaction, or as required to comply with applicable laws. Please note that this letter represents a non-binding indication of interest and does not create any legally binding obligation on any party, and the Proposed Transaction would be subject to the completion of our confirmatory due diligence, negotiation and the execution of definitive agreements containing customary terms and conditions for a transaction of this type and size.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look forward to working with you toward the Proposed Transaction as soon as practicable. We respectfully request that this letter be shared promptly with all members of the Board. Should you have any questions about our Proposal or require any additional information, please contact Matthew Perkal from Cobblers Cove at +1 (914) 589-8893.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Sincerely,</w:t>
            </w:r>
          </w:p>
        </w:tc>
        <w:tc>
          <w:tcPr>
            <w:tcW w:w="226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9"/>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Perkal</w:t>
            </w:r>
          </w:p>
        </w:tc>
        <w:tc>
          <w:tcPr>
            <w:tcW w:w="226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Gavriel Kahane</w:t>
            </w:r>
          </w:p>
        </w:tc>
      </w:tr>
      <w:tr>
        <w:trPr>
          <w:trHeight w:val="198"/>
        </w:trPr>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Matthew Perkal</w:t>
            </w:r>
          </w:p>
        </w:tc>
        <w:tc>
          <w:tcPr>
            <w:tcW w:w="226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Gavriel Kahane</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w:t>
            </w:r>
          </w:p>
        </w:tc>
        <w:tc>
          <w:tcPr>
            <w:tcW w:w="22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Cobblers Cove Capital LP</w:t>
            </w:r>
          </w:p>
        </w:tc>
        <w:tc>
          <w:tcPr>
            <w:tcW w:w="22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Arkhouse Management Co. LP</w:t>
            </w:r>
          </w:p>
        </w:tc>
      </w:tr>
      <w:tr>
        <w:trPr>
          <w:trHeight w:val="432"/>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cc:</w:t>
            </w:r>
          </w:p>
        </w:tc>
        <w:tc>
          <w:tcPr>
            <w:tcW w:w="22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4"/>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Jeff Marell</w:t>
            </w:r>
          </w:p>
        </w:tc>
        <w:tc>
          <w:tcPr>
            <w:tcW w:w="22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Partner</w:t>
            </w:r>
          </w:p>
        </w:tc>
        <w:tc>
          <w:tcPr>
            <w:tcW w:w="226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4"/>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Paul, Weiss, Rifkind, Wharton &amp; Garrison LLP</w:t>
            </w:r>
          </w:p>
        </w:tc>
        <w:tc>
          <w:tcPr>
            <w:tcW w:w="226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14"/>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Cullen Sinclair</w:t>
            </w:r>
          </w:p>
        </w:tc>
        <w:tc>
          <w:tcPr>
            <w:tcW w:w="22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Partner</w:t>
            </w:r>
          </w:p>
        </w:tc>
        <w:tc>
          <w:tcPr>
            <w:tcW w:w="226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4"/>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Paul, Weiss, Rifkind, Wharton &amp; Garrison LLP</w:t>
            </w:r>
          </w:p>
        </w:tc>
        <w:tc>
          <w:tcPr>
            <w:tcW w:w="226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655"/>
        </w:trPr>
        <w:tc>
          <w:tcPr>
            <w:tcW w:w="45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3</w:t>
            </w: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2" w:name="page13"/>
    <w:bookmarkEnd w:id="12"/>
    <w:p>
      <w:pPr>
        <w:ind w:left="1032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37" w:lineRule="exact"/>
        <w:rPr>
          <w:sz w:val="20"/>
          <w:szCs w:val="20"/>
          <w:color w:val="auto"/>
        </w:rPr>
      </w:pPr>
    </w:p>
    <w:p>
      <w:pPr>
        <w:spacing w:after="0"/>
        <w:tabs>
          <w:tab w:leader="none" w:pos="6560" w:val="left"/>
        </w:tabs>
        <w:rPr>
          <w:sz w:val="20"/>
          <w:szCs w:val="20"/>
          <w:color w:val="auto"/>
        </w:rPr>
      </w:pPr>
      <w:r>
        <w:rPr>
          <w:rFonts w:ascii="Times New Roman" w:cs="Times New Roman" w:eastAsia="Times New Roman" w:hAnsi="Times New Roman"/>
          <w:sz w:val="17"/>
          <w:szCs w:val="17"/>
          <w:b w:val="1"/>
          <w:bCs w:val="1"/>
          <w:color w:val="auto"/>
        </w:rPr>
        <w:t>CONFIDENTIAL</w:t>
      </w:r>
      <w:r>
        <w:rPr>
          <w:sz w:val="20"/>
          <w:szCs w:val="20"/>
          <w:color w:val="auto"/>
        </w:rPr>
        <w:tab/>
      </w:r>
      <w:r>
        <w:rPr>
          <w:rFonts w:ascii="Times New Roman" w:cs="Times New Roman" w:eastAsia="Times New Roman" w:hAnsi="Times New Roman"/>
          <w:sz w:val="17"/>
          <w:szCs w:val="17"/>
          <w:b w:val="1"/>
          <w:bCs w:val="1"/>
          <w:color w:val="auto"/>
        </w:rPr>
        <w:t>PAUL, WEISS, RIFKIND, WHARTON &amp; GARRISON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CONFIDENTIAL TREATMENT REQUESTED BY ARKHOUSE MANAGEMENT CO. LP, ARKHOUSE GP LLC, ARKHOUSE VALUE FUND GP X LLC, ARKHOUSE VALUE FUND GP II LLC, AND GAVRIEL KAHANE PURSUANT TO RULE 24b-2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8440" w:type="dxa"/>
            <w:vAlign w:val="bottom"/>
          </w:tcPr>
          <w:p>
            <w:pPr>
              <w:jc w:val="center"/>
              <w:ind w:right="2750"/>
              <w:spacing w:after="0"/>
              <w:rPr>
                <w:sz w:val="20"/>
                <w:szCs w:val="20"/>
                <w:color w:val="auto"/>
              </w:rPr>
            </w:pPr>
            <w:r>
              <w:rPr>
                <w:rFonts w:ascii="Times New Roman" w:cs="Times New Roman" w:eastAsia="Times New Roman" w:hAnsi="Times New Roman"/>
                <w:sz w:val="18"/>
                <w:szCs w:val="18"/>
                <w:b w:val="1"/>
                <w:bCs w:val="1"/>
                <w:color w:val="auto"/>
                <w:w w:val="98"/>
              </w:rPr>
              <w:t>Exhibit 99.2</w:t>
            </w:r>
          </w:p>
        </w:tc>
      </w:tr>
      <w:tr>
        <w:trPr>
          <w:trHeight w:val="216"/>
        </w:trPr>
        <w:tc>
          <w:tcPr>
            <w:tcW w:w="2800" w:type="dxa"/>
            <w:vAlign w:val="bottom"/>
          </w:tcPr>
          <w:p>
            <w:pPr>
              <w:spacing w:after="0"/>
              <w:rPr>
                <w:sz w:val="18"/>
                <w:szCs w:val="18"/>
                <w:color w:val="auto"/>
              </w:rPr>
            </w:pPr>
          </w:p>
        </w:tc>
        <w:tc>
          <w:tcPr>
            <w:tcW w:w="8440" w:type="dxa"/>
            <w:vAlign w:val="bottom"/>
          </w:tcPr>
          <w:p>
            <w:pPr>
              <w:jc w:val="center"/>
              <w:ind w:right="271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38"/>
        </w:trPr>
        <w:tc>
          <w:tcPr>
            <w:tcW w:w="2800" w:type="dxa"/>
            <w:vAlign w:val="bottom"/>
          </w:tcPr>
          <w:p>
            <w:pPr>
              <w:spacing w:after="0"/>
              <w:rPr>
                <w:sz w:val="20"/>
                <w:szCs w:val="20"/>
                <w:color w:val="auto"/>
              </w:rPr>
            </w:pPr>
          </w:p>
        </w:tc>
        <w:tc>
          <w:tcPr>
            <w:tcW w:w="8440" w:type="dxa"/>
            <w:vAlign w:val="bottom"/>
          </w:tcPr>
          <w:p>
            <w:pPr>
              <w:jc w:val="center"/>
              <w:ind w:right="2690"/>
              <w:spacing w:after="0"/>
              <w:rPr>
                <w:sz w:val="20"/>
                <w:szCs w:val="20"/>
                <w:color w:val="auto"/>
              </w:rPr>
            </w:pPr>
            <w:r>
              <w:rPr>
                <w:rFonts w:ascii="Times New Roman" w:cs="Times New Roman" w:eastAsia="Times New Roman" w:hAnsi="Times New Roman"/>
                <w:sz w:val="18"/>
                <w:szCs w:val="18"/>
                <w:b w:val="1"/>
                <w:bCs w:val="1"/>
                <w:color w:val="auto"/>
                <w:w w:val="99"/>
              </w:rPr>
              <w:t>SCHEDULE 13D</w:t>
            </w:r>
          </w:p>
        </w:tc>
      </w:tr>
      <w:tr>
        <w:trPr>
          <w:trHeight w:val="432"/>
        </w:trPr>
        <w:tc>
          <w:tcPr>
            <w:tcW w:w="2800" w:type="dxa"/>
            <w:vAlign w:val="bottom"/>
          </w:tcPr>
          <w:p>
            <w:pPr>
              <w:spacing w:after="0"/>
              <w:rPr>
                <w:sz w:val="24"/>
                <w:szCs w:val="24"/>
                <w:color w:val="auto"/>
              </w:rPr>
            </w:pPr>
          </w:p>
        </w:tc>
        <w:tc>
          <w:tcPr>
            <w:tcW w:w="8440" w:type="dxa"/>
            <w:vAlign w:val="bottom"/>
          </w:tcPr>
          <w:p>
            <w:pPr>
              <w:jc w:val="center"/>
              <w:ind w:right="2690"/>
              <w:spacing w:after="0"/>
              <w:rPr>
                <w:sz w:val="20"/>
                <w:szCs w:val="20"/>
                <w:color w:val="auto"/>
              </w:rPr>
            </w:pPr>
            <w:r>
              <w:rPr>
                <w:rFonts w:ascii="Times New Roman" w:cs="Times New Roman" w:eastAsia="Times New Roman" w:hAnsi="Times New Roman"/>
                <w:sz w:val="18"/>
                <w:szCs w:val="18"/>
                <w:i w:val="1"/>
                <w:iCs w:val="1"/>
                <w:color w:val="auto"/>
                <w:w w:val="99"/>
              </w:rPr>
              <w:t>Under the Securities Exchange Act of 1934</w:t>
            </w:r>
          </w:p>
        </w:tc>
      </w:tr>
      <w:tr>
        <w:trPr>
          <w:trHeight w:val="432"/>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Issuer</w:t>
            </w:r>
          </w:p>
        </w:tc>
        <w:tc>
          <w:tcPr>
            <w:tcW w:w="8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Dine Brands Global, Inc.</w:t>
            </w:r>
          </w:p>
        </w:tc>
      </w:tr>
      <w:tr>
        <w:trPr>
          <w:trHeight w:val="432"/>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c>
          <w:tcPr>
            <w:tcW w:w="8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Common Stock, par value $0.01 per share</w:t>
            </w:r>
          </w:p>
        </w:tc>
      </w:tr>
      <w:tr>
        <w:trPr>
          <w:trHeight w:val="432"/>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Number</w:t>
            </w:r>
          </w:p>
        </w:tc>
        <w:tc>
          <w:tcPr>
            <w:tcW w:w="8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254423106</w:t>
            </w:r>
          </w:p>
        </w:tc>
      </w:tr>
      <w:tr>
        <w:trPr>
          <w:trHeight w:val="414"/>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Filed by (Reporting Person(s))</w:t>
            </w:r>
          </w:p>
        </w:tc>
        <w:tc>
          <w:tcPr>
            <w:tcW w:w="8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Arkhouse Management Co. LP, Arkhouse GP LLC, Arkhouse Value Fund GP X LLC, Arkhouse Value</w:t>
            </w:r>
          </w:p>
        </w:tc>
      </w:tr>
      <w:tr>
        <w:trPr>
          <w:trHeight w:val="234"/>
        </w:trPr>
        <w:tc>
          <w:tcPr>
            <w:tcW w:w="2800" w:type="dxa"/>
            <w:vAlign w:val="bottom"/>
          </w:tcPr>
          <w:p>
            <w:pPr>
              <w:spacing w:after="0"/>
              <w:rPr>
                <w:sz w:val="20"/>
                <w:szCs w:val="20"/>
                <w:color w:val="auto"/>
              </w:rPr>
            </w:pPr>
          </w:p>
        </w:tc>
        <w:tc>
          <w:tcPr>
            <w:tcW w:w="8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Fund GP II LLC, Gavriel Kahane</w:t>
            </w:r>
          </w:p>
        </w:tc>
      </w:tr>
      <w:tr>
        <w:trPr>
          <w:trHeight w:val="432"/>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of Schedule 13D</w:t>
            </w:r>
          </w:p>
        </w:tc>
        <w:tc>
          <w:tcPr>
            <w:tcW w:w="8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Item 7 (Material to Be Filed as Exhibits)</w:t>
            </w:r>
          </w:p>
        </w:tc>
      </w:tr>
      <w:tr>
        <w:trPr>
          <w:trHeight w:val="414"/>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8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Summary of Proposed Terms, dated as of October 26, 2026, by and among Cobblers Cove Capital LP and</w:t>
            </w:r>
          </w:p>
        </w:tc>
      </w:tr>
      <w:tr>
        <w:trPr>
          <w:trHeight w:val="234"/>
        </w:trPr>
        <w:tc>
          <w:tcPr>
            <w:tcW w:w="2800" w:type="dxa"/>
            <w:vAlign w:val="bottom"/>
          </w:tcPr>
          <w:p>
            <w:pPr>
              <w:spacing w:after="0"/>
              <w:rPr>
                <w:sz w:val="20"/>
                <w:szCs w:val="20"/>
                <w:color w:val="auto"/>
              </w:rPr>
            </w:pPr>
          </w:p>
        </w:tc>
        <w:tc>
          <w:tcPr>
            <w:tcW w:w="8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Arkhouse Management Co. LP</w:t>
            </w:r>
          </w:p>
        </w:tc>
      </w:tr>
      <w:tr>
        <w:trPr>
          <w:trHeight w:val="223"/>
        </w:trPr>
        <w:tc>
          <w:tcPr>
            <w:tcW w:w="2800" w:type="dxa"/>
            <w:vAlign w:val="bottom"/>
            <w:tcBorders>
              <w:bottom w:val="single" w:sz="8" w:color="auto"/>
            </w:tcBorders>
          </w:tcPr>
          <w:p>
            <w:pPr>
              <w:spacing w:after="0"/>
              <w:rPr>
                <w:sz w:val="19"/>
                <w:szCs w:val="19"/>
                <w:color w:val="auto"/>
              </w:rPr>
            </w:pPr>
          </w:p>
        </w:tc>
        <w:tc>
          <w:tcPr>
            <w:tcW w:w="8440" w:type="dxa"/>
            <w:vAlign w:val="bottom"/>
            <w:tcBorders>
              <w:bottom w:val="single" w:sz="8" w:color="auto"/>
            </w:tcBorders>
          </w:tcPr>
          <w:p>
            <w:pPr>
              <w:spacing w:after="0"/>
              <w:rPr>
                <w:sz w:val="19"/>
                <w:szCs w:val="19"/>
                <w:color w:val="auto"/>
              </w:rPr>
            </w:pPr>
          </w:p>
        </w:tc>
      </w:tr>
      <w:tr>
        <w:trPr>
          <w:trHeight w:val="270"/>
        </w:trPr>
        <w:tc>
          <w:tcPr>
            <w:tcW w:w="2800" w:type="dxa"/>
            <w:vAlign w:val="bottom"/>
          </w:tcPr>
          <w:p>
            <w:pPr>
              <w:spacing w:after="0"/>
              <w:rPr>
                <w:sz w:val="23"/>
                <w:szCs w:val="23"/>
                <w:color w:val="auto"/>
              </w:rPr>
            </w:pPr>
          </w:p>
        </w:tc>
        <w:tc>
          <w:tcPr>
            <w:tcW w:w="8440" w:type="dxa"/>
            <w:vAlign w:val="bottom"/>
          </w:tcPr>
          <w:p>
            <w:pPr>
              <w:jc w:val="center"/>
              <w:ind w:right="2690"/>
              <w:spacing w:after="0"/>
              <w:rPr>
                <w:sz w:val="20"/>
                <w:szCs w:val="20"/>
                <w:color w:val="auto"/>
              </w:rPr>
            </w:pPr>
            <w:r>
              <w:rPr>
                <w:rFonts w:ascii="Times New Roman" w:cs="Times New Roman" w:eastAsia="Times New Roman" w:hAnsi="Times New Roman"/>
                <w:sz w:val="18"/>
                <w:szCs w:val="18"/>
                <w:b w:val="1"/>
                <w:bCs w:val="1"/>
                <w:color w:val="auto"/>
                <w:w w:val="99"/>
              </w:rPr>
              <w:t>NOTICE OF OMITTED CONFIDENTIAL INFORMATION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2001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200150"/>
                    </a:xfrm>
                    <a:prstGeom prst="rect">
                      <a:avLst/>
                    </a:prstGeom>
                    <a:noFill/>
                  </pic:spPr>
                </pic:pic>
              </a:graphicData>
            </a:graphic>
          </wp:anchor>
        </w:drawing>
      </w:r>
    </w:p>
    <w:p>
      <w:pPr>
        <w:spacing w:after="0" w:line="178" w:lineRule="exact"/>
        <w:rPr>
          <w:sz w:val="20"/>
          <w:szCs w:val="20"/>
          <w:color w:val="auto"/>
        </w:rPr>
      </w:pPr>
    </w:p>
    <w:p>
      <w:pPr>
        <w:jc w:val="both"/>
        <w:ind w:left="80" w:right="80"/>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FROM THIS PUBLICLY FILED VERSION AND FILED SEPARATELY WITH THE SECURITIES AND EXCHANGE COMMISSION PURSUANT TO A REQUEST FOR CONFIDENTIAL TREATMENT UNDER RULE 24b-2 PROMULGATED UNDER THE SECURITIES EXCHANGE ACT OF 1934, AS AMENDED.</w:t>
      </w:r>
    </w:p>
    <w:p>
      <w:pPr>
        <w:spacing w:after="0" w:line="176" w:lineRule="exact"/>
        <w:rPr>
          <w:sz w:val="20"/>
          <w:szCs w:val="20"/>
          <w:color w:val="auto"/>
        </w:rPr>
      </w:pPr>
    </w:p>
    <w:p>
      <w:pPr>
        <w:jc w:val="both"/>
        <w:ind w:left="80" w:right="80"/>
        <w:spacing w:after="0" w:line="282" w:lineRule="auto"/>
        <w:rPr>
          <w:sz w:val="20"/>
          <w:szCs w:val="20"/>
          <w:color w:val="auto"/>
        </w:rPr>
      </w:pPr>
      <w:r>
        <w:rPr>
          <w:rFonts w:ascii="Times New Roman" w:cs="Times New Roman" w:eastAsia="Times New Roman" w:hAnsi="Times New Roman"/>
          <w:sz w:val="18"/>
          <w:szCs w:val="18"/>
          <w:color w:val="auto"/>
        </w:rPr>
        <w:t>EACH PLACE IN THIS EXHIBIT FROM WHICH CONFIDENTIAL INFORMATION HAS BEEN OMITTED IS MARKED WITH THREE ASTERISKS IN BRACKETS, “[***]”, AND THE OMITTED INFORMATION HAS BEEN FILED SEPARATELY WITH THE COMMISSION.</w:t>
      </w:r>
    </w:p>
    <w:p>
      <w:pPr>
        <w:spacing w:after="0" w:line="22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Marking used in this Exhibit: </w:t>
      </w:r>
      <w:r>
        <w:rPr>
          <w:rFonts w:ascii="Times New Roman" w:cs="Times New Roman" w:eastAsia="Times New Roman" w:hAnsi="Times New Roman"/>
          <w:sz w:val="22"/>
          <w:szCs w:val="22"/>
          <w:color w:val="auto"/>
        </w:rPr>
        <w:t>[***] = Confidential portion omitted and filed separately with the Securities and Exchange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Commission pursuant to a request for confidential treatment under Rule 24b-2.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Pages containing omissions: </w:t>
      </w:r>
      <w:r>
        <w:rPr>
          <w:rFonts w:ascii="Times New Roman" w:cs="Times New Roman" w:eastAsia="Times New Roman" w:hAnsi="Times New Roman"/>
          <w:sz w:val="18"/>
          <w:szCs w:val="18"/>
          <w:color w:val="auto"/>
        </w:rPr>
        <w:t>3, 4, 5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tabs>
          <w:tab w:leader="none" w:pos="6560" w:val="left"/>
        </w:tabs>
        <w:rPr>
          <w:sz w:val="20"/>
          <w:szCs w:val="20"/>
          <w:color w:val="auto"/>
        </w:rPr>
      </w:pPr>
      <w:r>
        <w:rPr>
          <w:rFonts w:ascii="Times New Roman" w:cs="Times New Roman" w:eastAsia="Times New Roman" w:hAnsi="Times New Roman"/>
          <w:sz w:val="17"/>
          <w:szCs w:val="17"/>
          <w:b w:val="1"/>
          <w:bCs w:val="1"/>
          <w:color w:val="auto"/>
        </w:rPr>
        <w:t>CONFIDENTIAL</w:t>
      </w:r>
      <w:r>
        <w:rPr>
          <w:sz w:val="20"/>
          <w:szCs w:val="20"/>
          <w:color w:val="auto"/>
        </w:rPr>
        <w:tab/>
      </w:r>
      <w:r>
        <w:rPr>
          <w:rFonts w:ascii="Times New Roman" w:cs="Times New Roman" w:eastAsia="Times New Roman" w:hAnsi="Times New Roman"/>
          <w:sz w:val="17"/>
          <w:szCs w:val="17"/>
          <w:b w:val="1"/>
          <w:bCs w:val="1"/>
          <w:color w:val="auto"/>
        </w:rPr>
        <w:t>PAUL, WEISS, RIFKIND, WHARTON &amp; GARRISON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 2.0 — CO-INVESTMENT PARTNERSHIP</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Summary of Proposed Terms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October 26, 2026</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This term sheet is non-binding and is intended solely for discussion purposes. It does not constitute a commitment to invest, an obligation to negotiate definitive agreements, or a binding agreement of any kind. The terms set out herein are subject to completion of due diligence, negotiation and execution of mutually satisfactory definitive documentation, and receipt of all applicable regulatory approvals. Notwithstanding the foregoing, this paragraph and the section below labeled “Binding Provisions” shall be binding on the parties hereto.</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1000" w:type="dxa"/>
            <w:vAlign w:val="bottom"/>
            <w:tcBorders>
              <w:bottom w:val="single" w:sz="8" w:color="auto"/>
            </w:tcBorders>
          </w:tcPr>
          <w:p>
            <w:pPr>
              <w:spacing w:after="0"/>
              <w:rPr>
                <w:sz w:val="21"/>
                <w:szCs w:val="21"/>
                <w:color w:val="auto"/>
              </w:rPr>
            </w:pPr>
          </w:p>
        </w:tc>
        <w:tc>
          <w:tcPr>
            <w:tcW w:w="7240" w:type="dxa"/>
            <w:vAlign w:val="bottom"/>
            <w:tcBorders>
              <w:bottom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SUMMARY</w:t>
            </w:r>
          </w:p>
        </w:tc>
      </w:tr>
      <w:tr>
        <w:trPr>
          <w:trHeight w:val="432"/>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1000" w:type="dxa"/>
            <w:vAlign w:val="bottom"/>
          </w:tcPr>
          <w:p>
            <w:pPr>
              <w:spacing w:after="0"/>
              <w:rPr>
                <w:sz w:val="24"/>
                <w:szCs w:val="24"/>
                <w:color w:val="auto"/>
              </w:rPr>
            </w:pPr>
          </w:p>
        </w:tc>
        <w:tc>
          <w:tcPr>
            <w:tcW w:w="7240" w:type="dxa"/>
            <w:vAlign w:val="bottom"/>
          </w:tcPr>
          <w:p>
            <w:pPr>
              <w:spacing w:after="0"/>
              <w:rPr>
                <w:sz w:val="24"/>
                <w:szCs w:val="24"/>
                <w:color w:val="auto"/>
              </w:rPr>
            </w:pPr>
          </w:p>
        </w:tc>
      </w:tr>
      <w:tr>
        <w:trPr>
          <w:trHeight w:val="432"/>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8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Dine Brands Global, Inc. (NYSE: DIN) (the "</w:t>
            </w:r>
            <w:r>
              <w:rPr>
                <w:rFonts w:ascii="Times New Roman" w:cs="Times New Roman" w:eastAsia="Times New Roman" w:hAnsi="Times New Roman"/>
                <w:sz w:val="18"/>
                <w:szCs w:val="18"/>
                <w:b w:val="1"/>
                <w:bCs w:val="1"/>
                <w:color w:val="auto"/>
              </w:rPr>
              <w:t>Target</w:t>
            </w:r>
            <w:r>
              <w:rPr>
                <w:rFonts w:ascii="Times New Roman" w:cs="Times New Roman" w:eastAsia="Times New Roman" w:hAnsi="Times New Roman"/>
                <w:sz w:val="18"/>
                <w:szCs w:val="18"/>
                <w:color w:val="auto"/>
              </w:rPr>
              <w:t>")</w:t>
            </w:r>
          </w:p>
        </w:tc>
      </w:tr>
      <w:tr>
        <w:trPr>
          <w:trHeight w:val="410"/>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Strategy</w:t>
            </w:r>
          </w:p>
        </w:tc>
        <w:tc>
          <w:tcPr>
            <w:tcW w:w="8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Accumulation of publicly traded shares of the Target (the “</w:t>
            </w:r>
            <w:r>
              <w:rPr>
                <w:rFonts w:ascii="Times New Roman" w:cs="Times New Roman" w:eastAsia="Times New Roman" w:hAnsi="Times New Roman"/>
                <w:sz w:val="18"/>
                <w:szCs w:val="18"/>
                <w:b w:val="1"/>
                <w:bCs w:val="1"/>
                <w:color w:val="auto"/>
              </w:rPr>
              <w:t>Initial Share Accumulation</w:t>
            </w:r>
            <w:r>
              <w:rPr>
                <w:rFonts w:ascii="Times New Roman" w:cs="Times New Roman" w:eastAsia="Times New Roman" w:hAnsi="Times New Roman"/>
                <w:sz w:val="18"/>
                <w:szCs w:val="18"/>
                <w:color w:val="auto"/>
              </w:rPr>
              <w:t>”) followed by a take-</w:t>
            </w:r>
          </w:p>
        </w:tc>
      </w:tr>
      <w:tr>
        <w:trPr>
          <w:trHeight w:val="238"/>
        </w:trPr>
        <w:tc>
          <w:tcPr>
            <w:tcW w:w="3000" w:type="dxa"/>
            <w:vAlign w:val="bottom"/>
          </w:tcPr>
          <w:p>
            <w:pPr>
              <w:spacing w:after="0"/>
              <w:rPr>
                <w:sz w:val="20"/>
                <w:szCs w:val="20"/>
                <w:color w:val="auto"/>
              </w:rPr>
            </w:pPr>
          </w:p>
        </w:tc>
        <w:tc>
          <w:tcPr>
            <w:tcW w:w="8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private of the Target (the </w:t>
            </w:r>
            <w:r>
              <w:rPr>
                <w:rFonts w:ascii="Times New Roman" w:cs="Times New Roman" w:eastAsia="Times New Roman" w:hAnsi="Times New Roman"/>
                <w:sz w:val="18"/>
                <w:szCs w:val="18"/>
                <w:b w:val="1"/>
                <w:bCs w:val="1"/>
                <w:color w:val="auto"/>
              </w:rPr>
              <w:t>"Take-Private"</w:t>
            </w:r>
            <w:r>
              <w:rPr>
                <w:rFonts w:ascii="Times New Roman" w:cs="Times New Roman" w:eastAsia="Times New Roman" w:hAnsi="Times New Roman"/>
                <w:sz w:val="18"/>
                <w:szCs w:val="18"/>
                <w:color w:val="auto"/>
              </w:rPr>
              <w:t>).</w:t>
            </w:r>
          </w:p>
        </w:tc>
      </w:tr>
      <w:tr>
        <w:trPr>
          <w:trHeight w:val="432"/>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PARTIES</w:t>
            </w:r>
          </w:p>
        </w:tc>
        <w:tc>
          <w:tcPr>
            <w:tcW w:w="1000" w:type="dxa"/>
            <w:vAlign w:val="bottom"/>
          </w:tcPr>
          <w:p>
            <w:pPr>
              <w:spacing w:after="0"/>
              <w:rPr>
                <w:sz w:val="24"/>
                <w:szCs w:val="24"/>
                <w:color w:val="auto"/>
              </w:rPr>
            </w:pPr>
          </w:p>
        </w:tc>
        <w:tc>
          <w:tcPr>
            <w:tcW w:w="7240" w:type="dxa"/>
            <w:vAlign w:val="bottom"/>
          </w:tcPr>
          <w:p>
            <w:pPr>
              <w:spacing w:after="0"/>
              <w:rPr>
                <w:sz w:val="24"/>
                <w:szCs w:val="24"/>
                <w:color w:val="auto"/>
              </w:rPr>
            </w:pPr>
          </w:p>
        </w:tc>
      </w:tr>
      <w:tr>
        <w:trPr>
          <w:trHeight w:val="432"/>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Cobblers Cove</w:t>
            </w:r>
          </w:p>
        </w:tc>
        <w:tc>
          <w:tcPr>
            <w:tcW w:w="8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Cobblers Cove Capital LP (together with its affiliated investment vehicles, </w:t>
            </w:r>
            <w:r>
              <w:rPr>
                <w:rFonts w:ascii="Times New Roman" w:cs="Times New Roman" w:eastAsia="Times New Roman" w:hAnsi="Times New Roman"/>
                <w:sz w:val="18"/>
                <w:szCs w:val="18"/>
                <w:b w:val="1"/>
                <w:bCs w:val="1"/>
                <w:color w:val="auto"/>
              </w:rPr>
              <w:t>"Cobblers Cove"</w:t>
            </w:r>
            <w:r>
              <w:rPr>
                <w:rFonts w:ascii="Times New Roman" w:cs="Times New Roman" w:eastAsia="Times New Roman" w:hAnsi="Times New Roman"/>
                <w:sz w:val="18"/>
                <w:szCs w:val="18"/>
                <w:color w:val="auto"/>
              </w:rPr>
              <w:t>).</w:t>
            </w:r>
          </w:p>
        </w:tc>
      </w:tr>
      <w:tr>
        <w:trPr>
          <w:trHeight w:val="432"/>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Arkhouse</w:t>
            </w:r>
          </w:p>
        </w:tc>
        <w:tc>
          <w:tcPr>
            <w:tcW w:w="8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Arkhouse Management Co. LP (together with its affiliated investment vehicles, </w:t>
            </w:r>
            <w:r>
              <w:rPr>
                <w:rFonts w:ascii="Times New Roman" w:cs="Times New Roman" w:eastAsia="Times New Roman" w:hAnsi="Times New Roman"/>
                <w:sz w:val="18"/>
                <w:szCs w:val="18"/>
                <w:b w:val="1"/>
                <w:bCs w:val="1"/>
                <w:color w:val="auto"/>
              </w:rPr>
              <w:t>"Arkhouse"</w:t>
            </w:r>
            <w:r>
              <w:rPr>
                <w:rFonts w:ascii="Times New Roman" w:cs="Times New Roman" w:eastAsia="Times New Roman" w:hAnsi="Times New Roman"/>
                <w:sz w:val="18"/>
                <w:szCs w:val="18"/>
                <w:color w:val="auto"/>
              </w:rPr>
              <w:t>).</w:t>
            </w:r>
          </w:p>
        </w:tc>
      </w:tr>
      <w:tr>
        <w:trPr>
          <w:trHeight w:val="432"/>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INITIAL SHARE ACCUMULATION</w:t>
            </w:r>
          </w:p>
        </w:tc>
        <w:tc>
          <w:tcPr>
            <w:tcW w:w="1000" w:type="dxa"/>
            <w:vAlign w:val="bottom"/>
          </w:tcPr>
          <w:p>
            <w:pPr>
              <w:spacing w:after="0"/>
              <w:rPr>
                <w:sz w:val="24"/>
                <w:szCs w:val="24"/>
                <w:color w:val="auto"/>
              </w:rPr>
            </w:pPr>
          </w:p>
        </w:tc>
        <w:tc>
          <w:tcPr>
            <w:tcW w:w="7240" w:type="dxa"/>
            <w:vAlign w:val="bottom"/>
          </w:tcPr>
          <w:p>
            <w:pPr>
              <w:spacing w:after="0"/>
              <w:rPr>
                <w:sz w:val="24"/>
                <w:szCs w:val="24"/>
                <w:color w:val="auto"/>
              </w:rPr>
            </w:pPr>
          </w:p>
        </w:tc>
      </w:tr>
      <w:tr>
        <w:trPr>
          <w:trHeight w:val="414"/>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Initial Share Accumulation</w:t>
            </w:r>
          </w:p>
        </w:tc>
        <w:tc>
          <w:tcPr>
            <w:tcW w:w="8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Arkhouse, through a Fund (the “</w:t>
            </w:r>
            <w:r>
              <w:rPr>
                <w:rFonts w:ascii="Times New Roman" w:cs="Times New Roman" w:eastAsia="Times New Roman" w:hAnsi="Times New Roman"/>
                <w:sz w:val="18"/>
                <w:szCs w:val="18"/>
                <w:b w:val="1"/>
                <w:bCs w:val="1"/>
                <w:color w:val="auto"/>
              </w:rPr>
              <w:t>Arkhouse Fund</w:t>
            </w:r>
            <w:r>
              <w:rPr>
                <w:rFonts w:ascii="Times New Roman" w:cs="Times New Roman" w:eastAsia="Times New Roman" w:hAnsi="Times New Roman"/>
                <w:sz w:val="18"/>
                <w:szCs w:val="18"/>
                <w:color w:val="auto"/>
              </w:rPr>
              <w:t>”), has acquired and may continue to acquire shares of the</w:t>
            </w:r>
          </w:p>
        </w:tc>
      </w:tr>
      <w:tr>
        <w:trPr>
          <w:trHeight w:val="234"/>
        </w:trPr>
        <w:tc>
          <w:tcPr>
            <w:tcW w:w="3000" w:type="dxa"/>
            <w:vAlign w:val="bottom"/>
          </w:tcPr>
          <w:p>
            <w:pPr>
              <w:spacing w:after="0"/>
              <w:rPr>
                <w:sz w:val="20"/>
                <w:szCs w:val="20"/>
                <w:color w:val="auto"/>
              </w:rPr>
            </w:pPr>
          </w:p>
        </w:tc>
        <w:tc>
          <w:tcPr>
            <w:tcW w:w="8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Target via open market purchases.</w:t>
            </w:r>
          </w:p>
        </w:tc>
      </w:tr>
      <w:tr>
        <w:trPr>
          <w:trHeight w:val="414"/>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Base Economic Split</w:t>
            </w:r>
          </w:p>
        </w:tc>
        <w:tc>
          <w:tcPr>
            <w:tcW w:w="8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 xml:space="preserve">[***]% Arkhouse / [***]% Cobblers Cove. </w:t>
            </w:r>
            <w:r>
              <w:rPr>
                <w:rFonts w:ascii="Times New Roman" w:cs="Times New Roman" w:eastAsia="Times New Roman" w:hAnsi="Times New Roman"/>
                <w:sz w:val="18"/>
                <w:szCs w:val="18"/>
                <w:color w:val="auto"/>
                <w:w w:val="99"/>
              </w:rPr>
              <w:t>Applies to any fees (including carried interest) paid to Arkhouse in</w:t>
            </w:r>
          </w:p>
        </w:tc>
      </w:tr>
      <w:tr>
        <w:trPr>
          <w:trHeight w:val="216"/>
        </w:trPr>
        <w:tc>
          <w:tcPr>
            <w:tcW w:w="3000" w:type="dxa"/>
            <w:vAlign w:val="bottom"/>
          </w:tcPr>
          <w:p>
            <w:pPr>
              <w:spacing w:after="0"/>
              <w:rPr>
                <w:sz w:val="18"/>
                <w:szCs w:val="18"/>
                <w:color w:val="auto"/>
              </w:rPr>
            </w:pPr>
          </w:p>
        </w:tc>
        <w:tc>
          <w:tcPr>
            <w:tcW w:w="8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respect of the shares of Target held through the Arkhouse Fund if Cobblers Cove does not make or support a</w:t>
            </w:r>
          </w:p>
        </w:tc>
      </w:tr>
      <w:tr>
        <w:trPr>
          <w:trHeight w:val="234"/>
        </w:trPr>
        <w:tc>
          <w:tcPr>
            <w:tcW w:w="3000" w:type="dxa"/>
            <w:vAlign w:val="bottom"/>
          </w:tcPr>
          <w:p>
            <w:pPr>
              <w:spacing w:after="0"/>
              <w:rPr>
                <w:sz w:val="20"/>
                <w:szCs w:val="20"/>
                <w:color w:val="auto"/>
              </w:rPr>
            </w:pPr>
          </w:p>
        </w:tc>
        <w:tc>
          <w:tcPr>
            <w:tcW w:w="8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proposal to the Target for the Take-Private.</w:t>
            </w:r>
          </w:p>
        </w:tc>
      </w:tr>
      <w:tr>
        <w:trPr>
          <w:trHeight w:val="410"/>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Split (Take-Private</w:t>
            </w:r>
          </w:p>
        </w:tc>
        <w:tc>
          <w:tcPr>
            <w:tcW w:w="8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 Arkhouse / [***]% Cobblers Cove. </w:t>
            </w:r>
            <w:r>
              <w:rPr>
                <w:rFonts w:ascii="Times New Roman" w:cs="Times New Roman" w:eastAsia="Times New Roman" w:hAnsi="Times New Roman"/>
                <w:sz w:val="18"/>
                <w:szCs w:val="18"/>
                <w:color w:val="auto"/>
              </w:rPr>
              <w:t>Applies to any fees (including carried interest) paid or payable to</w:t>
            </w:r>
          </w:p>
        </w:tc>
      </w:tr>
      <w:tr>
        <w:trPr>
          <w:trHeight w:val="220"/>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Made)</w:t>
            </w:r>
          </w:p>
        </w:tc>
        <w:tc>
          <w:tcPr>
            <w:tcW w:w="8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Arkhouse in respect of the shares of Target held through the Arkhouse Fund if Cobblers Cove makes or supports</w:t>
            </w:r>
          </w:p>
        </w:tc>
      </w:tr>
      <w:tr>
        <w:trPr>
          <w:trHeight w:val="234"/>
        </w:trPr>
        <w:tc>
          <w:tcPr>
            <w:tcW w:w="3000" w:type="dxa"/>
            <w:vAlign w:val="bottom"/>
          </w:tcPr>
          <w:p>
            <w:pPr>
              <w:spacing w:after="0"/>
              <w:rPr>
                <w:sz w:val="20"/>
                <w:szCs w:val="20"/>
                <w:color w:val="auto"/>
              </w:rPr>
            </w:pPr>
          </w:p>
        </w:tc>
        <w:tc>
          <w:tcPr>
            <w:tcW w:w="8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 proposal to the Target for the Take-Private with such amounts</w:t>
            </w:r>
          </w:p>
        </w:tc>
      </w:tr>
      <w:tr>
        <w:trPr>
          <w:trHeight w:val="432"/>
        </w:trPr>
        <w:tc>
          <w:tcPr>
            <w:tcW w:w="1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GOVERNANCE &amp; CONTROL — TAKE-PRIVATE PROPOSAL</w:t>
            </w:r>
          </w:p>
        </w:tc>
      </w:tr>
      <w:tr>
        <w:trPr>
          <w:trHeight w:val="414"/>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Decision Authority</w:t>
            </w:r>
          </w:p>
        </w:tc>
        <w:tc>
          <w:tcPr>
            <w:tcW w:w="8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The following matters relating to the Take-Private shall require the mutual agreement of Cobblers Cove and</w:t>
            </w:r>
          </w:p>
        </w:tc>
      </w:tr>
      <w:tr>
        <w:trPr>
          <w:trHeight w:val="234"/>
        </w:trPr>
        <w:tc>
          <w:tcPr>
            <w:tcW w:w="3000" w:type="dxa"/>
            <w:vAlign w:val="bottom"/>
          </w:tcPr>
          <w:p>
            <w:pPr>
              <w:spacing w:after="0"/>
              <w:rPr>
                <w:sz w:val="20"/>
                <w:szCs w:val="20"/>
                <w:color w:val="auto"/>
              </w:rPr>
            </w:pP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Arkhouse:</w:t>
            </w:r>
          </w:p>
        </w:tc>
        <w:tc>
          <w:tcPr>
            <w:tcW w:w="724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10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w:t>
            </w:r>
          </w:p>
        </w:tc>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determination and announcement of any offer price;</w:t>
            </w:r>
          </w:p>
        </w:tc>
      </w:tr>
      <w:tr>
        <w:trPr>
          <w:trHeight w:val="432"/>
        </w:trPr>
        <w:tc>
          <w:tcPr>
            <w:tcW w:w="3000" w:type="dxa"/>
            <w:vAlign w:val="bottom"/>
          </w:tcPr>
          <w:p>
            <w:pPr>
              <w:spacing w:after="0"/>
              <w:rPr>
                <w:sz w:val="24"/>
                <w:szCs w:val="24"/>
                <w:color w:val="auto"/>
              </w:rPr>
            </w:pPr>
          </w:p>
        </w:tc>
        <w:tc>
          <w:tcPr>
            <w:tcW w:w="10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(ii)</w:t>
            </w:r>
          </w:p>
        </w:tc>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selection of advisors and financing arrangements;</w:t>
            </w:r>
          </w:p>
        </w:tc>
      </w:tr>
      <w:tr>
        <w:trPr>
          <w:trHeight w:val="432"/>
        </w:trPr>
        <w:tc>
          <w:tcPr>
            <w:tcW w:w="3000" w:type="dxa"/>
            <w:vAlign w:val="bottom"/>
          </w:tcPr>
          <w:p>
            <w:pPr>
              <w:spacing w:after="0"/>
              <w:rPr>
                <w:sz w:val="24"/>
                <w:szCs w:val="24"/>
                <w:color w:val="auto"/>
              </w:rPr>
            </w:pPr>
          </w:p>
        </w:tc>
        <w:tc>
          <w:tcPr>
            <w:tcW w:w="82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(iii)   engagement with the Target’s board and management.</w:t>
            </w:r>
          </w:p>
        </w:tc>
      </w:tr>
    </w:tbl>
    <w:p>
      <w:pPr>
        <w:spacing w:after="0" w:line="198" w:lineRule="exact"/>
        <w:rPr>
          <w:sz w:val="20"/>
          <w:szCs w:val="20"/>
          <w:color w:val="auto"/>
        </w:rPr>
      </w:pPr>
    </w:p>
    <w:p>
      <w:pPr>
        <w:jc w:val="both"/>
        <w:ind w:left="3060"/>
        <w:spacing w:after="0" w:line="266" w:lineRule="auto"/>
        <w:rPr>
          <w:sz w:val="20"/>
          <w:szCs w:val="20"/>
          <w:color w:val="auto"/>
        </w:rPr>
      </w:pPr>
      <w:r>
        <w:rPr>
          <w:rFonts w:ascii="Times New Roman" w:cs="Times New Roman" w:eastAsia="Times New Roman" w:hAnsi="Times New Roman"/>
          <w:sz w:val="18"/>
          <w:szCs w:val="18"/>
          <w:color w:val="auto"/>
        </w:rPr>
        <w:t>Cobblers Cove shall have decision-making authority with respect to the structuring and terms of the definitive Take-Private documentation, after consulting with Arkhouse in good faith. Arkhouse shall receive copies of transaction documents in connection with the Take-Private.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45"/>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CONFIDENTIAL</w:t>
            </w:r>
          </w:p>
        </w:tc>
        <w:tc>
          <w:tcPr>
            <w:tcW w:w="220" w:type="dxa"/>
            <w:vAlign w:val="bottom"/>
            <w:tcBorders>
              <w:bottom w:val="single" w:sz="8" w:color="auto"/>
            </w:tcBorders>
          </w:tcPr>
          <w:p>
            <w:pPr>
              <w:spacing w:after="0"/>
              <w:rPr>
                <w:sz w:val="21"/>
                <w:szCs w:val="21"/>
                <w:color w:val="auto"/>
              </w:rPr>
            </w:pPr>
          </w:p>
        </w:tc>
        <w:tc>
          <w:tcPr>
            <w:tcW w:w="8200" w:type="dxa"/>
            <w:vAlign w:val="bottom"/>
            <w:tcBorders>
              <w:bottom w:val="single" w:sz="8" w:color="auto"/>
            </w:tcBorders>
          </w:tcPr>
          <w:p>
            <w:pPr>
              <w:ind w:left="3540"/>
              <w:spacing w:after="0"/>
              <w:rPr>
                <w:sz w:val="20"/>
                <w:szCs w:val="20"/>
                <w:color w:val="auto"/>
              </w:rPr>
            </w:pPr>
            <w:r>
              <w:rPr>
                <w:rFonts w:ascii="Times New Roman" w:cs="Times New Roman" w:eastAsia="Times New Roman" w:hAnsi="Times New Roman"/>
                <w:sz w:val="18"/>
                <w:szCs w:val="18"/>
                <w:b w:val="1"/>
                <w:bCs w:val="1"/>
                <w:color w:val="auto"/>
                <w:w w:val="99"/>
              </w:rPr>
              <w:t>PAUL, WEISS, RIFKIND, WHARTON &amp; GARRISON LLP</w:t>
            </w:r>
          </w:p>
        </w:tc>
        <w:tc>
          <w:tcPr>
            <w:tcW w:w="20" w:type="dxa"/>
            <w:vAlign w:val="bottom"/>
          </w:tcPr>
          <w:p>
            <w:pPr>
              <w:spacing w:after="0"/>
              <w:rPr>
                <w:sz w:val="21"/>
                <w:szCs w:val="21"/>
                <w:color w:val="auto"/>
              </w:rPr>
            </w:pPr>
          </w:p>
        </w:tc>
      </w:tr>
      <w:tr>
        <w:trPr>
          <w:trHeight w:val="655"/>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220" w:type="dxa"/>
            <w:vAlign w:val="bottom"/>
          </w:tcPr>
          <w:p>
            <w:pPr>
              <w:spacing w:after="0"/>
              <w:rPr>
                <w:sz w:val="24"/>
                <w:szCs w:val="24"/>
                <w:color w:val="auto"/>
              </w:rPr>
            </w:pPr>
          </w:p>
        </w:tc>
        <w:tc>
          <w:tcPr>
            <w:tcW w:w="8220" w:type="dxa"/>
            <w:vAlign w:val="bottom"/>
            <w:gridSpan w:val="2"/>
          </w:tcPr>
          <w:p>
            <w:pPr>
              <w:ind w:left="3620"/>
              <w:spacing w:after="0"/>
              <w:rPr>
                <w:sz w:val="20"/>
                <w:szCs w:val="20"/>
                <w:color w:val="auto"/>
              </w:rPr>
            </w:pPr>
            <w:r>
              <w:rPr>
                <w:rFonts w:ascii="Times New Roman" w:cs="Times New Roman" w:eastAsia="Times New Roman" w:hAnsi="Times New Roman"/>
                <w:sz w:val="18"/>
                <w:szCs w:val="18"/>
                <w:b w:val="1"/>
                <w:bCs w:val="1"/>
                <w:color w:val="auto"/>
              </w:rPr>
              <w:t>SUMMARY</w:t>
            </w:r>
          </w:p>
        </w:tc>
      </w:tr>
      <w:tr>
        <w:trPr>
          <w:trHeight w:val="198"/>
        </w:trPr>
        <w:tc>
          <w:tcPr>
            <w:tcW w:w="2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2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If the parties are unable to agree on any of the matters described in clauses (i) through (iii) above, either party</w:t>
            </w:r>
          </w:p>
        </w:tc>
        <w:tc>
          <w:tcPr>
            <w:tcW w:w="20" w:type="dxa"/>
            <w:vAlign w:val="bottom"/>
          </w:tcPr>
          <w:p>
            <w:pPr>
              <w:spacing w:after="0"/>
              <w:rPr>
                <w:sz w:val="17"/>
                <w:szCs w:val="17"/>
                <w:color w:val="auto"/>
              </w:rPr>
            </w:pPr>
          </w:p>
        </w:tc>
      </w:tr>
      <w:tr>
        <w:trPr>
          <w:trHeight w:val="216"/>
        </w:trPr>
        <w:tc>
          <w:tcPr>
            <w:tcW w:w="282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may proceed with its proposed approach (including the making of a proposal to the Target or a public offer)</w:t>
            </w:r>
          </w:p>
        </w:tc>
      </w:tr>
      <w:tr>
        <w:trPr>
          <w:trHeight w:val="216"/>
        </w:trPr>
        <w:tc>
          <w:tcPr>
            <w:tcW w:w="282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without the other party, and the other party shall have no obligation to participate in or fund the Take-Private on</w:t>
            </w:r>
          </w:p>
        </w:tc>
      </w:tr>
      <w:tr>
        <w:trPr>
          <w:trHeight w:val="234"/>
        </w:trPr>
        <w:tc>
          <w:tcPr>
            <w:tcW w:w="2820" w:type="dxa"/>
            <w:vAlign w:val="bottom"/>
          </w:tcPr>
          <w:p>
            <w:pPr>
              <w:spacing w:after="0"/>
              <w:rPr>
                <w:sz w:val="20"/>
                <w:szCs w:val="20"/>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such terms.</w:t>
            </w:r>
          </w:p>
        </w:tc>
      </w:tr>
      <w:tr>
        <w:trPr>
          <w:trHeight w:val="414"/>
        </w:trPr>
        <w:tc>
          <w:tcPr>
            <w:tcW w:w="2820" w:type="dxa"/>
            <w:vAlign w:val="bottom"/>
          </w:tcPr>
          <w:p>
            <w:pPr>
              <w:spacing w:after="0"/>
              <w:rPr>
                <w:sz w:val="24"/>
                <w:szCs w:val="24"/>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Notwithstanding the foregoing, upon submission of an offer or proposal to the Target jointly approved by</w:t>
            </w:r>
          </w:p>
        </w:tc>
      </w:tr>
      <w:tr>
        <w:trPr>
          <w:trHeight w:val="216"/>
        </w:trPr>
        <w:tc>
          <w:tcPr>
            <w:tcW w:w="282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Cobblers Cove and Arkhouse, the parties shall work exclusively with each other in pursuing the Take-Private.</w:t>
            </w:r>
          </w:p>
        </w:tc>
      </w:tr>
      <w:tr>
        <w:trPr>
          <w:trHeight w:val="216"/>
        </w:trPr>
        <w:tc>
          <w:tcPr>
            <w:tcW w:w="282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Neither party shall, directly or indirectly, alone or with any third party, pursue, propose, participate in or finance</w:t>
            </w:r>
          </w:p>
        </w:tc>
      </w:tr>
      <w:tr>
        <w:trPr>
          <w:trHeight w:val="216"/>
        </w:trPr>
        <w:tc>
          <w:tcPr>
            <w:tcW w:w="282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an acquisition of the Target other than jointly with the other party. These obligations shall remain in effect until</w:t>
            </w:r>
          </w:p>
        </w:tc>
      </w:tr>
      <w:tr>
        <w:trPr>
          <w:trHeight w:val="216"/>
        </w:trPr>
        <w:tc>
          <w:tcPr>
            <w:tcW w:w="282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consummation of the Take-Private or the parties’ mutual written agreement to terminate such exclusivity,</w:t>
            </w:r>
          </w:p>
        </w:tc>
      </w:tr>
      <w:tr>
        <w:trPr>
          <w:trHeight w:val="234"/>
        </w:trPr>
        <w:tc>
          <w:tcPr>
            <w:tcW w:w="2820" w:type="dxa"/>
            <w:vAlign w:val="bottom"/>
          </w:tcPr>
          <w:p>
            <w:pPr>
              <w:spacing w:after="0"/>
              <w:rPr>
                <w:sz w:val="20"/>
                <w:szCs w:val="20"/>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notwithstanding any subsequent disagreement between the parties or withdrawal of the offer or proposal.</w:t>
            </w:r>
          </w:p>
        </w:tc>
      </w:tr>
      <w:tr>
        <w:trPr>
          <w:trHeight w:val="432"/>
        </w:trPr>
        <w:tc>
          <w:tcPr>
            <w:tcW w:w="11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ECONOMICS — POST-TAKE-PRIVATE</w:t>
            </w:r>
          </w:p>
        </w:tc>
      </w:tr>
      <w:tr>
        <w:trPr>
          <w:trHeight w:val="410"/>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Economic Split;</w:t>
            </w: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xml:space="preserve">Immediately following the closing of the Take-Private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the common equity of the Target as a</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Capitalization</w:t>
            </w: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xml:space="preserve">private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will be held </w:t>
            </w:r>
            <w:r>
              <w:rPr>
                <w:rFonts w:ascii="Times New Roman" w:cs="Times New Roman" w:eastAsia="Times New Roman" w:hAnsi="Times New Roman"/>
                <w:sz w:val="18"/>
                <w:szCs w:val="18"/>
                <w:b w:val="1"/>
                <w:bCs w:val="1"/>
                <w:color w:val="auto"/>
              </w:rPr>
              <w:t>[***]% by Cobblers Cove / [***]% by Arkhouse</w:t>
            </w:r>
            <w:r>
              <w:rPr>
                <w:rFonts w:ascii="Times New Roman" w:cs="Times New Roman" w:eastAsia="Times New Roman" w:hAnsi="Times New Roman"/>
                <w:sz w:val="18"/>
                <w:szCs w:val="18"/>
                <w:color w:val="auto"/>
              </w:rPr>
              <w:t xml:space="preserve"> (such</w:t>
            </w:r>
          </w:p>
        </w:tc>
      </w:tr>
      <w:tr>
        <w:trPr>
          <w:trHeight w:val="220"/>
        </w:trPr>
        <w:tc>
          <w:tcPr>
            <w:tcW w:w="2820" w:type="dxa"/>
            <w:vAlign w:val="bottom"/>
          </w:tcPr>
          <w:p>
            <w:pPr>
              <w:spacing w:after="0"/>
              <w:rPr>
                <w:sz w:val="19"/>
                <w:szCs w:val="19"/>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party’s respective percentage, its “</w:t>
            </w:r>
            <w:r>
              <w:rPr>
                <w:rFonts w:ascii="Times New Roman" w:cs="Times New Roman" w:eastAsia="Times New Roman" w:hAnsi="Times New Roman"/>
                <w:sz w:val="18"/>
                <w:szCs w:val="18"/>
                <w:b w:val="1"/>
                <w:bCs w:val="1"/>
                <w:color w:val="auto"/>
              </w:rPr>
              <w:t>Committed Percentage</w:t>
            </w:r>
            <w:r>
              <w:rPr>
                <w:rFonts w:ascii="Times New Roman" w:cs="Times New Roman" w:eastAsia="Times New Roman" w:hAnsi="Times New Roman"/>
                <w:sz w:val="18"/>
                <w:szCs w:val="18"/>
                <w:color w:val="auto"/>
              </w:rPr>
              <w:t>”), on the basis that each party funds its Committed</w:t>
            </w:r>
          </w:p>
        </w:tc>
      </w:tr>
      <w:tr>
        <w:trPr>
          <w:trHeight w:val="216"/>
        </w:trPr>
        <w:tc>
          <w:tcPr>
            <w:tcW w:w="282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Percentage of the equity capital required for the Take-Private, inclusive of the Initial Share Accumulation to the</w:t>
            </w:r>
          </w:p>
        </w:tc>
      </w:tr>
      <w:tr>
        <w:trPr>
          <w:trHeight w:val="234"/>
        </w:trPr>
        <w:tc>
          <w:tcPr>
            <w:tcW w:w="2820" w:type="dxa"/>
            <w:vAlign w:val="bottom"/>
          </w:tcPr>
          <w:p>
            <w:pPr>
              <w:spacing w:after="0"/>
              <w:rPr>
                <w:sz w:val="20"/>
                <w:szCs w:val="20"/>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extent rolled over and valued at its fair market value at the time of the Take-Private.</w:t>
            </w:r>
          </w:p>
        </w:tc>
      </w:tr>
      <w:tr>
        <w:trPr>
          <w:trHeight w:val="410"/>
        </w:trPr>
        <w:tc>
          <w:tcPr>
            <w:tcW w:w="2820" w:type="dxa"/>
            <w:vAlign w:val="bottom"/>
          </w:tcPr>
          <w:p>
            <w:pPr>
              <w:spacing w:after="0"/>
              <w:rPr>
                <w:sz w:val="24"/>
                <w:szCs w:val="24"/>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foregoing percentages are subject to adjustment upon any subsequent capital contributions, issuances, or</w:t>
            </w:r>
          </w:p>
        </w:tc>
      </w:tr>
      <w:tr>
        <w:trPr>
          <w:trHeight w:val="238"/>
        </w:trPr>
        <w:tc>
          <w:tcPr>
            <w:tcW w:w="2820" w:type="dxa"/>
            <w:vAlign w:val="bottom"/>
          </w:tcPr>
          <w:p>
            <w:pPr>
              <w:spacing w:after="0"/>
              <w:rPr>
                <w:sz w:val="20"/>
                <w:szCs w:val="20"/>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xml:space="preserve">other events as provided in the definitive governance agreement for the Company (the </w:t>
            </w:r>
            <w:r>
              <w:rPr>
                <w:rFonts w:ascii="Times New Roman" w:cs="Times New Roman" w:eastAsia="Times New Roman" w:hAnsi="Times New Roman"/>
                <w:sz w:val="18"/>
                <w:szCs w:val="18"/>
                <w:b w:val="1"/>
                <w:bCs w:val="1"/>
                <w:color w:val="auto"/>
              </w:rPr>
              <w:t>"Definitive Agreement"</w:t>
            </w:r>
            <w:r>
              <w:rPr>
                <w:rFonts w:ascii="Times New Roman" w:cs="Times New Roman" w:eastAsia="Times New Roman" w:hAnsi="Times New Roman"/>
                <w:sz w:val="18"/>
                <w:szCs w:val="18"/>
                <w:color w:val="auto"/>
              </w:rPr>
              <w:t>).</w:t>
            </w:r>
          </w:p>
        </w:tc>
      </w:tr>
      <w:tr>
        <w:trPr>
          <w:trHeight w:val="410"/>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 Confirmation</w:t>
            </w: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Not later than 15 business days prior to the submission of any definitive proposal for the Take-Private, Cobblers</w:t>
            </w:r>
          </w:p>
        </w:tc>
      </w:tr>
      <w:tr>
        <w:trPr>
          <w:trHeight w:val="216"/>
        </w:trPr>
        <w:tc>
          <w:tcPr>
            <w:tcW w:w="282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Cove shall deliver to Arkhouse a written notice (the “</w:t>
            </w:r>
            <w:r>
              <w:rPr>
                <w:rFonts w:ascii="Times New Roman" w:cs="Times New Roman" w:eastAsia="Times New Roman" w:hAnsi="Times New Roman"/>
                <w:sz w:val="18"/>
                <w:szCs w:val="18"/>
                <w:b w:val="1"/>
                <w:bCs w:val="1"/>
                <w:color w:val="auto"/>
              </w:rPr>
              <w:t>Funding Notice</w:t>
            </w:r>
            <w:r>
              <w:rPr>
                <w:rFonts w:ascii="Times New Roman" w:cs="Times New Roman" w:eastAsia="Times New Roman" w:hAnsi="Times New Roman"/>
                <w:sz w:val="18"/>
                <w:szCs w:val="18"/>
                <w:color w:val="auto"/>
              </w:rPr>
              <w:t>”) setting forth its good-faith estimate of</w:t>
            </w:r>
          </w:p>
        </w:tc>
      </w:tr>
      <w:tr>
        <w:trPr>
          <w:trHeight w:val="216"/>
        </w:trPr>
        <w:tc>
          <w:tcPr>
            <w:tcW w:w="282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aggregate equity capital required to fund the Take-Private (the “</w:t>
            </w:r>
            <w:r>
              <w:rPr>
                <w:rFonts w:ascii="Times New Roman" w:cs="Times New Roman" w:eastAsia="Times New Roman" w:hAnsi="Times New Roman"/>
                <w:sz w:val="18"/>
                <w:szCs w:val="18"/>
                <w:b w:val="1"/>
                <w:bCs w:val="1"/>
                <w:color w:val="auto"/>
              </w:rPr>
              <w:t>Required Equity</w:t>
            </w:r>
            <w:r>
              <w:rPr>
                <w:rFonts w:ascii="Times New Roman" w:cs="Times New Roman" w:eastAsia="Times New Roman" w:hAnsi="Times New Roman"/>
                <w:sz w:val="18"/>
                <w:szCs w:val="18"/>
                <w:color w:val="auto"/>
              </w:rPr>
              <w:t>”) and the anticipated</w:t>
            </w:r>
          </w:p>
        </w:tc>
      </w:tr>
      <w:tr>
        <w:trPr>
          <w:trHeight w:val="216"/>
        </w:trPr>
        <w:tc>
          <w:tcPr>
            <w:tcW w:w="282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timeline for funding. Within 10 business days following delivery of the Funding Notice (the “</w:t>
            </w:r>
            <w:r>
              <w:rPr>
                <w:rFonts w:ascii="Times New Roman" w:cs="Times New Roman" w:eastAsia="Times New Roman" w:hAnsi="Times New Roman"/>
                <w:sz w:val="18"/>
                <w:szCs w:val="18"/>
                <w:b w:val="1"/>
                <w:bCs w:val="1"/>
                <w:color w:val="auto"/>
              </w:rPr>
              <w:t>Commitment</w:t>
            </w:r>
          </w:p>
        </w:tc>
      </w:tr>
      <w:tr>
        <w:trPr>
          <w:trHeight w:val="220"/>
        </w:trPr>
        <w:tc>
          <w:tcPr>
            <w:tcW w:w="2820" w:type="dxa"/>
            <w:vAlign w:val="bottom"/>
          </w:tcPr>
          <w:p>
            <w:pPr>
              <w:spacing w:after="0"/>
              <w:rPr>
                <w:sz w:val="19"/>
                <w:szCs w:val="19"/>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each party shall deliver to the other a written, irrevocable commitment (the “</w:t>
            </w:r>
            <w:r>
              <w:rPr>
                <w:rFonts w:ascii="Times New Roman" w:cs="Times New Roman" w:eastAsia="Times New Roman" w:hAnsi="Times New Roman"/>
                <w:sz w:val="18"/>
                <w:szCs w:val="18"/>
                <w:b w:val="1"/>
                <w:bCs w:val="1"/>
                <w:color w:val="auto"/>
              </w:rPr>
              <w:t>Equity Commitment</w:t>
            </w:r>
            <w:r>
              <w:rPr>
                <w:rFonts w:ascii="Times New Roman" w:cs="Times New Roman" w:eastAsia="Times New Roman" w:hAnsi="Times New Roman"/>
                <w:sz w:val="18"/>
                <w:szCs w:val="18"/>
                <w:color w:val="auto"/>
              </w:rPr>
              <w:t>”)</w:t>
            </w:r>
          </w:p>
        </w:tc>
      </w:tr>
      <w:tr>
        <w:trPr>
          <w:trHeight w:val="216"/>
        </w:trPr>
        <w:tc>
          <w:tcPr>
            <w:tcW w:w="282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confirming its election to fund its Committed Percentage of the Required Equity. Absent the consent of the other</w:t>
            </w:r>
          </w:p>
        </w:tc>
      </w:tr>
      <w:tr>
        <w:trPr>
          <w:trHeight w:val="216"/>
        </w:trPr>
        <w:tc>
          <w:tcPr>
            <w:tcW w:w="282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9"/>
              </w:rPr>
              <w:t>party, neither party shall have the right to participate in the Take-Private on the terms set forth herein other than at</w:t>
            </w:r>
          </w:p>
        </w:tc>
      </w:tr>
      <w:tr>
        <w:trPr>
          <w:trHeight w:val="216"/>
        </w:trPr>
        <w:tc>
          <w:tcPr>
            <w:tcW w:w="282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such party’s Committed Percentage. If a party fails to deliver its Equity Commitment reflecting its full</w:t>
            </w:r>
          </w:p>
        </w:tc>
      </w:tr>
      <w:tr>
        <w:trPr>
          <w:trHeight w:val="216"/>
        </w:trPr>
        <w:tc>
          <w:tcPr>
            <w:tcW w:w="282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Committed Percentage prior to the expiration of the Commitment Period, such party will lose the right to</w:t>
            </w:r>
          </w:p>
        </w:tc>
      </w:tr>
      <w:tr>
        <w:trPr>
          <w:trHeight w:val="234"/>
        </w:trPr>
        <w:tc>
          <w:tcPr>
            <w:tcW w:w="2820" w:type="dxa"/>
            <w:vAlign w:val="bottom"/>
          </w:tcPr>
          <w:p>
            <w:pPr>
              <w:spacing w:after="0"/>
              <w:rPr>
                <w:sz w:val="20"/>
                <w:szCs w:val="20"/>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participate in the Take-Private.</w:t>
            </w:r>
          </w:p>
        </w:tc>
      </w:tr>
      <w:tr>
        <w:trPr>
          <w:trHeight w:val="414"/>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Pursuit Costs</w:t>
            </w: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All pre-closing pursuit costs incurred in connection with the Take-Private (including, without limitation, due</w:t>
            </w:r>
          </w:p>
        </w:tc>
      </w:tr>
      <w:tr>
        <w:trPr>
          <w:trHeight w:val="212"/>
        </w:trPr>
        <w:tc>
          <w:tcPr>
            <w:tcW w:w="282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diligence expenses, legal, accounting and advisory fees, financing costs and other transaction-related costs,</w:t>
            </w:r>
          </w:p>
        </w:tc>
      </w:tr>
      <w:tr>
        <w:trPr>
          <w:trHeight w:val="220"/>
        </w:trPr>
        <w:tc>
          <w:tcPr>
            <w:tcW w:w="2820" w:type="dxa"/>
            <w:vAlign w:val="bottom"/>
          </w:tcPr>
          <w:p>
            <w:pPr>
              <w:spacing w:after="0"/>
              <w:rPr>
                <w:sz w:val="19"/>
                <w:szCs w:val="19"/>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collectively, “</w:t>
            </w:r>
            <w:r>
              <w:rPr>
                <w:rFonts w:ascii="Times New Roman" w:cs="Times New Roman" w:eastAsia="Times New Roman" w:hAnsi="Times New Roman"/>
                <w:sz w:val="18"/>
                <w:szCs w:val="18"/>
                <w:b w:val="1"/>
                <w:bCs w:val="1"/>
                <w:color w:val="auto"/>
              </w:rPr>
              <w:t>Pursuit Costs</w:t>
            </w:r>
            <w:r>
              <w:rPr>
                <w:rFonts w:ascii="Times New Roman" w:cs="Times New Roman" w:eastAsia="Times New Roman" w:hAnsi="Times New Roman"/>
                <w:sz w:val="18"/>
                <w:szCs w:val="18"/>
                <w:color w:val="auto"/>
              </w:rPr>
              <w:t>”) shall be borne by each party in proportion to its Committed Percentage. If, at any</w:t>
            </w:r>
          </w:p>
        </w:tc>
      </w:tr>
      <w:tr>
        <w:trPr>
          <w:trHeight w:val="234"/>
        </w:trPr>
        <w:tc>
          <w:tcPr>
            <w:tcW w:w="2820" w:type="dxa"/>
            <w:vAlign w:val="bottom"/>
          </w:tcPr>
          <w:p>
            <w:pPr>
              <w:spacing w:after="0"/>
              <w:rPr>
                <w:sz w:val="20"/>
                <w:szCs w:val="20"/>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time prior to delivery of such party’s Equity Commitment, a party delivers written notice to the other party that it</w:t>
            </w:r>
          </w:p>
        </w:tc>
      </w:tr>
    </w:tbl>
    <w:p>
      <w:pPr>
        <w:ind w:left="3040"/>
        <w:spacing w:after="0" w:line="260" w:lineRule="auto"/>
        <w:rPr>
          <w:sz w:val="20"/>
          <w:szCs w:val="20"/>
          <w:color w:val="auto"/>
        </w:rPr>
      </w:pPr>
      <w:r>
        <w:rPr>
          <w:rFonts w:ascii="Times New Roman" w:cs="Times New Roman" w:eastAsia="Times New Roman" w:hAnsi="Times New Roman"/>
          <w:sz w:val="18"/>
          <w:szCs w:val="18"/>
          <w:color w:val="auto"/>
        </w:rPr>
        <w:t>no longer desires to pursue the Take-Private, such party will not be responsible for any Pursuit Costs incurred after the date of delivery of such notice.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45"/>
        </w:trPr>
        <w:tc>
          <w:tcPr>
            <w:tcW w:w="3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CONFIDENTIAL</w:t>
            </w:r>
          </w:p>
        </w:tc>
        <w:tc>
          <w:tcPr>
            <w:tcW w:w="9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6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PAUL, WEISS, RIFKIND, WHARTON &amp; GARRISON LLP</w:t>
            </w:r>
          </w:p>
        </w:tc>
      </w:tr>
      <w:tr>
        <w:trPr>
          <w:trHeight w:val="655"/>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2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jc w:val="right"/>
              <w:ind w:right="3530"/>
              <w:spacing w:after="0"/>
              <w:rPr>
                <w:sz w:val="20"/>
                <w:szCs w:val="20"/>
                <w:color w:val="auto"/>
              </w:rPr>
            </w:pPr>
            <w:r>
              <w:rPr>
                <w:rFonts w:ascii="Times New Roman" w:cs="Times New Roman" w:eastAsia="Times New Roman" w:hAnsi="Times New Roman"/>
                <w:sz w:val="18"/>
                <w:szCs w:val="18"/>
                <w:b w:val="1"/>
                <w:bCs w:val="1"/>
                <w:color w:val="auto"/>
              </w:rPr>
              <w:t>SUMMARY</w:t>
            </w:r>
          </w:p>
        </w:tc>
      </w:tr>
      <w:tr>
        <w:trPr>
          <w:trHeight w:val="432"/>
        </w:trPr>
        <w:tc>
          <w:tcPr>
            <w:tcW w:w="4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BOARD OF MANAGERS — COMPOSITION &amp; VOTING</w:t>
            </w:r>
          </w:p>
        </w:tc>
        <w:tc>
          <w:tcPr>
            <w:tcW w:w="6580" w:type="dxa"/>
            <w:vAlign w:val="bottom"/>
          </w:tcPr>
          <w:p>
            <w:pPr>
              <w:spacing w:after="0"/>
              <w:rPr>
                <w:sz w:val="24"/>
                <w:szCs w:val="24"/>
                <w:color w:val="auto"/>
              </w:rPr>
            </w:pPr>
          </w:p>
        </w:tc>
      </w:tr>
      <w:tr>
        <w:trPr>
          <w:trHeight w:val="432"/>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Board Size &amp; Composition</w:t>
            </w:r>
          </w:p>
        </w:tc>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The board of managers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shall consist of 5 members, initially as follows:</w:t>
            </w:r>
          </w:p>
        </w:tc>
      </w:tr>
      <w:tr>
        <w:trPr>
          <w:trHeight w:val="410"/>
        </w:trPr>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Cobblers Cove Designation Rights: </w:t>
            </w:r>
            <w:r>
              <w:rPr>
                <w:rFonts w:ascii="Times New Roman" w:cs="Times New Roman" w:eastAsia="Times New Roman" w:hAnsi="Times New Roman"/>
                <w:sz w:val="18"/>
                <w:szCs w:val="18"/>
                <w:color w:val="auto"/>
              </w:rPr>
              <w:t>Cobblers Cove shall have the right to appoint (any managers so appointed,</w:t>
            </w:r>
          </w:p>
        </w:tc>
      </w:tr>
      <w:tr>
        <w:trPr>
          <w:trHeight w:val="238"/>
        </w:trPr>
        <w:tc>
          <w:tcPr>
            <w:tcW w:w="2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"Cobblers Cove Designees"</w:t>
            </w:r>
            <w:r>
              <w:rPr>
                <w:rFonts w:ascii="Times New Roman" w:cs="Times New Roman" w:eastAsia="Times New Roman" w:hAnsi="Times New Roman"/>
                <w:sz w:val="18"/>
                <w:szCs w:val="18"/>
                <w:color w:val="auto"/>
              </w:rPr>
              <w:t>):</w:t>
            </w:r>
          </w:p>
        </w:tc>
      </w:tr>
      <w:tr>
        <w:trPr>
          <w:trHeight w:val="414"/>
        </w:trPr>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w:t>
            </w: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A majority of the managers to the Board for so long as it owns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of the equity</w:t>
            </w:r>
          </w:p>
        </w:tc>
      </w:tr>
      <w:tr>
        <w:trPr>
          <w:trHeight w:val="234"/>
        </w:trPr>
        <w:tc>
          <w:tcPr>
            <w:tcW w:w="2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interests it acquired at Closing;</w:t>
            </w:r>
          </w:p>
        </w:tc>
      </w:tr>
      <w:tr>
        <w:trPr>
          <w:trHeight w:val="414"/>
        </w:trPr>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(ii)</w:t>
            </w: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2 manager(s) for so long as it owns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of the equity interests it acquired at Closing;</w:t>
            </w:r>
          </w:p>
        </w:tc>
      </w:tr>
      <w:tr>
        <w:trPr>
          <w:trHeight w:val="234"/>
        </w:trPr>
        <w:tc>
          <w:tcPr>
            <w:tcW w:w="2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w:t>
            </w:r>
          </w:p>
        </w:tc>
        <w:tc>
          <w:tcPr>
            <w:tcW w:w="6580" w:type="dxa"/>
            <w:vAlign w:val="bottom"/>
          </w:tcPr>
          <w:p>
            <w:pPr>
              <w:spacing w:after="0"/>
              <w:rPr>
                <w:sz w:val="20"/>
                <w:szCs w:val="20"/>
                <w:color w:val="auto"/>
              </w:rPr>
            </w:pPr>
          </w:p>
        </w:tc>
      </w:tr>
      <w:tr>
        <w:trPr>
          <w:trHeight w:val="414"/>
        </w:trPr>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(iii)</w:t>
            </w: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1 manager for so long as it owns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of the equity interests it acquired at Closing (in</w:t>
            </w:r>
          </w:p>
        </w:tc>
      </w:tr>
      <w:tr>
        <w:trPr>
          <w:trHeight w:val="234"/>
        </w:trPr>
        <w:tc>
          <w:tcPr>
            <w:tcW w:w="2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each case, as appropriately adjusted for splits, dividends or similar events).</w:t>
            </w:r>
          </w:p>
        </w:tc>
      </w:tr>
      <w:tr>
        <w:trPr>
          <w:trHeight w:val="410"/>
        </w:trPr>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Arkhouse Designation Rights: </w:t>
            </w:r>
            <w:r>
              <w:rPr>
                <w:rFonts w:ascii="Times New Roman" w:cs="Times New Roman" w:eastAsia="Times New Roman" w:hAnsi="Times New Roman"/>
                <w:sz w:val="18"/>
                <w:szCs w:val="18"/>
                <w:color w:val="auto"/>
              </w:rPr>
              <w:t>Arkhouse shall have the right to appoint (any managers so appointed, the</w:t>
            </w: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"Arkhouse Designees"</w:t>
            </w:r>
            <w:r>
              <w:rPr>
                <w:rFonts w:ascii="Times New Roman" w:cs="Times New Roman" w:eastAsia="Times New Roman" w:hAnsi="Times New Roman"/>
                <w:sz w:val="18"/>
                <w:szCs w:val="18"/>
                <w:color w:val="auto"/>
              </w:rPr>
              <w:t>): (i) 2 managers for so long as it owns at least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of the equity interests it acquired</w:t>
            </w:r>
          </w:p>
        </w:tc>
      </w:tr>
      <w:tr>
        <w:trPr>
          <w:trHeight w:val="220"/>
        </w:trPr>
        <w:tc>
          <w:tcPr>
            <w:tcW w:w="2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at Closing; and (ii) 1 manager for so long as it owns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of the equity interests it acquired at Closing</w:t>
            </w:r>
          </w:p>
        </w:tc>
      </w:tr>
      <w:tr>
        <w:trPr>
          <w:trHeight w:val="234"/>
        </w:trPr>
        <w:tc>
          <w:tcPr>
            <w:tcW w:w="2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each case, as appropriately adjusted for splits, dividends or similar events).</w:t>
            </w:r>
          </w:p>
        </w:tc>
      </w:tr>
      <w:tr>
        <w:trPr>
          <w:trHeight w:val="414"/>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Expense Reimbursement</w:t>
            </w:r>
          </w:p>
        </w:tc>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Company shall reimburse each Cobblers Cove Designee and Arkhouse Designee for their reasonable,</w:t>
            </w: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documented out-of-pocket fees, costs and expenses (including reasonable travel and lodging expenses) incurred</w:t>
            </w: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attending Board and committee meetings or in the performance of services for the Company at the request of</w:t>
            </w:r>
          </w:p>
        </w:tc>
      </w:tr>
      <w:tr>
        <w:trPr>
          <w:trHeight w:val="234"/>
        </w:trPr>
        <w:tc>
          <w:tcPr>
            <w:tcW w:w="2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the Board.</w:t>
            </w:r>
          </w:p>
        </w:tc>
        <w:tc>
          <w:tcPr>
            <w:tcW w:w="620" w:type="dxa"/>
            <w:vAlign w:val="bottom"/>
          </w:tcPr>
          <w:p>
            <w:pPr>
              <w:spacing w:after="0"/>
              <w:rPr>
                <w:sz w:val="20"/>
                <w:szCs w:val="20"/>
                <w:color w:val="auto"/>
              </w:rPr>
            </w:pPr>
          </w:p>
        </w:tc>
        <w:tc>
          <w:tcPr>
            <w:tcW w:w="6580" w:type="dxa"/>
            <w:vAlign w:val="bottom"/>
          </w:tcPr>
          <w:p>
            <w:pPr>
              <w:spacing w:after="0"/>
              <w:rPr>
                <w:sz w:val="20"/>
                <w:szCs w:val="20"/>
                <w:color w:val="auto"/>
              </w:rPr>
            </w:pPr>
          </w:p>
        </w:tc>
      </w:tr>
      <w:tr>
        <w:trPr>
          <w:trHeight w:val="414"/>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Corporate Opportunity Waiver</w:t>
            </w:r>
          </w:p>
        </w:tc>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Definitive Agreement shall contain a customary waiver of the corporate opportunity doctrine and waiver of</w:t>
            </w: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fiduciary duties for each of Cobblers Cove and Arkhouse and their respective designated managers and</w:t>
            </w:r>
          </w:p>
        </w:tc>
      </w:tr>
      <w:tr>
        <w:trPr>
          <w:trHeight w:val="234"/>
        </w:trPr>
        <w:tc>
          <w:tcPr>
            <w:tcW w:w="2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observers.</w:t>
            </w:r>
          </w:p>
        </w:tc>
        <w:tc>
          <w:tcPr>
            <w:tcW w:w="620" w:type="dxa"/>
            <w:vAlign w:val="bottom"/>
          </w:tcPr>
          <w:p>
            <w:pPr>
              <w:spacing w:after="0"/>
              <w:rPr>
                <w:sz w:val="20"/>
                <w:szCs w:val="20"/>
                <w:color w:val="auto"/>
              </w:rPr>
            </w:pPr>
          </w:p>
        </w:tc>
        <w:tc>
          <w:tcPr>
            <w:tcW w:w="6580" w:type="dxa"/>
            <w:vAlign w:val="bottom"/>
          </w:tcPr>
          <w:p>
            <w:pPr>
              <w:spacing w:after="0"/>
              <w:rPr>
                <w:sz w:val="20"/>
                <w:szCs w:val="20"/>
                <w:color w:val="auto"/>
              </w:rPr>
            </w:pPr>
          </w:p>
        </w:tc>
      </w:tr>
      <w:tr>
        <w:trPr>
          <w:trHeight w:val="432"/>
        </w:trPr>
        <w:tc>
          <w:tcPr>
            <w:tcW w:w="4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INVESTOR CONSENT RIGHTS — POST-CLOSING</w:t>
            </w:r>
          </w:p>
        </w:tc>
        <w:tc>
          <w:tcPr>
            <w:tcW w:w="6580" w:type="dxa"/>
            <w:vAlign w:val="bottom"/>
          </w:tcPr>
          <w:p>
            <w:pPr>
              <w:spacing w:after="0"/>
              <w:rPr>
                <w:sz w:val="24"/>
                <w:szCs w:val="24"/>
                <w:color w:val="auto"/>
              </w:rPr>
            </w:pPr>
          </w:p>
        </w:tc>
      </w:tr>
      <w:tr>
        <w:trPr>
          <w:trHeight w:val="410"/>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All-Investor Consent Rights</w:t>
            </w:r>
          </w:p>
        </w:tc>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Without the prior written approval of each of Cobblers Cove and Arkhouse (in each case, for so long as it owns</w:t>
            </w:r>
          </w:p>
        </w:tc>
      </w:tr>
      <w:tr>
        <w:trPr>
          <w:trHeight w:val="220"/>
        </w:trPr>
        <w:tc>
          <w:tcPr>
            <w:tcW w:w="2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of the equity interests it acquired at Closing), the Company (or any subsidiary) may not take any</w:t>
            </w:r>
          </w:p>
        </w:tc>
      </w:tr>
      <w:tr>
        <w:trPr>
          <w:trHeight w:val="234"/>
        </w:trPr>
        <w:tc>
          <w:tcPr>
            <w:tcW w:w="2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 the following actions:</w:t>
            </w:r>
          </w:p>
        </w:tc>
      </w:tr>
      <w:tr>
        <w:trPr>
          <w:trHeight w:val="414"/>
        </w:trPr>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(a)</w:t>
            </w: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Amend the operative documents of the Company in a manner that would adversely and</w:t>
            </w:r>
          </w:p>
        </w:tc>
      </w:tr>
      <w:tr>
        <w:trPr>
          <w:trHeight w:val="234"/>
        </w:trPr>
        <w:tc>
          <w:tcPr>
            <w:tcW w:w="2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disproportionately affect such investor;</w:t>
            </w:r>
          </w:p>
        </w:tc>
      </w:tr>
      <w:tr>
        <w:trPr>
          <w:trHeight w:val="414"/>
        </w:trPr>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(b)</w:t>
            </w: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Repurchase or redeem any equity interests, or declare or pay any dividends or distributions, in</w:t>
            </w: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each case other than on a pro rata basis or pursuant to the distribution preferences in the</w:t>
            </w: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Company's  governing  documents  (subject  to  customary  exceptions  for  employee  equity</w:t>
            </w:r>
          </w:p>
        </w:tc>
      </w:tr>
      <w:tr>
        <w:trPr>
          <w:trHeight w:val="234"/>
        </w:trPr>
        <w:tc>
          <w:tcPr>
            <w:tcW w:w="2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repurchases);</w:t>
            </w:r>
          </w:p>
        </w:tc>
      </w:tr>
      <w:tr>
        <w:trPr>
          <w:trHeight w:val="414"/>
        </w:trPr>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(c)</w:t>
            </w: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Enter into any agreement or transaction with Cobblers Cove or Arkhouse or any of their</w:t>
            </w:r>
          </w:p>
        </w:tc>
      </w:tr>
      <w:tr>
        <w:trPr>
          <w:trHeight w:val="234"/>
        </w:trPr>
        <w:tc>
          <w:tcPr>
            <w:tcW w:w="2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respective affiliates, other than:</w:t>
            </w:r>
          </w:p>
        </w:tc>
      </w:tr>
      <w:tr>
        <w:trPr>
          <w:trHeight w:val="432"/>
        </w:trPr>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w:t>
            </w:r>
          </w:p>
        </w:tc>
        <w:tc>
          <w:tcPr>
            <w:tcW w:w="658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equity issuances in accordance with preemptive rights provisions,</w:t>
            </w:r>
          </w:p>
        </w:tc>
      </w:tr>
      <w:tr>
        <w:trPr>
          <w:trHeight w:val="655"/>
        </w:trPr>
        <w:tc>
          <w:tcPr>
            <w:tcW w:w="2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225" w:right="339" w:bottom="1440" w:gutter="0" w:footer="0" w:header="0"/>
        </w:sectPr>
      </w:pPr>
    </w:p>
    <w:bookmarkStart w:id="16" w:name="page17"/>
    <w:bookmarkEnd w:id="16"/>
    <w:p>
      <w:pPr>
        <w:jc w:val="both"/>
        <w:spacing w:after="0" w:line="234" w:lineRule="auto"/>
        <w:framePr w:w="8260" w:h="808" w:wrap="auto" w:vAnchor="page" w:hAnchor="page" w:x="3340" w:y="6136"/>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customary exceptions, in the event of any issuance of (i) additional equity interests by the Company (or any subsidiary), each investor, and (ii) debt interests in which any equityholder (or any affiliate) participates, each investor, shall have the right to purchase its respective pro rata share of such interests. Customary exceptions shall apply (e.g., initial management equity issuances).</w:t>
      </w:r>
    </w:p>
    <w:p>
      <w:pPr>
        <w:jc w:val="both"/>
        <w:spacing w:after="0" w:line="234" w:lineRule="auto"/>
        <w:framePr w:w="8260" w:h="808" w:wrap="auto" w:vAnchor="page" w:hAnchor="page" w:x="3340" w:y="7216"/>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either party (the </w:t>
      </w:r>
      <w:r>
        <w:rPr>
          <w:rFonts w:ascii="Times New Roman" w:cs="Times New Roman" w:eastAsia="Times New Roman" w:hAnsi="Times New Roman"/>
          <w:sz w:val="18"/>
          <w:szCs w:val="18"/>
          <w:b w:val="1"/>
          <w:bCs w:val="1"/>
          <w:color w:val="auto"/>
        </w:rPr>
        <w:t>"Selling Party"</w:t>
      </w:r>
      <w:r>
        <w:rPr>
          <w:rFonts w:ascii="Times New Roman" w:cs="Times New Roman" w:eastAsia="Times New Roman" w:hAnsi="Times New Roman"/>
          <w:sz w:val="18"/>
          <w:szCs w:val="18"/>
          <w:color w:val="auto"/>
        </w:rPr>
        <w:t>) proposes to sell any equity interest to any third party (other than pursuant to drag-along rights or a transfer to an affiliate), the other party shall have the right to include a pro rata portion of its equity interest in such sale on the same terms (including price and form of consideration) and subject to the same conditions as the Selling Party.</w:t>
      </w:r>
    </w:p>
    <w:p>
      <w:pPr>
        <w:spacing w:after="0" w:line="196" w:lineRule="auto"/>
        <w:framePr w:w="2100" w:h="160" w:wrap="auto" w:vAnchor="page" w:hAnchor="page" w:x="3340" w:y="8296"/>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Cobblers Cove desires to:</w:t>
      </w:r>
    </w:p>
    <w:p>
      <w:pPr>
        <w:spacing w:after="0" w:line="218" w:lineRule="auto"/>
        <w:framePr w:w="240" w:h="160" w:wrap="auto" w:vAnchor="page" w:hAnchor="page" w:x="3900" w:y="8728"/>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w:t>
      </w:r>
    </w:p>
    <w:p>
      <w:pPr>
        <w:spacing w:after="0" w:line="218" w:lineRule="auto"/>
        <w:framePr w:w="7140" w:h="376" w:wrap="auto" w:vAnchor="page" w:hAnchor="page" w:x="4440" w:y="8728"/>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 transaction involving the sale or transfer of equity the result of which is that Cobblers Cove would no longer have majority voting control of the Board;</w:t>
      </w:r>
    </w:p>
    <w:p>
      <w:pPr>
        <w:spacing w:after="0" w:line="196" w:lineRule="auto"/>
        <w:framePr w:w="300" w:h="160" w:wrap="auto" w:vAnchor="page" w:hAnchor="page" w:x="3900" w:y="9376"/>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w:t>
      </w:r>
    </w:p>
    <w:p>
      <w:pPr>
        <w:spacing w:after="0" w:line="196" w:lineRule="auto"/>
        <w:framePr w:w="3820" w:h="160" w:wrap="auto" w:vAnchor="page" w:hAnchor="page" w:x="4440" w:y="9376"/>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a merger or consolidation of the Company; or</w:t>
      </w:r>
    </w:p>
    <w:p>
      <w:pPr>
        <w:jc w:val="both"/>
        <w:spacing w:after="0" w:line="234" w:lineRule="auto"/>
        <w:framePr w:w="7700" w:h="808" w:wrap="auto" w:vAnchor="page" w:hAnchor="page" w:x="3900" w:y="9808"/>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sell all or substantially all of the assets of the Company — in each case to a third party Cobblers Cove shall have the right to cause Arkhouse to vote in favor of and/or sell the same pro rata portion of their respective equity interests on the same terms and subject to the same conditions as Cobblers Cove.</w:t>
      </w:r>
    </w:p>
    <w:p>
      <w:pPr>
        <w:spacing w:after="0" w:line="209" w:lineRule="auto"/>
        <w:framePr w:w="160" w:h="160" w:wrap="auto" w:vAnchor="page" w:hAnchor="page" w:x="5860" w:y="11131"/>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w:t>
      </w:r>
    </w:p>
    <w:p>
      <w:pPr>
        <w:jc w:val="both"/>
        <w:spacing w:after="0" w:line="234" w:lineRule="auto"/>
        <w:framePr w:w="8260" w:h="808" w:wrap="auto" w:vAnchor="page" w:hAnchor="page" w:x="3340" w:y="5056"/>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investor shall not, without the prior written consent of the Board (which, in the case of a transfer by Cobblers Cove, shall include the Arkhouse Designees but not the Cobblers Cove Designees), sell, transfer (directly or indirectly), assign or encumber its equity interest, except for sales, transfers and assignments to affiliates who are not competitors of the Company or any of its subsidiaries.</w:t>
      </w:r>
    </w:p>
    <w:tbl>
      <w:tblPr>
        <w:tblLayout w:type="fixed"/>
        <w:tblInd w:w="0" w:type="dxa"/>
        <w:tblCellMar>
          <w:top w:w="0" w:type="dxa"/>
          <w:left w:w="0" w:type="dxa"/>
          <w:bottom w:w="0" w:type="dxa"/>
          <w:right w:w="0" w:type="dxa"/>
        </w:tblCellMar>
      </w:tblPr>
      <w:tr>
        <w:trPr>
          <w:trHeight w:val="245"/>
        </w:trPr>
        <w:tc>
          <w:tcPr>
            <w:tcW w:w="3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CONFIDENTIAL</w:t>
            </w:r>
          </w:p>
        </w:tc>
        <w:tc>
          <w:tcPr>
            <w:tcW w:w="580" w:type="dxa"/>
            <w:vAlign w:val="bottom"/>
            <w:tcBorders>
              <w:bottom w:val="single" w:sz="8" w:color="auto"/>
            </w:tcBorders>
          </w:tcPr>
          <w:p>
            <w:pPr>
              <w:spacing w:after="0"/>
              <w:rPr>
                <w:sz w:val="21"/>
                <w:szCs w:val="21"/>
                <w:color w:val="auto"/>
              </w:rPr>
            </w:pPr>
          </w:p>
        </w:tc>
        <w:tc>
          <w:tcPr>
            <w:tcW w:w="722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8"/>
                <w:szCs w:val="18"/>
                <w:b w:val="1"/>
                <w:bCs w:val="1"/>
                <w:color w:val="auto"/>
                <w:w w:val="99"/>
              </w:rPr>
              <w:t>PAUL, WEISS, RIFKIND, WHARTON &amp; GARRISON LLP</w:t>
            </w:r>
          </w:p>
        </w:tc>
        <w:tc>
          <w:tcPr>
            <w:tcW w:w="20" w:type="dxa"/>
            <w:vAlign w:val="bottom"/>
          </w:tcPr>
          <w:p>
            <w:pPr>
              <w:spacing w:after="0"/>
              <w:rPr>
                <w:sz w:val="21"/>
                <w:szCs w:val="21"/>
                <w:color w:val="auto"/>
              </w:rPr>
            </w:pPr>
          </w:p>
        </w:tc>
      </w:tr>
      <w:tr>
        <w:trPr>
          <w:trHeight w:val="655"/>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580" w:type="dxa"/>
            <w:vAlign w:val="bottom"/>
          </w:tcPr>
          <w:p>
            <w:pPr>
              <w:spacing w:after="0"/>
              <w:rPr>
                <w:sz w:val="24"/>
                <w:szCs w:val="24"/>
                <w:color w:val="auto"/>
              </w:rPr>
            </w:pPr>
          </w:p>
        </w:tc>
        <w:tc>
          <w:tcPr>
            <w:tcW w:w="724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SUMMARY</w:t>
            </w:r>
          </w:p>
        </w:tc>
      </w:tr>
      <w:tr>
        <w:trPr>
          <w:trHeight w:val="234"/>
        </w:trPr>
        <w:tc>
          <w:tcPr>
            <w:tcW w:w="28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(ii)</w:t>
            </w:r>
          </w:p>
        </w:tc>
        <w:tc>
          <w:tcPr>
            <w:tcW w:w="72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transactions between the Company and its wholly-owned subsidiaries,</w:t>
            </w:r>
          </w:p>
        </w:tc>
        <w:tc>
          <w:tcPr>
            <w:tcW w:w="20" w:type="dxa"/>
            <w:vAlign w:val="bottom"/>
          </w:tcPr>
          <w:p>
            <w:pPr>
              <w:spacing w:after="0"/>
              <w:rPr>
                <w:sz w:val="20"/>
                <w:szCs w:val="20"/>
                <w:color w:val="auto"/>
              </w:rPr>
            </w:pPr>
          </w:p>
        </w:tc>
      </w:tr>
      <w:tr>
        <w:trPr>
          <w:trHeight w:val="414"/>
        </w:trPr>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(iii)</w:t>
            </w:r>
          </w:p>
        </w:tc>
        <w:tc>
          <w:tcPr>
            <w:tcW w:w="7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management services agreements in compliance with the fees and expenses provisions, and</w:t>
            </w:r>
          </w:p>
        </w:tc>
      </w:tr>
      <w:tr>
        <w:trPr>
          <w:trHeight w:val="414"/>
        </w:trPr>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(iv)</w:t>
            </w:r>
          </w:p>
        </w:tc>
        <w:tc>
          <w:tcPr>
            <w:tcW w:w="7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ordinary-course commercial transactions on arm's-length terms no less favorable than would be</w:t>
            </w:r>
          </w:p>
        </w:tc>
      </w:tr>
      <w:tr>
        <w:trPr>
          <w:trHeight w:val="234"/>
        </w:trPr>
        <w:tc>
          <w:tcPr>
            <w:tcW w:w="2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obtained with an unaffiliated third party;</w:t>
            </w:r>
          </w:p>
        </w:tc>
      </w:tr>
      <w:tr>
        <w:trPr>
          <w:trHeight w:val="414"/>
        </w:trPr>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78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Make any change in tax structure that would be disproportionate and adverse to such investor or its</w:t>
            </w:r>
          </w:p>
        </w:tc>
      </w:tr>
      <w:tr>
        <w:trPr>
          <w:trHeight w:val="234"/>
        </w:trPr>
        <w:tc>
          <w:tcPr>
            <w:tcW w:w="2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affiliates; or</w:t>
            </w:r>
          </w:p>
        </w:tc>
      </w:tr>
      <w:tr>
        <w:trPr>
          <w:trHeight w:val="432"/>
        </w:trPr>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w:t>
            </w:r>
          </w:p>
        </w:tc>
        <w:tc>
          <w:tcPr>
            <w:tcW w:w="78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Make any material change to the business and operations of the Company.</w:t>
            </w:r>
          </w:p>
        </w:tc>
      </w:tr>
    </w:tbl>
    <w:p>
      <w:pPr>
        <w:spacing w:after="0" w:line="198" w:lineRule="exact"/>
        <w:rPr>
          <w:rFonts w:ascii="Times New Roman" w:cs="Times New Roman" w:eastAsia="Times New Roman" w:hAnsi="Times New Roman"/>
          <w:sz w:val="18"/>
          <w:szCs w:val="18"/>
          <w:color w:val="auto"/>
        </w:rPr>
      </w:pPr>
    </w:p>
    <w:p>
      <w:pPr>
        <w:jc w:val="both"/>
        <w:ind w:left="3060"/>
        <w:spacing w:after="0" w:line="266" w:lineRule="auto"/>
        <w:rPr>
          <w:sz w:val="20"/>
          <w:szCs w:val="20"/>
          <w:color w:val="auto"/>
        </w:rPr>
      </w:pPr>
      <w:r>
        <w:rPr>
          <w:rFonts w:ascii="Times New Roman" w:cs="Times New Roman" w:eastAsia="Times New Roman" w:hAnsi="Times New Roman"/>
          <w:sz w:val="18"/>
          <w:szCs w:val="18"/>
          <w:color w:val="auto"/>
        </w:rPr>
        <w:t>Cobblers Cove shall consult with, and consider in good faith, the comments of, Arkhouse with respect to any tax election or decision that would reasonably be expected to have a disproportionate and adverse impact on Arkhouse.</w:t>
      </w:r>
    </w:p>
    <w:p>
      <w:pPr>
        <w:spacing w:after="0" w:line="17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RESTRICTIONS, TAG-ALONG &amp; DRAG-ALONG</w:t>
      </w:r>
    </w:p>
    <w:p>
      <w:pPr>
        <w:spacing w:after="0" w:line="22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Transfer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Preemptive Rights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Tag-Along Rights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Drag-Along Rights</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1819910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45"/>
        </w:trPr>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CONFIDENTIAL</w:t>
            </w:r>
          </w:p>
        </w:tc>
        <w:tc>
          <w:tcPr>
            <w:tcW w:w="9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PAUL, WEISS, RIFKIND, WHARTON &amp; GARRISON LLP</w:t>
            </w:r>
          </w:p>
        </w:tc>
      </w:tr>
      <w:tr>
        <w:trPr>
          <w:trHeight w:val="695"/>
        </w:trPr>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9000" w:type="dxa"/>
            <w:vAlign w:val="bottom"/>
            <w:tcBorders>
              <w:bottom w:val="single" w:sz="8" w:color="auto"/>
            </w:tcBorders>
          </w:tcPr>
          <w:p>
            <w:pPr>
              <w:jc w:val="right"/>
              <w:ind w:right="3530"/>
              <w:spacing w:after="0"/>
              <w:rPr>
                <w:sz w:val="20"/>
                <w:szCs w:val="20"/>
                <w:color w:val="auto"/>
              </w:rPr>
            </w:pPr>
            <w:r>
              <w:rPr>
                <w:rFonts w:ascii="Times New Roman" w:cs="Times New Roman" w:eastAsia="Times New Roman" w:hAnsi="Times New Roman"/>
                <w:sz w:val="18"/>
                <w:szCs w:val="18"/>
                <w:b w:val="1"/>
                <w:bCs w:val="1"/>
                <w:color w:val="auto"/>
              </w:rPr>
              <w:t>SUMMARY</w:t>
            </w:r>
          </w:p>
        </w:tc>
      </w:tr>
      <w:tr>
        <w:trPr>
          <w:trHeight w:val="238"/>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IPO</w:t>
            </w:r>
          </w:p>
        </w:tc>
        <w:tc>
          <w:tcPr>
            <w:tcW w:w="9000" w:type="dxa"/>
            <w:vAlign w:val="bottom"/>
          </w:tcPr>
          <w:p>
            <w:pPr>
              <w:spacing w:after="0"/>
              <w:rPr>
                <w:sz w:val="20"/>
                <w:szCs w:val="20"/>
                <w:color w:val="auto"/>
              </w:rPr>
            </w:pPr>
          </w:p>
        </w:tc>
      </w:tr>
      <w:tr>
        <w:trPr>
          <w:trHeight w:val="391"/>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IPO Rights</w:t>
            </w:r>
          </w:p>
        </w:tc>
        <w:tc>
          <w:tcPr>
            <w:tcW w:w="9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 Definitive Agreement shall contain customary cooperation provisions with respect to an IPO (including any</w:t>
            </w:r>
          </w:p>
        </w:tc>
      </w:tr>
      <w:tr>
        <w:trPr>
          <w:trHeight w:val="216"/>
        </w:trPr>
        <w:tc>
          <w:tcPr>
            <w:tcW w:w="2240" w:type="dxa"/>
            <w:vAlign w:val="bottom"/>
          </w:tcPr>
          <w:p>
            <w:pPr>
              <w:spacing w:after="0"/>
              <w:rPr>
                <w:sz w:val="18"/>
                <w:szCs w:val="18"/>
                <w:color w:val="auto"/>
              </w:rPr>
            </w:pPr>
          </w:p>
        </w:tc>
        <w:tc>
          <w:tcPr>
            <w:tcW w:w="9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applicable pre-IPO reorganization). Cobblers Cove shall have the sole right to cause an IPO; provided that</w:t>
            </w:r>
          </w:p>
        </w:tc>
      </w:tr>
      <w:tr>
        <w:trPr>
          <w:trHeight w:val="234"/>
        </w:trPr>
        <w:tc>
          <w:tcPr>
            <w:tcW w:w="2240" w:type="dxa"/>
            <w:vAlign w:val="bottom"/>
          </w:tcPr>
          <w:p>
            <w:pPr>
              <w:spacing w:after="0"/>
              <w:rPr>
                <w:sz w:val="20"/>
                <w:szCs w:val="20"/>
                <w:color w:val="auto"/>
              </w:rPr>
            </w:pPr>
          </w:p>
        </w:tc>
        <w:tc>
          <w:tcPr>
            <w:tcW w:w="90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Arkhouse shall not be obligated to sell any of its equity in such public offering without its consent.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&amp; EXPENSES — POST-CLOSING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Transaction Fee &amp; Management Fee</w:t>
            </w:r>
          </w:p>
        </w:tc>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Upon Closing, the Company shall pay Cobblers Cove a transaction fee of [ ]% of total sources for the Take-</w:t>
            </w:r>
          </w:p>
        </w:tc>
      </w:tr>
      <w:tr>
        <w:trPr>
          <w:trHeight w:val="216"/>
        </w:trPr>
        <w:tc>
          <w:tcPr>
            <w:tcW w:w="2940" w:type="dxa"/>
            <w:vAlign w:val="bottom"/>
          </w:tcPr>
          <w:p>
            <w:pPr>
              <w:spacing w:after="0"/>
              <w:rPr>
                <w:sz w:val="18"/>
                <w:szCs w:val="18"/>
                <w:color w:val="auto"/>
              </w:rPr>
            </w:pPr>
          </w:p>
        </w:tc>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Private at Closing. The Company shall from time to time pay a management fee on a schedule to be determined</w:t>
            </w:r>
          </w:p>
        </w:tc>
      </w:tr>
      <w:tr>
        <w:trPr>
          <w:trHeight w:val="234"/>
        </w:trPr>
        <w:tc>
          <w:tcPr>
            <w:tcW w:w="2940" w:type="dxa"/>
            <w:vAlign w:val="bottom"/>
          </w:tcPr>
          <w:p>
            <w:pPr>
              <w:spacing w:after="0"/>
              <w:rPr>
                <w:sz w:val="20"/>
                <w:szCs w:val="20"/>
                <w:color w:val="auto"/>
              </w:rPr>
            </w:pPr>
          </w:p>
        </w:tc>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by Cobblers Cove, up to an annual cap of the greater of [ ]% of LTM EBITDA and $[ ] million.</w:t>
            </w:r>
          </w:p>
        </w:tc>
      </w:tr>
      <w:tr>
        <w:trPr>
          <w:trHeight w:val="414"/>
        </w:trPr>
        <w:tc>
          <w:tcPr>
            <w:tcW w:w="2940" w:type="dxa"/>
            <w:vAlign w:val="bottom"/>
          </w:tcPr>
          <w:p>
            <w:pPr>
              <w:spacing w:after="0"/>
              <w:rPr>
                <w:sz w:val="24"/>
                <w:szCs w:val="24"/>
                <w:color w:val="auto"/>
              </w:rPr>
            </w:pPr>
          </w:p>
        </w:tc>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Arkhouse shall participate pro rata in each of the foregoing fees (based on the number of equity interests held by</w:t>
            </w:r>
          </w:p>
        </w:tc>
      </w:tr>
      <w:tr>
        <w:trPr>
          <w:trHeight w:val="234"/>
        </w:trPr>
        <w:tc>
          <w:tcPr>
            <w:tcW w:w="2940" w:type="dxa"/>
            <w:vAlign w:val="bottom"/>
          </w:tcPr>
          <w:p>
            <w:pPr>
              <w:spacing w:after="0"/>
              <w:rPr>
                <w:sz w:val="20"/>
                <w:szCs w:val="20"/>
                <w:color w:val="auto"/>
              </w:rPr>
            </w:pPr>
          </w:p>
        </w:tc>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Arkhouse relative to the total number of equity interests held by Cobblers Cove and Arkhouse).</w:t>
            </w:r>
          </w:p>
        </w:tc>
      </w:tr>
      <w:tr>
        <w:trPr>
          <w:trHeight w:val="410"/>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 Reimbursement — Post-</w:t>
            </w:r>
          </w:p>
        </w:tc>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Company shall reimburse Cobblers Cove's reasonable out-of-pocket costs and expenses in connection with</w:t>
            </w:r>
          </w:p>
        </w:tc>
      </w:tr>
      <w:tr>
        <w:trPr>
          <w:trHeight w:val="238"/>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Closing</w:t>
            </w:r>
          </w:p>
        </w:tc>
        <w:tc>
          <w:tcPr>
            <w:tcW w:w="1160" w:type="dxa"/>
            <w:vAlign w:val="bottom"/>
          </w:tcPr>
          <w:p>
            <w:pPr>
              <w:spacing w:after="0"/>
              <w:rPr>
                <w:sz w:val="20"/>
                <w:szCs w:val="20"/>
                <w:color w:val="auto"/>
              </w:rPr>
            </w:pPr>
          </w:p>
        </w:tc>
        <w:tc>
          <w:tcPr>
            <w:tcW w:w="714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11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monitoring of the Company;</w:t>
            </w:r>
          </w:p>
        </w:tc>
      </w:tr>
      <w:tr>
        <w:trPr>
          <w:trHeight w:val="432"/>
        </w:trPr>
        <w:tc>
          <w:tcPr>
            <w:tcW w:w="2940" w:type="dxa"/>
            <w:vAlign w:val="bottom"/>
          </w:tcPr>
          <w:p>
            <w:pPr>
              <w:spacing w:after="0"/>
              <w:rPr>
                <w:sz w:val="24"/>
                <w:szCs w:val="24"/>
                <w:color w:val="auto"/>
              </w:rPr>
            </w:pPr>
          </w:p>
        </w:tc>
        <w:tc>
          <w:tcPr>
            <w:tcW w:w="11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(ii)</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providing management, advisory and similar services at the request of the Board; and</w:t>
            </w:r>
          </w:p>
        </w:tc>
      </w:tr>
      <w:tr>
        <w:trPr>
          <w:trHeight w:val="414"/>
        </w:trPr>
        <w:tc>
          <w:tcPr>
            <w:tcW w:w="2940" w:type="dxa"/>
            <w:vAlign w:val="bottom"/>
          </w:tcPr>
          <w:p>
            <w:pPr>
              <w:spacing w:after="0"/>
              <w:rPr>
                <w:sz w:val="24"/>
                <w:szCs w:val="24"/>
                <w:color w:val="auto"/>
              </w:rPr>
            </w:pPr>
          </w:p>
        </w:tc>
        <w:tc>
          <w:tcPr>
            <w:tcW w:w="11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(iii)</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matters relating to the investment for which Cobblers Cove reasonably requires the advice of</w:t>
            </w:r>
          </w:p>
        </w:tc>
      </w:tr>
      <w:tr>
        <w:trPr>
          <w:trHeight w:val="234"/>
        </w:trPr>
        <w:tc>
          <w:tcPr>
            <w:tcW w:w="2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outside counsel.</w:t>
            </w:r>
          </w:p>
        </w:tc>
      </w:tr>
      <w:tr>
        <w:trPr>
          <w:trHeight w:val="414"/>
        </w:trPr>
        <w:tc>
          <w:tcPr>
            <w:tcW w:w="2940" w:type="dxa"/>
            <w:vAlign w:val="bottom"/>
          </w:tcPr>
          <w:p>
            <w:pPr>
              <w:spacing w:after="0"/>
              <w:rPr>
                <w:sz w:val="24"/>
                <w:szCs w:val="24"/>
                <w:color w:val="auto"/>
              </w:rPr>
            </w:pPr>
          </w:p>
        </w:tc>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Company shall reimburse Arkhouse for reasonable out-of-pocket costs and expenses incurred in connection</w:t>
            </w:r>
          </w:p>
        </w:tc>
      </w:tr>
      <w:tr>
        <w:trPr>
          <w:trHeight w:val="216"/>
        </w:trPr>
        <w:tc>
          <w:tcPr>
            <w:tcW w:w="2940" w:type="dxa"/>
            <w:vAlign w:val="bottom"/>
          </w:tcPr>
          <w:p>
            <w:pPr>
              <w:spacing w:after="0"/>
              <w:rPr>
                <w:sz w:val="18"/>
                <w:szCs w:val="18"/>
                <w:color w:val="auto"/>
              </w:rPr>
            </w:pPr>
          </w:p>
        </w:tc>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with the provision of services to the Company at the request of the Board or pursuant to a definitive agreement</w:t>
            </w:r>
          </w:p>
        </w:tc>
      </w:tr>
      <w:tr>
        <w:trPr>
          <w:trHeight w:val="234"/>
        </w:trPr>
        <w:tc>
          <w:tcPr>
            <w:tcW w:w="2940" w:type="dxa"/>
            <w:vAlign w:val="bottom"/>
          </w:tcPr>
          <w:p>
            <w:pPr>
              <w:spacing w:after="0"/>
              <w:rPr>
                <w:sz w:val="20"/>
                <w:szCs w:val="20"/>
                <w:color w:val="auto"/>
              </w:rPr>
            </w:pPr>
          </w:p>
        </w:tc>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with the Company.</w:t>
            </w:r>
          </w:p>
        </w:tc>
      </w:tr>
      <w:tr>
        <w:trPr>
          <w:trHeight w:val="432"/>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INFORMATION RIGHTS</w:t>
            </w:r>
          </w:p>
        </w:tc>
        <w:tc>
          <w:tcPr>
            <w:tcW w:w="1160" w:type="dxa"/>
            <w:vAlign w:val="bottom"/>
          </w:tcPr>
          <w:p>
            <w:pPr>
              <w:spacing w:after="0"/>
              <w:rPr>
                <w:sz w:val="24"/>
                <w:szCs w:val="24"/>
                <w:color w:val="auto"/>
              </w:rPr>
            </w:pPr>
          </w:p>
        </w:tc>
        <w:tc>
          <w:tcPr>
            <w:tcW w:w="7140" w:type="dxa"/>
            <w:vAlign w:val="bottom"/>
          </w:tcPr>
          <w:p>
            <w:pPr>
              <w:spacing w:after="0"/>
              <w:rPr>
                <w:sz w:val="24"/>
                <w:szCs w:val="24"/>
                <w:color w:val="auto"/>
              </w:rPr>
            </w:pPr>
          </w:p>
        </w:tc>
      </w:tr>
      <w:tr>
        <w:trPr>
          <w:trHeight w:val="414"/>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Information Rights</w:t>
            </w:r>
          </w:p>
        </w:tc>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Subject to customary confidentiality undertakings, for so long as each investor holds any equity interest in the</w:t>
            </w:r>
          </w:p>
        </w:tc>
      </w:tr>
      <w:tr>
        <w:trPr>
          <w:trHeight w:val="234"/>
        </w:trPr>
        <w:tc>
          <w:tcPr>
            <w:tcW w:w="2940" w:type="dxa"/>
            <w:vAlign w:val="bottom"/>
          </w:tcPr>
          <w:p>
            <w:pPr>
              <w:spacing w:after="0"/>
              <w:rPr>
                <w:sz w:val="20"/>
                <w:szCs w:val="20"/>
                <w:color w:val="auto"/>
              </w:rPr>
            </w:pPr>
          </w:p>
        </w:tc>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Company or any subsidiary, each investor shall receive:</w:t>
            </w:r>
          </w:p>
        </w:tc>
      </w:tr>
      <w:tr>
        <w:trPr>
          <w:trHeight w:val="414"/>
        </w:trPr>
        <w:tc>
          <w:tcPr>
            <w:tcW w:w="2940" w:type="dxa"/>
            <w:vAlign w:val="bottom"/>
          </w:tcPr>
          <w:p>
            <w:pPr>
              <w:spacing w:after="0"/>
              <w:rPr>
                <w:sz w:val="24"/>
                <w:szCs w:val="24"/>
                <w:color w:val="auto"/>
              </w:rPr>
            </w:pPr>
          </w:p>
        </w:tc>
        <w:tc>
          <w:tcPr>
            <w:tcW w:w="11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(i)</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Consolidated annual (audited), quarterly and monthly financial statements of the Company (in</w:t>
            </w:r>
          </w:p>
        </w:tc>
      </w:tr>
      <w:tr>
        <w:trPr>
          <w:trHeight w:val="234"/>
        </w:trPr>
        <w:tc>
          <w:tcPr>
            <w:tcW w:w="2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each case, for so long as such reports are prepared and provided to the other investors);</w:t>
            </w:r>
          </w:p>
        </w:tc>
      </w:tr>
      <w:tr>
        <w:trPr>
          <w:trHeight w:val="414"/>
        </w:trPr>
        <w:tc>
          <w:tcPr>
            <w:tcW w:w="2940" w:type="dxa"/>
            <w:vAlign w:val="bottom"/>
          </w:tcPr>
          <w:p>
            <w:pPr>
              <w:spacing w:after="0"/>
              <w:rPr>
                <w:sz w:val="24"/>
                <w:szCs w:val="24"/>
                <w:color w:val="auto"/>
              </w:rPr>
            </w:pPr>
          </w:p>
        </w:tc>
        <w:tc>
          <w:tcPr>
            <w:tcW w:w="11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(ii)</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Any information with respect to the Company and its subsidiaries delivered to the lenders</w:t>
            </w:r>
          </w:p>
        </w:tc>
      </w:tr>
      <w:tr>
        <w:trPr>
          <w:trHeight w:val="234"/>
        </w:trPr>
        <w:tc>
          <w:tcPr>
            <w:tcW w:w="2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pursuant to applicable credit agreement requirements;</w:t>
            </w:r>
          </w:p>
        </w:tc>
      </w:tr>
      <w:tr>
        <w:trPr>
          <w:trHeight w:val="432"/>
        </w:trPr>
        <w:tc>
          <w:tcPr>
            <w:tcW w:w="2940" w:type="dxa"/>
            <w:vAlign w:val="bottom"/>
          </w:tcPr>
          <w:p>
            <w:pPr>
              <w:spacing w:after="0"/>
              <w:rPr>
                <w:sz w:val="24"/>
                <w:szCs w:val="24"/>
                <w:color w:val="auto"/>
              </w:rPr>
            </w:pPr>
          </w:p>
        </w:tc>
        <w:tc>
          <w:tcPr>
            <w:tcW w:w="11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(iii)</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Books and records inspection rights; and</w:t>
            </w:r>
          </w:p>
        </w:tc>
      </w:tr>
      <w:tr>
        <w:trPr>
          <w:trHeight w:val="414"/>
        </w:trPr>
        <w:tc>
          <w:tcPr>
            <w:tcW w:w="2940" w:type="dxa"/>
            <w:vAlign w:val="bottom"/>
          </w:tcPr>
          <w:p>
            <w:pPr>
              <w:spacing w:after="0"/>
              <w:rPr>
                <w:sz w:val="24"/>
                <w:szCs w:val="24"/>
                <w:color w:val="auto"/>
              </w:rPr>
            </w:pPr>
          </w:p>
        </w:tc>
        <w:tc>
          <w:tcPr>
            <w:tcW w:w="11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(iv)</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right  to  reasonably  request  additional  information  and  discuss  affairs  with  senior</w:t>
            </w:r>
          </w:p>
        </w:tc>
      </w:tr>
      <w:tr>
        <w:trPr>
          <w:trHeight w:val="234"/>
        </w:trPr>
        <w:tc>
          <w:tcPr>
            <w:tcW w:w="2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management.</w:t>
            </w:r>
          </w:p>
        </w:tc>
      </w:tr>
      <w:tr>
        <w:trPr>
          <w:trHeight w:val="432"/>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BINDING PROVISIONS</w:t>
            </w:r>
          </w:p>
        </w:tc>
        <w:tc>
          <w:tcPr>
            <w:tcW w:w="1160" w:type="dxa"/>
            <w:vAlign w:val="bottom"/>
          </w:tcPr>
          <w:p>
            <w:pPr>
              <w:spacing w:after="0"/>
              <w:rPr>
                <w:sz w:val="24"/>
                <w:szCs w:val="24"/>
                <w:color w:val="auto"/>
              </w:rPr>
            </w:pPr>
          </w:p>
        </w:tc>
        <w:tc>
          <w:tcPr>
            <w:tcW w:w="7140" w:type="dxa"/>
            <w:vAlign w:val="bottom"/>
          </w:tcPr>
          <w:p>
            <w:pPr>
              <w:spacing w:after="0"/>
              <w:rPr>
                <w:sz w:val="24"/>
                <w:szCs w:val="24"/>
                <w:color w:val="auto"/>
              </w:rPr>
            </w:pPr>
          </w:p>
        </w:tc>
      </w:tr>
      <w:tr>
        <w:trPr>
          <w:trHeight w:val="414"/>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Confidentiality</w:t>
            </w:r>
          </w:p>
        </w:tc>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Each party agrees that, without the prior written consent of the other party, it will not disclose to any third party</w:t>
            </w:r>
          </w:p>
        </w:tc>
      </w:tr>
      <w:tr>
        <w:trPr>
          <w:trHeight w:val="212"/>
        </w:trPr>
        <w:tc>
          <w:tcPr>
            <w:tcW w:w="2940" w:type="dxa"/>
            <w:vAlign w:val="bottom"/>
          </w:tcPr>
          <w:p>
            <w:pPr>
              <w:spacing w:after="0"/>
              <w:rPr>
                <w:sz w:val="18"/>
                <w:szCs w:val="18"/>
                <w:color w:val="auto"/>
              </w:rPr>
            </w:pP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existence</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 terms of this term sheet or any of the transactions contemplated hereby (collectively,</w:t>
            </w:r>
          </w:p>
        </w:tc>
      </w:tr>
      <w:tr>
        <w:trPr>
          <w:trHeight w:val="220"/>
        </w:trPr>
        <w:tc>
          <w:tcPr>
            <w:tcW w:w="2940" w:type="dxa"/>
            <w:vAlign w:val="bottom"/>
          </w:tcPr>
          <w:p>
            <w:pPr>
              <w:spacing w:after="0"/>
              <w:rPr>
                <w:sz w:val="19"/>
                <w:szCs w:val="19"/>
                <w:color w:val="auto"/>
              </w:rPr>
            </w:pPr>
          </w:p>
        </w:tc>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except to such party's affiliates and its and their respective directors, officers,</w:t>
            </w:r>
          </w:p>
        </w:tc>
      </w:tr>
      <w:tr>
        <w:trPr>
          <w:trHeight w:val="212"/>
        </w:trPr>
        <w:tc>
          <w:tcPr>
            <w:tcW w:w="2940" w:type="dxa"/>
            <w:vAlign w:val="bottom"/>
          </w:tcPr>
          <w:p>
            <w:pPr>
              <w:spacing w:after="0"/>
              <w:rPr>
                <w:sz w:val="18"/>
                <w:szCs w:val="18"/>
                <w:color w:val="auto"/>
              </w:rPr>
            </w:pPr>
          </w:p>
        </w:tc>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employees, attorneys, accountants, financial advisors, prospective investors and financing sources, and other</w:t>
            </w:r>
          </w:p>
        </w:tc>
      </w:tr>
      <w:tr>
        <w:trPr>
          <w:trHeight w:val="220"/>
        </w:trPr>
        <w:tc>
          <w:tcPr>
            <w:tcW w:w="2940" w:type="dxa"/>
            <w:vAlign w:val="bottom"/>
          </w:tcPr>
          <w:p>
            <w:pPr>
              <w:spacing w:after="0"/>
              <w:rPr>
                <w:sz w:val="19"/>
                <w:szCs w:val="19"/>
                <w:color w:val="auto"/>
              </w:rPr>
            </w:pPr>
          </w:p>
        </w:tc>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representatives (collectively,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who have a need to know such information in connection with</w:t>
            </w:r>
          </w:p>
        </w:tc>
      </w:tr>
      <w:tr>
        <w:trPr>
          <w:trHeight w:val="216"/>
        </w:trPr>
        <w:tc>
          <w:tcPr>
            <w:tcW w:w="2940" w:type="dxa"/>
            <w:vAlign w:val="bottom"/>
          </w:tcPr>
          <w:p>
            <w:pPr>
              <w:spacing w:after="0"/>
              <w:rPr>
                <w:sz w:val="18"/>
                <w:szCs w:val="18"/>
                <w:color w:val="auto"/>
              </w:rPr>
            </w:pPr>
          </w:p>
        </w:tc>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evaluation and negotiation of the proposed transaction, provided that such Representatives are informed of</w:t>
            </w:r>
          </w:p>
        </w:tc>
      </w:tr>
      <w:tr>
        <w:trPr>
          <w:trHeight w:val="216"/>
        </w:trPr>
        <w:tc>
          <w:tcPr>
            <w:tcW w:w="2940" w:type="dxa"/>
            <w:vAlign w:val="bottom"/>
          </w:tcPr>
          <w:p>
            <w:pPr>
              <w:spacing w:after="0"/>
              <w:rPr>
                <w:sz w:val="18"/>
                <w:szCs w:val="18"/>
                <w:color w:val="auto"/>
              </w:rPr>
            </w:pPr>
          </w:p>
        </w:tc>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confidential nature of such information and are directed to treat it in accordance with the terms of this</w:t>
            </w:r>
          </w:p>
        </w:tc>
      </w:tr>
      <w:tr>
        <w:trPr>
          <w:trHeight w:val="234"/>
        </w:trPr>
        <w:tc>
          <w:tcPr>
            <w:tcW w:w="2940" w:type="dxa"/>
            <w:vAlign w:val="bottom"/>
          </w:tcPr>
          <w:p>
            <w:pPr>
              <w:spacing w:after="0"/>
              <w:rPr>
                <w:sz w:val="20"/>
                <w:szCs w:val="20"/>
                <w:color w:val="auto"/>
              </w:rPr>
            </w:pP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w:t>
            </w:r>
          </w:p>
        </w:tc>
        <w:tc>
          <w:tcPr>
            <w:tcW w:w="71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45"/>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CONFIDENTIAL</w:t>
            </w:r>
          </w:p>
        </w:tc>
        <w:tc>
          <w:tcPr>
            <w:tcW w:w="220" w:type="dxa"/>
            <w:vAlign w:val="bottom"/>
            <w:tcBorders>
              <w:bottom w:val="single" w:sz="8" w:color="auto"/>
            </w:tcBorders>
          </w:tcPr>
          <w:p>
            <w:pPr>
              <w:spacing w:after="0"/>
              <w:rPr>
                <w:sz w:val="21"/>
                <w:szCs w:val="21"/>
                <w:color w:val="auto"/>
              </w:rPr>
            </w:pPr>
          </w:p>
        </w:tc>
        <w:tc>
          <w:tcPr>
            <w:tcW w:w="8200" w:type="dxa"/>
            <w:vAlign w:val="bottom"/>
            <w:tcBorders>
              <w:bottom w:val="single" w:sz="8" w:color="auto"/>
            </w:tcBorders>
          </w:tcPr>
          <w:p>
            <w:pPr>
              <w:ind w:left="3540"/>
              <w:spacing w:after="0"/>
              <w:rPr>
                <w:sz w:val="20"/>
                <w:szCs w:val="20"/>
                <w:color w:val="auto"/>
              </w:rPr>
            </w:pPr>
            <w:r>
              <w:rPr>
                <w:rFonts w:ascii="Times New Roman" w:cs="Times New Roman" w:eastAsia="Times New Roman" w:hAnsi="Times New Roman"/>
                <w:sz w:val="18"/>
                <w:szCs w:val="18"/>
                <w:b w:val="1"/>
                <w:bCs w:val="1"/>
                <w:color w:val="auto"/>
                <w:w w:val="99"/>
              </w:rPr>
              <w:t>PAUL, WEISS, RIFKIND, WHARTON &amp; GARRISON LLP</w:t>
            </w:r>
          </w:p>
        </w:tc>
        <w:tc>
          <w:tcPr>
            <w:tcW w:w="20" w:type="dxa"/>
            <w:vAlign w:val="bottom"/>
          </w:tcPr>
          <w:p>
            <w:pPr>
              <w:spacing w:after="0"/>
              <w:rPr>
                <w:sz w:val="21"/>
                <w:szCs w:val="21"/>
                <w:color w:val="auto"/>
              </w:rPr>
            </w:pPr>
          </w:p>
        </w:tc>
      </w:tr>
      <w:tr>
        <w:trPr>
          <w:trHeight w:val="655"/>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220" w:type="dxa"/>
            <w:vAlign w:val="bottom"/>
          </w:tcPr>
          <w:p>
            <w:pPr>
              <w:spacing w:after="0"/>
              <w:rPr>
                <w:sz w:val="24"/>
                <w:szCs w:val="24"/>
                <w:color w:val="auto"/>
              </w:rPr>
            </w:pPr>
          </w:p>
        </w:tc>
        <w:tc>
          <w:tcPr>
            <w:tcW w:w="8220" w:type="dxa"/>
            <w:vAlign w:val="bottom"/>
            <w:gridSpan w:val="2"/>
          </w:tcPr>
          <w:p>
            <w:pPr>
              <w:ind w:left="3620"/>
              <w:spacing w:after="0"/>
              <w:rPr>
                <w:sz w:val="20"/>
                <w:szCs w:val="20"/>
                <w:color w:val="auto"/>
              </w:rPr>
            </w:pPr>
            <w:r>
              <w:rPr>
                <w:rFonts w:ascii="Times New Roman" w:cs="Times New Roman" w:eastAsia="Times New Roman" w:hAnsi="Times New Roman"/>
                <w:sz w:val="18"/>
                <w:szCs w:val="18"/>
                <w:b w:val="1"/>
                <w:bCs w:val="1"/>
                <w:color w:val="auto"/>
              </w:rPr>
              <w:t>SUMMARY</w:t>
            </w:r>
          </w:p>
        </w:tc>
      </w:tr>
      <w:tr>
        <w:trPr>
          <w:trHeight w:val="198"/>
        </w:trPr>
        <w:tc>
          <w:tcPr>
            <w:tcW w:w="2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2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Notwithstanding the foregoing, either party may disclose Confidential Information to the extent required by</w:t>
            </w:r>
          </w:p>
        </w:tc>
        <w:tc>
          <w:tcPr>
            <w:tcW w:w="20" w:type="dxa"/>
            <w:vAlign w:val="bottom"/>
          </w:tcPr>
          <w:p>
            <w:pPr>
              <w:spacing w:after="0"/>
              <w:rPr>
                <w:sz w:val="17"/>
                <w:szCs w:val="17"/>
                <w:color w:val="auto"/>
              </w:rPr>
            </w:pPr>
          </w:p>
        </w:tc>
      </w:tr>
      <w:tr>
        <w:trPr>
          <w:trHeight w:val="216"/>
        </w:trPr>
        <w:tc>
          <w:tcPr>
            <w:tcW w:w="282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applicable law, regulation, or legal process, provided that the disclosing party shall, to the extent legally</w:t>
            </w:r>
          </w:p>
        </w:tc>
      </w:tr>
      <w:tr>
        <w:trPr>
          <w:trHeight w:val="216"/>
        </w:trPr>
        <w:tc>
          <w:tcPr>
            <w:tcW w:w="282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permitted, provide prompt written notice to the other party of such requirement so that the other party may seek</w:t>
            </w:r>
          </w:p>
        </w:tc>
      </w:tr>
      <w:tr>
        <w:trPr>
          <w:trHeight w:val="234"/>
        </w:trPr>
        <w:tc>
          <w:tcPr>
            <w:tcW w:w="2820" w:type="dxa"/>
            <w:vAlign w:val="bottom"/>
          </w:tcPr>
          <w:p>
            <w:pPr>
              <w:spacing w:after="0"/>
              <w:rPr>
                <w:sz w:val="20"/>
                <w:szCs w:val="20"/>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an appropriate protective order or other remedy.</w:t>
            </w:r>
          </w:p>
        </w:tc>
      </w:tr>
      <w:tr>
        <w:trPr>
          <w:trHeight w:val="414"/>
        </w:trPr>
        <w:tc>
          <w:tcPr>
            <w:tcW w:w="2820" w:type="dxa"/>
            <w:vAlign w:val="bottom"/>
          </w:tcPr>
          <w:p>
            <w:pPr>
              <w:spacing w:after="0"/>
              <w:rPr>
                <w:sz w:val="24"/>
                <w:szCs w:val="24"/>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obligations set forth in this section shall survive any termination of discussions between the parties with</w:t>
            </w:r>
          </w:p>
        </w:tc>
      </w:tr>
      <w:tr>
        <w:trPr>
          <w:trHeight w:val="216"/>
        </w:trPr>
        <w:tc>
          <w:tcPr>
            <w:tcW w:w="282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respect to the proposed transaction and shall remain in effect for a period of 12 months following the date hereof,</w:t>
            </w:r>
          </w:p>
        </w:tc>
      </w:tr>
      <w:tr>
        <w:trPr>
          <w:trHeight w:val="216"/>
        </w:trPr>
        <w:tc>
          <w:tcPr>
            <w:tcW w:w="282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regardless of whether the proposed transaction is consummated. Each party acknowledges that a breach of this</w:t>
            </w:r>
          </w:p>
        </w:tc>
      </w:tr>
      <w:tr>
        <w:trPr>
          <w:trHeight w:val="216"/>
        </w:trPr>
        <w:tc>
          <w:tcPr>
            <w:tcW w:w="282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provision would cause irreparable harm to the other party, and that, in addition to any other remedies available at</w:t>
            </w:r>
          </w:p>
        </w:tc>
      </w:tr>
      <w:tr>
        <w:trPr>
          <w:trHeight w:val="216"/>
        </w:trPr>
        <w:tc>
          <w:tcPr>
            <w:tcW w:w="282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law or in equity, the non-breaching party shall be entitled to equitable relief, including injunction and specific</w:t>
            </w:r>
          </w:p>
        </w:tc>
      </w:tr>
      <w:tr>
        <w:trPr>
          <w:trHeight w:val="234"/>
        </w:trPr>
        <w:tc>
          <w:tcPr>
            <w:tcW w:w="2820" w:type="dxa"/>
            <w:vAlign w:val="bottom"/>
          </w:tcPr>
          <w:p>
            <w:pPr>
              <w:spacing w:after="0"/>
              <w:rPr>
                <w:sz w:val="20"/>
                <w:szCs w:val="20"/>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performance, without the necessity of proving actual damages or posting any bond or other security.</w:t>
            </w:r>
          </w:p>
        </w:tc>
      </w:tr>
      <w:tr>
        <w:trPr>
          <w:trHeight w:val="414"/>
        </w:trPr>
        <w:tc>
          <w:tcPr>
            <w:tcW w:w="2820" w:type="dxa"/>
            <w:vAlign w:val="bottom"/>
          </w:tcPr>
          <w:p>
            <w:pPr>
              <w:spacing w:after="0"/>
              <w:rPr>
                <w:sz w:val="24"/>
                <w:szCs w:val="24"/>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If a party materially breaches the foregoing confidentiality provision and fails to cure such breach within 30 days</w:t>
            </w:r>
          </w:p>
        </w:tc>
      </w:tr>
      <w:tr>
        <w:trPr>
          <w:trHeight w:val="212"/>
        </w:trPr>
        <w:tc>
          <w:tcPr>
            <w:tcW w:w="282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of receiving written notice of such breach from the non-breaching party, such breaching party shall owe</w:t>
            </w:r>
          </w:p>
        </w:tc>
      </w:tr>
      <w:tr>
        <w:trPr>
          <w:trHeight w:val="216"/>
        </w:trPr>
        <w:tc>
          <w:tcPr>
            <w:tcW w:w="282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liquidated damages to the non-breaching party in the amount of $500,000 (the “</w:t>
            </w:r>
            <w:r>
              <w:rPr>
                <w:rFonts w:ascii="Times New Roman" w:cs="Times New Roman" w:eastAsia="Times New Roman" w:hAnsi="Times New Roman"/>
                <w:sz w:val="18"/>
                <w:szCs w:val="18"/>
                <w:b w:val="1"/>
                <w:bCs w:val="1"/>
                <w:color w:val="auto"/>
              </w:rPr>
              <w:t>Liquidated Damages</w:t>
            </w:r>
          </w:p>
        </w:tc>
      </w:tr>
      <w:tr>
        <w:trPr>
          <w:trHeight w:val="220"/>
        </w:trPr>
        <w:tc>
          <w:tcPr>
            <w:tcW w:w="2820" w:type="dxa"/>
            <w:vAlign w:val="bottom"/>
          </w:tcPr>
          <w:p>
            <w:pPr>
              <w:spacing w:after="0"/>
              <w:rPr>
                <w:sz w:val="19"/>
                <w:szCs w:val="19"/>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The parties acknowledge that the Liquidated Damages Amount represents a reasonable estimate of</w:t>
            </w:r>
          </w:p>
        </w:tc>
      </w:tr>
      <w:tr>
        <w:trPr>
          <w:trHeight w:val="216"/>
        </w:trPr>
        <w:tc>
          <w:tcPr>
            <w:tcW w:w="282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losses that would be suffered by the parties in the event of a breach described in this paragraph, and the</w:t>
            </w:r>
          </w:p>
        </w:tc>
      </w:tr>
      <w:tr>
        <w:trPr>
          <w:trHeight w:val="216"/>
        </w:trPr>
        <w:tc>
          <w:tcPr>
            <w:tcW w:w="282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payment of such amount is not a penalty but rather constitutes liquidated damages in a reasonable amount that</w:t>
            </w:r>
          </w:p>
        </w:tc>
      </w:tr>
      <w:tr>
        <w:trPr>
          <w:trHeight w:val="216"/>
        </w:trPr>
        <w:tc>
          <w:tcPr>
            <w:tcW w:w="282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will compensate the parties for the efforts and resources expended and opportunities forgone while negotiating</w:t>
            </w:r>
          </w:p>
        </w:tc>
      </w:tr>
      <w:tr>
        <w:trPr>
          <w:trHeight w:val="234"/>
        </w:trPr>
        <w:tc>
          <w:tcPr>
            <w:tcW w:w="2820" w:type="dxa"/>
            <w:vAlign w:val="bottom"/>
          </w:tcPr>
          <w:p>
            <w:pPr>
              <w:spacing w:after="0"/>
              <w:rPr>
                <w:sz w:val="20"/>
                <w:szCs w:val="20"/>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this term sheet and pursuing the transactions contemplated hereby.</w:t>
            </w:r>
          </w:p>
        </w:tc>
      </w:tr>
      <w:tr>
        <w:trPr>
          <w:trHeight w:val="414"/>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Governing Law; Venue; Jury Trial</w:t>
            </w: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This term sheet shall be governed by the laws of the State of Delaware, without regard to conflicts of law</w:t>
            </w:r>
          </w:p>
        </w:tc>
      </w:tr>
      <w:tr>
        <w:trPr>
          <w:trHeight w:val="216"/>
        </w:trPr>
        <w:tc>
          <w:tcPr>
            <w:tcW w:w="282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principles. Each party submits to the exclusive jurisdiction of the Court of Chancery of the State of Delaware or,</w:t>
            </w:r>
          </w:p>
        </w:tc>
      </w:tr>
      <w:tr>
        <w:trPr>
          <w:trHeight w:val="216"/>
        </w:trPr>
        <w:tc>
          <w:tcPr>
            <w:tcW w:w="2820" w:type="dxa"/>
            <w:vAlign w:val="bottom"/>
          </w:tcPr>
          <w:p>
            <w:pPr>
              <w:spacing w:after="0"/>
              <w:rPr>
                <w:sz w:val="18"/>
                <w:szCs w:val="18"/>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if such court lacks jurisdiction, any other state or federal court in the State of Delaware. Each party irrevocably</w:t>
            </w:r>
          </w:p>
        </w:tc>
      </w:tr>
      <w:tr>
        <w:trPr>
          <w:trHeight w:val="234"/>
        </w:trPr>
        <w:tc>
          <w:tcPr>
            <w:tcW w:w="2820" w:type="dxa"/>
            <w:vAlign w:val="bottom"/>
          </w:tcPr>
          <w:p>
            <w:pPr>
              <w:spacing w:after="0"/>
              <w:rPr>
                <w:sz w:val="20"/>
                <w:szCs w:val="20"/>
                <w:color w:val="auto"/>
              </w:rPr>
            </w:pPr>
          </w:p>
        </w:tc>
        <w:tc>
          <w:tcPr>
            <w:tcW w:w="8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waives trial by jury.</w:t>
            </w:r>
          </w:p>
        </w:tc>
      </w:tr>
      <w:tr>
        <w:trPr>
          <w:trHeight w:val="432"/>
        </w:trPr>
        <w:tc>
          <w:tcPr>
            <w:tcW w:w="2820" w:type="dxa"/>
            <w:vAlign w:val="bottom"/>
          </w:tcPr>
          <w:p>
            <w:pPr>
              <w:spacing w:after="0"/>
              <w:rPr>
                <w:sz w:val="24"/>
                <w:szCs w:val="24"/>
                <w:color w:val="auto"/>
              </w:rPr>
            </w:pPr>
          </w:p>
        </w:tc>
        <w:tc>
          <w:tcPr>
            <w:tcW w:w="8420" w:type="dxa"/>
            <w:vAlign w:val="bottom"/>
            <w:gridSpan w:val="2"/>
          </w:tcPr>
          <w:p>
            <w:pPr>
              <w:jc w:val="right"/>
              <w:ind w:right="5350"/>
              <w:spacing w:after="0"/>
              <w:rPr>
                <w:sz w:val="20"/>
                <w:szCs w:val="20"/>
                <w:color w:val="auto"/>
              </w:rPr>
            </w:pPr>
            <w:r>
              <w:rPr>
                <w:rFonts w:ascii="Times New Roman" w:cs="Times New Roman" w:eastAsia="Times New Roman" w:hAnsi="Times New Roman"/>
                <w:sz w:val="18"/>
                <w:szCs w:val="18"/>
                <w:b w:val="1"/>
                <w:bCs w:val="1"/>
                <w:color w:val="auto"/>
              </w:rPr>
              <w:t>* * *</w:t>
            </w:r>
          </w:p>
        </w:tc>
        <w:tc>
          <w:tcPr>
            <w:tcW w:w="20" w:type="dxa"/>
            <w:vAlign w:val="bottom"/>
          </w:tcPr>
          <w:p>
            <w:pPr>
              <w:spacing w:after="0"/>
              <w:rPr>
                <w:sz w:val="24"/>
                <w:szCs w:val="24"/>
                <w:color w:val="auto"/>
              </w:rPr>
            </w:pPr>
          </w:p>
        </w:tc>
      </w:tr>
      <w:tr>
        <w:trPr>
          <w:trHeight w:val="655"/>
        </w:trPr>
        <w:tc>
          <w:tcPr>
            <w:tcW w:w="2820" w:type="dxa"/>
            <w:vAlign w:val="bottom"/>
            <w:tcBorders>
              <w:bottom w:val="single" w:sz="8" w:color="auto"/>
            </w:tcBorders>
          </w:tcPr>
          <w:p>
            <w:pPr>
              <w:spacing w:after="0"/>
              <w:rPr>
                <w:sz w:val="24"/>
                <w:szCs w:val="24"/>
                <w:color w:val="auto"/>
              </w:rPr>
            </w:pPr>
          </w:p>
        </w:tc>
        <w:tc>
          <w:tcPr>
            <w:tcW w:w="8420" w:type="dxa"/>
            <w:vAlign w:val="bottom"/>
            <w:tcBorders>
              <w:bottom w:val="single" w:sz="8" w:color="auto"/>
            </w:tcBorders>
            <w:gridSpan w:val="2"/>
          </w:tcPr>
          <w:p>
            <w:pPr>
              <w:jc w:val="right"/>
              <w:ind w:right="549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19" w:name="page20"/>
    <w:bookmarkEnd w:id="19"/>
    <w:p>
      <w:pPr>
        <w:spacing w:after="0"/>
        <w:tabs>
          <w:tab w:leader="none" w:pos="6560" w:val="left"/>
        </w:tabs>
        <w:rPr>
          <w:sz w:val="20"/>
          <w:szCs w:val="20"/>
          <w:color w:val="auto"/>
        </w:rPr>
      </w:pPr>
      <w:r>
        <w:rPr>
          <w:rFonts w:ascii="Times New Roman" w:cs="Times New Roman" w:eastAsia="Times New Roman" w:hAnsi="Times New Roman"/>
          <w:sz w:val="17"/>
          <w:szCs w:val="17"/>
          <w:b w:val="1"/>
          <w:bCs w:val="1"/>
          <w:color w:val="auto"/>
        </w:rPr>
        <w:t>CONFIDENTIAL</w:t>
      </w:r>
      <w:r>
        <w:rPr>
          <w:sz w:val="20"/>
          <w:szCs w:val="20"/>
          <w:color w:val="auto"/>
        </w:rPr>
        <w:tab/>
      </w:r>
      <w:r>
        <w:rPr>
          <w:rFonts w:ascii="Times New Roman" w:cs="Times New Roman" w:eastAsia="Times New Roman" w:hAnsi="Times New Roman"/>
          <w:sz w:val="17"/>
          <w:szCs w:val="17"/>
          <w:b w:val="1"/>
          <w:bCs w:val="1"/>
          <w:color w:val="auto"/>
        </w:rPr>
        <w:t>PAUL, WEISS, RIFKIND, WHARTON &amp; GARRISON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by the undersigned as of the date first written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COBBLERS COVE CAPITAL LP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Matthew Perkal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Matthew Perkal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ARKHOUSE MANAGEMENT CO. LP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Gavriel Kahane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Gavriel Kahane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156845</wp:posOffset>
            </wp:positionV>
            <wp:extent cx="2571750" cy="17659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71750"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2026</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Via email:</w:t>
      </w:r>
      <w:r>
        <w:rPr>
          <w:sz w:val="20"/>
          <w:szCs w:val="20"/>
          <w:color w:val="auto"/>
        </w:rPr>
        <w:tab/>
      </w:r>
      <w:r>
        <w:rPr>
          <w:rFonts w:ascii="Times New Roman" w:cs="Times New Roman" w:eastAsia="Times New Roman" w:hAnsi="Times New Roman"/>
          <w:sz w:val="17"/>
          <w:szCs w:val="17"/>
          <w:color w:val="auto"/>
        </w:rPr>
        <w:t>mp@cobblerscovecapital.com</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gavriel@arkhousefund.com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Perkal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Cobblers Cove Capital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 Rutledge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Charleston, SC 29401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Gavriel Kahane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Arkhouse Management Co.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 West 56th Street, 17th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Non-Binding Proposal to Acquire Dine Brands Global,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Matthew &amp; Gavriel:</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am writing on behalf of the Board of Directors (the “Board”) of Dine Brands Global, Inc. (the “Company”) in response to your letter dated October 26, 2026.</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Your letter has been reviewed by the Company and the Board. While we appreciate your interest, the Board has determined that the proposed transaction would not be in the best interests of the Company and its stockholders. We therefore decline to proceed with the proposed transaction.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is committed to and focused on creating shareholder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Peyton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340" w:right="6320" w:hanging="332"/>
        <w:spacing w:after="0" w:line="257"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 Marell, Paul, Weiss, Rifkind, Wharton &amp; Garrison LLP Cullen Sinclair, Paul, Weiss, Rifkind, Wharton &amp; Garrison LLP Kai Liekefett, Sidley Austin LLP</w:t>
      </w:r>
    </w:p>
    <w:p>
      <w:pPr>
        <w:spacing w:after="0" w:line="1" w:lineRule="exact"/>
        <w:rPr>
          <w:rFonts w:ascii="Times New Roman" w:cs="Times New Roman" w:eastAsia="Times New Roman" w:hAnsi="Times New Roman"/>
          <w:sz w:val="18"/>
          <w:szCs w:val="18"/>
          <w:color w:val="auto"/>
        </w:rPr>
      </w:pPr>
    </w:p>
    <w:p>
      <w:pPr>
        <w:ind w:left="340" w:right="818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David Grubman, Sidley Austin LLP Reuben Zaramian, Sidley Austin LLP</w:t>
      </w:r>
    </w:p>
    <w:p>
      <w:pPr>
        <w:sectPr>
          <w:pgSz w:w="11900" w:h="16838" w:orient="portrait"/>
          <w:cols w:equalWidth="0" w:num="1">
            <w:col w:w="11240"/>
          </w:cols>
          <w:pgMar w:left="320" w:top="117"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November 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 Email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Dine Brands Global,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West Walnut Street, 5th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Pasadena, California 91103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Non-Binding Proposal to Acquire Dine Brands Global,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Members of the Board: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received the response letter from John Peyton dated October 29, 2026 stating that the Board has declined to proceed with our proposed transaction.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disappointed that the Board rejected our proposal without engaging with us. We understand that the Company only noticed it had received a proposal from us on the afternoon of October 28, less than 24 hours before Mr. Peyton communicated the Board’s decision. Given the substantial premium offered and our stated willingness to explore a higher price, we believe our proposal warrants further consideration.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offer price represented a 32.8% premium to the Company’s 30-day VWAP and 25.4% to its closing price of $31.10 on October 23, 2026. We also stated in our proposal that we were optimistic that access to management and confirmatory due diligence would allow us to identify additional value that could support an increase in our proposed price.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the interests of the Company and its stockholders would be best served by a substantive evaluation of our proposal and engagement with us to assess both the merits of our premium offer and our ability to improve it.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have heard from franchisees representing a meaningful portion of the company’s units that current investment and support is inadequate. We would be prepared to increase franchisee support as appropriate, and believe our proposal presents an opportunity to strengthen the franchise system while delivering compelling value to stockholders.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remain eager to work with you toward the Proposed Transaction. Once you have announced your third quarter earnings on November 4, we welcome the opportunity to engage in a discussion of our proposal and the access we would need to potentially increase our offer price.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respectfully request that this letter be shared with all members of the Board.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Sincerely,</w:t>
            </w:r>
          </w:p>
        </w:tc>
        <w:tc>
          <w:tcPr>
            <w:tcW w:w="5500" w:type="dxa"/>
            <w:vAlign w:val="bottom"/>
          </w:tcPr>
          <w:p>
            <w:pPr>
              <w:spacing w:after="0"/>
              <w:rPr>
                <w:sz w:val="20"/>
                <w:szCs w:val="20"/>
                <w:color w:val="auto"/>
              </w:rPr>
            </w:pPr>
          </w:p>
        </w:tc>
      </w:tr>
      <w:tr>
        <w:trPr>
          <w:trHeight w:val="452"/>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Matthew Perkal</w:t>
            </w: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 Gavriel Kahane</w:t>
            </w:r>
          </w:p>
        </w:tc>
      </w:tr>
      <w:tr>
        <w:trPr>
          <w:trHeight w:val="198"/>
        </w:trPr>
        <w:tc>
          <w:tcPr>
            <w:tcW w:w="55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Matthew Perkal</w:t>
            </w:r>
          </w:p>
        </w:tc>
        <w:tc>
          <w:tcPr>
            <w:tcW w:w="220" w:type="dxa"/>
            <w:vAlign w:val="bottom"/>
          </w:tcPr>
          <w:p>
            <w:pPr>
              <w:spacing w:after="0"/>
              <w:rPr>
                <w:sz w:val="17"/>
                <w:szCs w:val="17"/>
                <w:color w:val="auto"/>
              </w:rPr>
            </w:pPr>
          </w:p>
        </w:tc>
        <w:tc>
          <w:tcPr>
            <w:tcW w:w="55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Gavriel Kahane</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Partner</w:t>
            </w: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w:t>
            </w:r>
          </w:p>
        </w:tc>
      </w:t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Cobblers Cove Capital LP</w:t>
            </w: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Arkhouse Management Co. LP</w:t>
            </w:r>
          </w:p>
        </w:tc>
      </w:tr>
      <w:tr>
        <w:trPr>
          <w:trHeight w:val="432"/>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w:t>
            </w:r>
          </w:p>
        </w:tc>
        <w:tc>
          <w:tcPr>
            <w:tcW w:w="5500" w:type="dxa"/>
            <w:vAlign w:val="bottom"/>
          </w:tcPr>
          <w:p>
            <w:pPr>
              <w:spacing w:after="0"/>
              <w:rPr>
                <w:sz w:val="24"/>
                <w:szCs w:val="24"/>
                <w:color w:val="auto"/>
              </w:rPr>
            </w:pPr>
          </w:p>
        </w:tc>
      </w:tr>
      <w:tr>
        <w:trPr>
          <w:trHeight w:val="414"/>
        </w:trPr>
        <w:tc>
          <w:tcPr>
            <w:tcW w:w="5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Jeff Marell</w:t>
            </w:r>
          </w:p>
        </w:tc>
        <w:tc>
          <w:tcPr>
            <w:tcW w:w="5500" w:type="dxa"/>
            <w:vAlign w:val="bottom"/>
          </w:tcPr>
          <w:p>
            <w:pPr>
              <w:spacing w:after="0"/>
              <w:rPr>
                <w:sz w:val="24"/>
                <w:szCs w:val="24"/>
                <w:color w:val="auto"/>
              </w:rPr>
            </w:pPr>
          </w:p>
        </w:tc>
      </w:tr>
      <w:tr>
        <w:trPr>
          <w:trHeight w:val="216"/>
        </w:trPr>
        <w:tc>
          <w:tcPr>
            <w:tcW w:w="5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Partner</w:t>
            </w:r>
          </w:p>
        </w:tc>
        <w:tc>
          <w:tcPr>
            <w:tcW w:w="5500" w:type="dxa"/>
            <w:vAlign w:val="bottom"/>
          </w:tcPr>
          <w:p>
            <w:pPr>
              <w:spacing w:after="0"/>
              <w:rPr>
                <w:sz w:val="18"/>
                <w:szCs w:val="18"/>
                <w:color w:val="auto"/>
              </w:rPr>
            </w:pPr>
          </w:p>
        </w:tc>
      </w:tr>
      <w:tr>
        <w:trPr>
          <w:trHeight w:val="234"/>
        </w:trPr>
        <w:tc>
          <w:tcPr>
            <w:tcW w:w="5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Paul, Weiss, Rifkind, Wharton &amp; Garrison LLP</w:t>
            </w:r>
          </w:p>
        </w:tc>
        <w:tc>
          <w:tcPr>
            <w:tcW w:w="5500" w:type="dxa"/>
            <w:vAlign w:val="bottom"/>
          </w:tcPr>
          <w:p>
            <w:pPr>
              <w:spacing w:after="0"/>
              <w:rPr>
                <w:sz w:val="20"/>
                <w:szCs w:val="20"/>
                <w:color w:val="auto"/>
              </w:rPr>
            </w:pPr>
          </w:p>
        </w:tc>
      </w:tr>
      <w:tr>
        <w:trPr>
          <w:trHeight w:val="414"/>
        </w:trPr>
        <w:tc>
          <w:tcPr>
            <w:tcW w:w="5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Cullen Sinclair</w:t>
            </w:r>
          </w:p>
        </w:tc>
        <w:tc>
          <w:tcPr>
            <w:tcW w:w="5500" w:type="dxa"/>
            <w:vAlign w:val="bottom"/>
          </w:tcPr>
          <w:p>
            <w:pPr>
              <w:spacing w:after="0"/>
              <w:rPr>
                <w:sz w:val="24"/>
                <w:szCs w:val="24"/>
                <w:color w:val="auto"/>
              </w:rPr>
            </w:pPr>
          </w:p>
        </w:tc>
      </w:tr>
      <w:tr>
        <w:trPr>
          <w:trHeight w:val="216"/>
        </w:trPr>
        <w:tc>
          <w:tcPr>
            <w:tcW w:w="5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Partner</w:t>
            </w:r>
          </w:p>
        </w:tc>
        <w:tc>
          <w:tcPr>
            <w:tcW w:w="5500" w:type="dxa"/>
            <w:vAlign w:val="bottom"/>
          </w:tcPr>
          <w:p>
            <w:pPr>
              <w:spacing w:after="0"/>
              <w:rPr>
                <w:sz w:val="18"/>
                <w:szCs w:val="18"/>
                <w:color w:val="auto"/>
              </w:rPr>
            </w:pPr>
          </w:p>
        </w:tc>
      </w:tr>
      <w:tr>
        <w:trPr>
          <w:trHeight w:val="234"/>
        </w:trPr>
        <w:tc>
          <w:tcPr>
            <w:tcW w:w="5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Paul, Weiss, Rifkind, Wharton &amp; Garrison LLP</w:t>
            </w:r>
          </w:p>
        </w:tc>
        <w:tc>
          <w:tcPr>
            <w:tcW w:w="5500" w:type="dxa"/>
            <w:vAlign w:val="bottom"/>
          </w:tcPr>
          <w:p>
            <w:pPr>
              <w:spacing w:after="0"/>
              <w:rPr>
                <w:sz w:val="20"/>
                <w:szCs w:val="20"/>
                <w:color w:val="auto"/>
              </w:rPr>
            </w:pPr>
          </w:p>
        </w:tc>
      </w:tr>
    </w:tbl>
    <w:p>
      <w:pPr>
        <w:sectPr>
          <w:pgSz w:w="11900" w:h="16838" w:orient="portrait"/>
          <w:cols w:equalWidth="0" w:num="1">
            <w:col w:w="11240"/>
          </w:cols>
          <w:pgMar w:left="320" w:top="117"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99.5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TRADING DATA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set forth all transactions with respect to Common Stock effected in the last sixty days by the Reporting Persons or on behalf of the Reporting Persons. Unless otherwise noted below, all such transactions were purchases or sales of Common Stock effected in the open market. Prices exclude commissions.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5"/>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Buy/Sell</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80" w:type="dxa"/>
            <w:vAlign w:val="bottom"/>
          </w:tcPr>
          <w:p>
            <w:pPr>
              <w:spacing w:after="0"/>
              <w:rPr>
                <w:sz w:val="21"/>
                <w:szCs w:val="21"/>
                <w:color w:val="auto"/>
              </w:rPr>
            </w:pP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Security</w:t>
            </w: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separate managed accounts</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9/9/2026</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7"/>
              </w:rPr>
              <w:t>Common Stock</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separate managed accounts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9/10/2026</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Buy</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50000</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28.402</w:t>
            </w: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Common Stock</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separate managed accounts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9/11/2026</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Buy</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50000</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28.309</w:t>
            </w:r>
          </w:p>
        </w:tc>
        <w:tc>
          <w:tcPr>
            <w:tcW w:w="1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Common Stock</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separate managed accounts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9/15/2026</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Buy</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50000</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27.298</w:t>
            </w: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Common Stock</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separate managed accounts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9/16/2026</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Buy</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25000</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27.5594</w:t>
            </w:r>
          </w:p>
        </w:tc>
        <w:tc>
          <w:tcPr>
            <w:tcW w:w="1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Common Stock</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separate managed accounts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9/17/2026</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Buy</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50000</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28.259075</w:t>
            </w: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Common Stock</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Primary Fund</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9/18/2026</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Buy</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27500</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w:t>
            </w:r>
          </w:p>
        </w:tc>
        <w:tc>
          <w:tcPr>
            <w:tcW w:w="1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Common Stock</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 X</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9/18/2026</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Buy</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89200</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w:t>
            </w: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Common Stock</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Primary Fund</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9/18/2026</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Buy</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7500</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w:t>
            </w:r>
          </w:p>
        </w:tc>
        <w:tc>
          <w:tcPr>
            <w:tcW w:w="1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Common Stock</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 X</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9/18/2026</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Buy</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22500</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w:t>
            </w: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Common Stock</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separate managed accounts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9/18/2026</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Buy</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50000</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28.1017</w:t>
            </w:r>
          </w:p>
        </w:tc>
        <w:tc>
          <w:tcPr>
            <w:tcW w:w="1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Common Stock</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separate managed accounts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9/21/2026</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Buy</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100000</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28.5158</w:t>
            </w: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Common Stock</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 X</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10/6/2026</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38000</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29.8969</w:t>
            </w:r>
          </w:p>
        </w:tc>
        <w:tc>
          <w:tcPr>
            <w:tcW w:w="1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Common Stock</w:t>
            </w:r>
          </w:p>
        </w:tc>
      </w:t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Primary Fund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10/6/2026</w:t>
            </w:r>
          </w:p>
        </w:tc>
        <w:tc>
          <w:tcPr>
            <w:tcW w:w="120" w:type="dxa"/>
            <w:vAlign w:val="bottom"/>
          </w:tcPr>
          <w:p>
            <w:pPr>
              <w:spacing w:after="0"/>
              <w:rPr>
                <w:sz w:val="20"/>
                <w:szCs w:val="20"/>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Sell</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12000</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29.8942</w:t>
            </w: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Common Stock</w:t>
            </w:r>
          </w:p>
        </w:tc>
      </w:tr>
    </w:tbl>
    <w:p>
      <w:pPr>
        <w:spacing w:after="0" w:line="179"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Constituted the exercise of a put option by a third party counterparty with respect to shares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22"/>
          <w:szCs w:val="22"/>
          <w:b w:val="1"/>
          <w:bCs w:val="1"/>
          <w:color w:val="auto"/>
        </w:rPr>
        <w:t>Exhibit 99.6</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and in accordance with the Securities Exchange Act of 1934, as amended, and the rules and regulations thereunder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the undersigned hereby agree to the joint filing on behalf of each of them of any filing required by such party under Section 13 of the Exchange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rule or regulation thereunder (including any amendment, restatement, supplement, and/or exhibit thereto) with respect to securities of Dine Brands Global, a Delaware corporation, and further agree to the filing, furnishing, and/or incorporation by reference of this Joint Filing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as an exhibit thereto. Each of them is responsible for the timely filing of such filings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 This Agreement shall remain in full force and effect until revoked by any party hereto in a signed writing provided to each other party hereto, and then only with respect to such revoking party. This Agreement may be executed in any number of counterparts all of which taken together shall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IN WITNESS WHEREOF, the undersigned hereby execute this Agreement this 2nd day of November 2026.</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Arkhouse Management Co. LP</w:t>
      </w:r>
    </w:p>
    <w:p>
      <w:pPr>
        <w:spacing w:after="0" w:line="229" w:lineRule="exact"/>
        <w:rPr>
          <w:sz w:val="20"/>
          <w:szCs w:val="20"/>
          <w:color w:val="auto"/>
        </w:rPr>
      </w:pPr>
    </w:p>
    <w:p>
      <w:pPr>
        <w:ind w:left="6100"/>
        <w:spacing w:after="0"/>
        <w:tabs>
          <w:tab w:leader="none" w:pos="6540" w:val="left"/>
        </w:tabs>
        <w:rPr>
          <w:sz w:val="20"/>
          <w:szCs w:val="20"/>
          <w:color w:val="auto"/>
        </w:rPr>
      </w:pPr>
      <w:r>
        <w:rPr>
          <w:rFonts w:ascii="Times New Roman" w:cs="Times New Roman" w:eastAsia="Times New Roman" w:hAnsi="Times New Roman"/>
          <w:sz w:val="17"/>
          <w:szCs w:val="17"/>
          <w:color w:val="auto"/>
        </w:rPr>
        <w:t>By:</w:t>
        <w:tab/>
        <w:t>Arkhouse GP LLC, its General Partner</w:t>
      </w:r>
    </w:p>
    <w:p>
      <w:pPr>
        <w:spacing w:after="0" w:line="237" w:lineRule="exact"/>
        <w:rPr>
          <w:sz w:val="20"/>
          <w:szCs w:val="20"/>
          <w:color w:val="auto"/>
        </w:rPr>
      </w:pPr>
    </w:p>
    <w:p>
      <w:pPr>
        <w:ind w:left="6100"/>
        <w:spacing w:after="0"/>
        <w:tabs>
          <w:tab w:leader="none" w:pos="6540" w:val="left"/>
        </w:tabs>
        <w:rPr>
          <w:sz w:val="20"/>
          <w:szCs w:val="20"/>
          <w:color w:val="auto"/>
        </w:rPr>
      </w:pPr>
      <w:r>
        <w:rPr>
          <w:rFonts w:ascii="Times New Roman" w:cs="Times New Roman" w:eastAsia="Times New Roman" w:hAnsi="Times New Roman"/>
          <w:sz w:val="18"/>
          <w:szCs w:val="18"/>
          <w:color w:val="auto"/>
        </w:rPr>
        <w:t>By:</w:t>
        <w:tab/>
        <w:t>/s/ Gavriel Kahane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17145</wp:posOffset>
            </wp:positionV>
            <wp:extent cx="255460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 Gavriel Kahane</w:t>
      </w:r>
    </w:p>
    <w:p>
      <w:pPr>
        <w:spacing w:after="0" w:line="27" w:lineRule="exact"/>
        <w:rPr>
          <w:sz w:val="20"/>
          <w:szCs w:val="20"/>
          <w:color w:val="auto"/>
        </w:rPr>
      </w:pPr>
    </w:p>
    <w:p>
      <w:pPr>
        <w:ind w:left="6560"/>
        <w:spacing w:after="0"/>
        <w:tabs>
          <w:tab w:leader="none" w:pos="71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Arkhouse GP LLC</w:t>
      </w:r>
    </w:p>
    <w:p>
      <w:pPr>
        <w:spacing w:after="0" w:line="229" w:lineRule="exact"/>
        <w:rPr>
          <w:sz w:val="20"/>
          <w:szCs w:val="20"/>
          <w:color w:val="auto"/>
        </w:rPr>
      </w:pPr>
    </w:p>
    <w:p>
      <w:pPr>
        <w:ind w:left="6100"/>
        <w:spacing w:after="0"/>
        <w:tabs>
          <w:tab w:leader="none" w:pos="6540" w:val="left"/>
        </w:tabs>
        <w:rPr>
          <w:sz w:val="20"/>
          <w:szCs w:val="20"/>
          <w:color w:val="auto"/>
        </w:rPr>
      </w:pPr>
      <w:r>
        <w:rPr>
          <w:rFonts w:ascii="Times New Roman" w:cs="Times New Roman" w:eastAsia="Times New Roman" w:hAnsi="Times New Roman"/>
          <w:sz w:val="18"/>
          <w:szCs w:val="18"/>
          <w:color w:val="auto"/>
        </w:rPr>
        <w:t>By:</w:t>
        <w:tab/>
        <w:t>/s/ Gavriel Kahane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17145</wp:posOffset>
            </wp:positionV>
            <wp:extent cx="255460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 Gavriel Kahane</w:t>
      </w:r>
    </w:p>
    <w:p>
      <w:pPr>
        <w:spacing w:after="0" w:line="27" w:lineRule="exact"/>
        <w:rPr>
          <w:sz w:val="20"/>
          <w:szCs w:val="20"/>
          <w:color w:val="auto"/>
        </w:rPr>
      </w:pPr>
    </w:p>
    <w:p>
      <w:pPr>
        <w:ind w:left="6560"/>
        <w:spacing w:after="0"/>
        <w:tabs>
          <w:tab w:leader="none" w:pos="71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Arkhouse Value Fund GP X LLC</w:t>
      </w:r>
    </w:p>
    <w:p>
      <w:pPr>
        <w:spacing w:after="0" w:line="229" w:lineRule="exact"/>
        <w:rPr>
          <w:sz w:val="20"/>
          <w:szCs w:val="20"/>
          <w:color w:val="auto"/>
        </w:rPr>
      </w:pPr>
    </w:p>
    <w:p>
      <w:pPr>
        <w:ind w:left="6100"/>
        <w:spacing w:after="0"/>
        <w:tabs>
          <w:tab w:leader="none" w:pos="6540" w:val="left"/>
        </w:tabs>
        <w:rPr>
          <w:sz w:val="20"/>
          <w:szCs w:val="20"/>
          <w:color w:val="auto"/>
        </w:rPr>
      </w:pPr>
      <w:r>
        <w:rPr>
          <w:rFonts w:ascii="Times New Roman" w:cs="Times New Roman" w:eastAsia="Times New Roman" w:hAnsi="Times New Roman"/>
          <w:sz w:val="18"/>
          <w:szCs w:val="18"/>
          <w:color w:val="auto"/>
        </w:rPr>
        <w:t>By:</w:t>
        <w:tab/>
        <w:t>/s/ Gavriel Kahane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17145</wp:posOffset>
            </wp:positionV>
            <wp:extent cx="255460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 Gavriel Kahane</w:t>
      </w:r>
    </w:p>
    <w:p>
      <w:pPr>
        <w:spacing w:after="0" w:line="27" w:lineRule="exact"/>
        <w:rPr>
          <w:sz w:val="20"/>
          <w:szCs w:val="20"/>
          <w:color w:val="auto"/>
        </w:rPr>
      </w:pPr>
    </w:p>
    <w:p>
      <w:pPr>
        <w:ind w:left="6560"/>
        <w:spacing w:after="0"/>
        <w:tabs>
          <w:tab w:leader="none" w:pos="71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Arkhouse Value Fund GP II LLC</w:t>
      </w:r>
    </w:p>
    <w:p>
      <w:pPr>
        <w:spacing w:after="0" w:line="229" w:lineRule="exact"/>
        <w:rPr>
          <w:sz w:val="20"/>
          <w:szCs w:val="20"/>
          <w:color w:val="auto"/>
        </w:rPr>
      </w:pPr>
    </w:p>
    <w:p>
      <w:pPr>
        <w:ind w:left="6100"/>
        <w:spacing w:after="0"/>
        <w:tabs>
          <w:tab w:leader="none" w:pos="6540" w:val="left"/>
        </w:tabs>
        <w:rPr>
          <w:sz w:val="20"/>
          <w:szCs w:val="20"/>
          <w:color w:val="auto"/>
        </w:rPr>
      </w:pPr>
      <w:r>
        <w:rPr>
          <w:rFonts w:ascii="Times New Roman" w:cs="Times New Roman" w:eastAsia="Times New Roman" w:hAnsi="Times New Roman"/>
          <w:sz w:val="18"/>
          <w:szCs w:val="18"/>
          <w:color w:val="auto"/>
        </w:rPr>
        <w:t>By:</w:t>
        <w:tab/>
        <w:t>/s/ Gavriel Kahane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17145</wp:posOffset>
            </wp:positionV>
            <wp:extent cx="255460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 Gavriel Kahane</w:t>
      </w:r>
    </w:p>
    <w:p>
      <w:pPr>
        <w:spacing w:after="0" w:line="27" w:lineRule="exact"/>
        <w:rPr>
          <w:sz w:val="20"/>
          <w:szCs w:val="20"/>
          <w:color w:val="auto"/>
        </w:rPr>
      </w:pPr>
    </w:p>
    <w:p>
      <w:pPr>
        <w:ind w:left="6560"/>
        <w:spacing w:after="0"/>
        <w:tabs>
          <w:tab w:leader="none" w:pos="71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Gavriel Kahane</w:t>
      </w:r>
    </w:p>
    <w:p>
      <w:pPr>
        <w:spacing w:after="0" w:line="229" w:lineRule="exact"/>
        <w:rPr>
          <w:sz w:val="20"/>
          <w:szCs w:val="20"/>
          <w:color w:val="auto"/>
        </w:rPr>
      </w:pPr>
    </w:p>
    <w:p>
      <w:pPr>
        <w:ind w:left="6100"/>
        <w:spacing w:after="0"/>
        <w:tabs>
          <w:tab w:leader="none" w:pos="6540" w:val="left"/>
        </w:tabs>
        <w:rPr>
          <w:sz w:val="20"/>
          <w:szCs w:val="20"/>
          <w:color w:val="auto"/>
        </w:rPr>
      </w:pPr>
      <w:r>
        <w:rPr>
          <w:rFonts w:ascii="Times New Roman" w:cs="Times New Roman" w:eastAsia="Times New Roman" w:hAnsi="Times New Roman"/>
          <w:sz w:val="18"/>
          <w:szCs w:val="18"/>
          <w:color w:val="auto"/>
        </w:rPr>
        <w:t>By:</w:t>
        <w:tab/>
        <w:t>/s/ Gavriel Kahane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17145</wp:posOffset>
            </wp:positionV>
            <wp:extent cx="255460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 Gavriel Kahane</w:t>
      </w:r>
    </w:p>
    <w:p>
      <w:pPr>
        <w:spacing w:after="0" w:line="27" w:lineRule="exact"/>
        <w:rPr>
          <w:sz w:val="20"/>
          <w:szCs w:val="20"/>
          <w:color w:val="auto"/>
        </w:rPr>
      </w:pPr>
    </w:p>
    <w:p>
      <w:pPr>
        <w:ind w:left="6560"/>
        <w:spacing w:after="0"/>
        <w:tabs>
          <w:tab w:leader="none" w:pos="71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280035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479"/>
      </w:cols>
      <w:pgMar w:left="98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2"/>
      <w:numFmt w:val="bullet"/>
      <w:start w:val="1"/>
    </w:lvl>
  </w:abstractNum>
  <w:abstractNum w:abstractNumId="1">
    <w:nsid w:val="12200854"/>
    <w:multiLevelType w:val="hybridMultilevel"/>
    <w:lvl w:ilvl="0">
      <w:lvlJc w:val="left"/>
      <w:lvlText w:val="3"/>
      <w:numFmt w:val="bullet"/>
      <w:start w:val="1"/>
    </w:lvl>
  </w:abstractNum>
  <w:abstractNum w:abstractNumId="2">
    <w:nsid w:val="4DB127F8"/>
    <w:multiLevelType w:val="hybridMultilevel"/>
    <w:lvl w:ilvl="0">
      <w:lvlJc w:val="left"/>
      <w:lvlText w:val="2"/>
      <w:numFmt w:val="bullet"/>
      <w:start w:val="1"/>
    </w:lvl>
  </w:abstractNum>
  <w:abstractNum w:abstractNumId="3">
    <w:nsid w:val="216231B"/>
    <w:multiLevelType w:val="hybridMultilevel"/>
    <w:lvl w:ilvl="0">
      <w:lvlJc w:val="left"/>
      <w:lvlText w:val="3"/>
      <w:numFmt w:val="bullet"/>
      <w:start w:val="1"/>
    </w:lvl>
  </w:abstractNum>
  <w:abstractNum w:abstractNumId="4">
    <w:nsid w:val="1F16E9E8"/>
    <w:multiLevelType w:val="hybridMultilevel"/>
    <w:lvl w:ilvl="0">
      <w:lvlJc w:val="left"/>
      <w:lvlText w:val="5"/>
      <w:numFmt w:val="bullet"/>
      <w:start w:val="1"/>
    </w:lvl>
  </w:abstractNum>
  <w:abstractNum w:abstractNumId="5">
    <w:nsid w:val="1190CDE7"/>
    <w:multiLevelType w:val="hybridMultilevel"/>
    <w:lvl w:ilvl="0">
      <w:lvlJc w:val="left"/>
      <w:lvlText w:val="2"/>
      <w:numFmt w:val="bullet"/>
      <w:start w:val="1"/>
    </w:lvl>
  </w:abstractNum>
  <w:abstractNum w:abstractNumId="6">
    <w:nsid w:val="66EF438D"/>
    <w:multiLevelType w:val="hybridMultilevel"/>
    <w:lvl w:ilvl="0">
      <w:lvlJc w:val="left"/>
      <w:lvlText w:val="3"/>
      <w:numFmt w:val="bullet"/>
      <w:start w:val="1"/>
    </w:lvl>
  </w:abstractNum>
  <w:abstractNum w:abstractNumId="7">
    <w:nsid w:val="140E0F76"/>
    <w:multiLevelType w:val="hybridMultilevel"/>
    <w:lvl w:ilvl="0">
      <w:lvlJc w:val="left"/>
      <w:lvlText w:val="2"/>
      <w:numFmt w:val="bullet"/>
      <w:start w:val="1"/>
    </w:lvl>
  </w:abstractNum>
  <w:abstractNum w:abstractNumId="8">
    <w:nsid w:val="3352255A"/>
    <w:multiLevelType w:val="hybridMultilevel"/>
    <w:lvl w:ilvl="0">
      <w:lvlJc w:val="left"/>
      <w:lvlText w:val="2"/>
      <w:numFmt w:val="bullet"/>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lowerRoman"/>
      <w:start w:val="3"/>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2"/>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3"/>
    </w:lvl>
  </w:abstractNum>
  <w:abstractNum w:abstractNumId="15">
    <w:nsid w:val="4E6AFB66"/>
    <w:multiLevelType w:val="hybridMultilevel"/>
    <w:lvl w:ilvl="0">
      <w:lvlJc w:val="left"/>
      <w:lvlText w:val="%1:"/>
      <w:numFmt w:val="lowerLetter"/>
      <w:start w:val="29"/>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2026-11-02T19:56:45Z</dcterms:created>
  <dcterms:modified xsi:type="dcterms:W3CDTF">2026-11-02T19:56:45Z</dcterms:modified>
</cp:coreProperties>
</file>