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600"/>
        <w:spacing w:after="0" w:line="274" w:lineRule="auto"/>
        <w:rPr>
          <w:sz w:val="20"/>
          <w:szCs w:val="20"/>
          <w:color w:val="auto"/>
        </w:rPr>
      </w:pPr>
      <w:r>
        <w:rPr>
          <w:rFonts w:ascii="Times New Roman" w:cs="Times New Roman" w:eastAsia="Times New Roman" w:hAnsi="Times New Roman"/>
          <w:sz w:val="42"/>
          <w:szCs w:val="42"/>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443230</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t>SECURITIES AND EXCHANGE COMMISSION Washington, D.C. 20549</w:t>
      </w:r>
    </w:p>
    <w:p>
      <w:pPr>
        <w:spacing w:after="0" w:line="39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5"/>
          <w:szCs w:val="25"/>
          <w:color w:val="auto"/>
        </w:rPr>
        <w:t>Under the Securities Exchange Act of 1934</w:t>
      </w:r>
    </w:p>
    <w:p>
      <w:pPr>
        <w:spacing w:after="0" w:line="288"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21"/>
          <w:szCs w:val="21"/>
          <w:b w:val="1"/>
          <w:bCs w:val="1"/>
          <w:color w:val="0000FF"/>
        </w:rPr>
        <w:t>Dine Brands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70485</wp:posOffset>
            </wp:positionV>
            <wp:extent cx="59194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19470" cy="41910"/>
                    </a:xfrm>
                    <a:prstGeom prst="rect">
                      <a:avLst/>
                    </a:prstGeom>
                    <a:noFill/>
                  </pic:spPr>
                </pic:pic>
              </a:graphicData>
            </a:graphic>
          </wp:anchor>
        </w:drawing>
      </w:r>
    </w:p>
    <w:p>
      <w:pPr>
        <w:spacing w:after="0" w:line="21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21"/>
          <w:szCs w:val="21"/>
          <w:b w:val="1"/>
          <w:bCs w:val="1"/>
          <w:color w:val="auto"/>
        </w:rPr>
        <w:t>(Name of Issuer)</w:t>
      </w:r>
    </w:p>
    <w:p>
      <w:pPr>
        <w:spacing w:after="0" w:line="200" w:lineRule="exact"/>
        <w:rPr>
          <w:sz w:val="24"/>
          <w:szCs w:val="24"/>
          <w:color w:val="auto"/>
        </w:rPr>
      </w:pPr>
    </w:p>
    <w:p>
      <w:pPr>
        <w:spacing w:after="0" w:line="32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21"/>
          <w:szCs w:val="21"/>
          <w:b w:val="1"/>
          <w:bCs w:val="1"/>
          <w:color w:val="0000FF"/>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70485</wp:posOffset>
            </wp:positionV>
            <wp:extent cx="59194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19470" cy="41910"/>
                    </a:xfrm>
                    <a:prstGeom prst="rect">
                      <a:avLst/>
                    </a:prstGeom>
                    <a:noFill/>
                  </pic:spPr>
                </pic:pic>
              </a:graphicData>
            </a:graphic>
          </wp:anchor>
        </w:drawing>
      </w:r>
    </w:p>
    <w:p>
      <w:pPr>
        <w:spacing w:after="0" w:line="211"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21"/>
          <w:szCs w:val="21"/>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403860</wp:posOffset>
            </wp:positionV>
            <wp:extent cx="59194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19470" cy="4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1"/>
          <w:szCs w:val="21"/>
          <w:b w:val="1"/>
          <w:bCs w:val="1"/>
          <w:color w:val="auto"/>
        </w:rPr>
        <w:t>(CUSIP Number)</w:t>
      </w:r>
    </w:p>
    <w:p>
      <w:pPr>
        <w:spacing w:after="0" w:line="200" w:lineRule="exact"/>
        <w:rPr>
          <w:sz w:val="24"/>
          <w:szCs w:val="24"/>
          <w:color w:val="auto"/>
        </w:rPr>
      </w:pPr>
    </w:p>
    <w:p>
      <w:pPr>
        <w:spacing w:after="0" w:line="32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21"/>
          <w:szCs w:val="21"/>
          <w:b w:val="1"/>
          <w:bCs w:val="1"/>
          <w:color w:val="0000FF"/>
        </w:rPr>
        <w:t>Benjamin F. Rattner</w:t>
      </w:r>
    </w:p>
    <w:p>
      <w:pPr>
        <w:spacing w:after="0" w:line="18"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21"/>
          <w:szCs w:val="21"/>
          <w:b w:val="1"/>
          <w:bCs w:val="1"/>
          <w:color w:val="0000FF"/>
        </w:rPr>
        <w:t>145 King Street, Suite 410</w:t>
      </w:r>
    </w:p>
    <w:p>
      <w:pPr>
        <w:jc w:val="center"/>
        <w:ind w:right="1880"/>
        <w:spacing w:after="0" w:line="234" w:lineRule="auto"/>
        <w:rPr>
          <w:sz w:val="20"/>
          <w:szCs w:val="20"/>
          <w:color w:val="auto"/>
        </w:rPr>
      </w:pPr>
      <w:r>
        <w:rPr>
          <w:rFonts w:ascii="Times New Roman" w:cs="Times New Roman" w:eastAsia="Times New Roman" w:hAnsi="Times New Roman"/>
          <w:sz w:val="21"/>
          <w:szCs w:val="21"/>
          <w:b w:val="1"/>
          <w:bCs w:val="1"/>
          <w:color w:val="0000FF"/>
        </w:rPr>
        <w:t>Charleston, SC, 29401</w:t>
      </w:r>
    </w:p>
    <w:p>
      <w:pPr>
        <w:spacing w:after="0" w:line="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21"/>
          <w:szCs w:val="21"/>
          <w:b w:val="1"/>
          <w:bCs w:val="1"/>
          <w:color w:val="0000FF"/>
        </w:rPr>
        <w:t>310-699-0444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52705</wp:posOffset>
            </wp:positionV>
            <wp:extent cx="59194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19470" cy="41910"/>
                    </a:xfrm>
                    <a:prstGeom prst="rect">
                      <a:avLst/>
                    </a:prstGeom>
                    <a:noFill/>
                  </pic:spPr>
                </pic:pic>
              </a:graphicData>
            </a:graphic>
          </wp:anchor>
        </w:drawing>
      </w:r>
    </w:p>
    <w:p>
      <w:pPr>
        <w:spacing w:after="0" w:line="18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47"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21"/>
          <w:szCs w:val="21"/>
          <w:b w:val="1"/>
          <w:bCs w:val="1"/>
          <w:color w:val="0000FF"/>
        </w:rPr>
        <w:t>10/26/2026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70485</wp:posOffset>
            </wp:positionV>
            <wp:extent cx="59194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19470" cy="41910"/>
                    </a:xfrm>
                    <a:prstGeom prst="rect">
                      <a:avLst/>
                    </a:prstGeom>
                    <a:noFill/>
                  </pic:spPr>
                </pic:pic>
              </a:graphicData>
            </a:graphic>
          </wp:anchor>
        </w:drawing>
      </w:r>
    </w:p>
    <w:p>
      <w:pPr>
        <w:spacing w:after="0" w:line="211"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21"/>
          <w:szCs w:val="21"/>
          <w:b w:val="1"/>
          <w:bCs w:val="1"/>
          <w:color w:val="auto"/>
        </w:rPr>
        <w:t>(Date of Event Which Requires Filing of This Statement)</w:t>
      </w:r>
    </w:p>
    <w:p>
      <w:pPr>
        <w:spacing w:after="0" w:line="200" w:lineRule="exact"/>
        <w:rPr>
          <w:sz w:val="24"/>
          <w:szCs w:val="24"/>
          <w:color w:val="auto"/>
        </w:rPr>
      </w:pPr>
    </w:p>
    <w:p>
      <w:pPr>
        <w:spacing w:after="0" w:line="311"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5095" cy="1250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5095" cy="125095"/>
                    </a:xfrm>
                    <a:prstGeom prst="rect">
                      <a:avLst/>
                    </a:prstGeom>
                    <a:noFill/>
                    <a:ln>
                      <a:noFill/>
                    </a:ln>
                  </pic:spPr>
                </pic:pic>
              </a:graphicData>
            </a:graphic>
          </wp:inline>
        </w:drawing>
      </w:r>
    </w:p>
    <w:p>
      <w:pPr>
        <w:spacing w:after="0" w:line="158" w:lineRule="exact"/>
        <w:rPr>
          <w:sz w:val="24"/>
          <w:szCs w:val="24"/>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40640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123825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pacing w:after="0" w:line="28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pacing w:after="0" w:line="200" w:lineRule="exact"/>
        <w:rPr>
          <w:sz w:val="24"/>
          <w:szCs w:val="24"/>
          <w:color w:val="auto"/>
        </w:rPr>
      </w:pPr>
    </w:p>
    <w:p>
      <w:pPr>
        <w:spacing w:after="0" w:line="350"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21"/>
          <w:szCs w:val="21"/>
          <w:color w:val="auto"/>
        </w:rPr>
        <w:t>Name of reporting person</w:t>
      </w:r>
    </w:p>
    <w:p>
      <w:pPr>
        <w:spacing w:after="0" w:line="1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1</w:t>
      </w:r>
    </w:p>
    <w:p>
      <w:pPr>
        <w:ind w:left="1140"/>
        <w:spacing w:after="0"/>
        <w:rPr>
          <w:sz w:val="20"/>
          <w:szCs w:val="20"/>
          <w:color w:val="auto"/>
        </w:rPr>
      </w:pPr>
      <w:r>
        <w:rPr>
          <w:rFonts w:ascii="Times New Roman" w:cs="Times New Roman" w:eastAsia="Times New Roman" w:hAnsi="Times New Roman"/>
          <w:sz w:val="21"/>
          <w:szCs w:val="21"/>
          <w:color w:val="auto"/>
        </w:rPr>
        <w:t>Cobblers Cove Capital LP</w:t>
      </w:r>
    </w:p>
    <w:p>
      <w:pPr>
        <w:spacing w:after="0" w:line="23"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35" w:lineRule="exact"/>
        <w:rPr>
          <w:sz w:val="24"/>
          <w:szCs w:val="24"/>
          <w:color w:val="auto"/>
        </w:rPr>
      </w:pPr>
    </w:p>
    <w:p>
      <w:pPr>
        <w:ind w:left="1140" w:hanging="1096"/>
        <w:spacing w:after="0"/>
        <w:tabs>
          <w:tab w:leader="none" w:pos="1140" w:val="left"/>
        </w:tabs>
        <w:numPr>
          <w:ilvl w:val="0"/>
          <w:numId w:val="1"/>
        </w:numPr>
        <w:rPr>
          <w:rFonts w:ascii="Times New Roman" w:cs="Times New Roman" w:eastAsia="Times New Roman" w:hAnsi="Times New Roman"/>
          <w:sz w:val="42"/>
          <w:szCs w:val="42"/>
          <w:color w:val="auto"/>
          <w:vertAlign w:val="superscript"/>
        </w:rPr>
      </w:pPr>
      <w:r>
        <w:rPr>
          <w:sz w:val="1"/>
          <w:szCs w:val="1"/>
          <w:color w:val="auto"/>
        </w:rPr>
        <w:drawing>
          <wp:inline distT="0" distB="0" distL="0" distR="0">
            <wp:extent cx="125095" cy="12509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095" cy="12509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w:t>
      </w:r>
    </w:p>
    <w:p>
      <w:pPr>
        <w:ind w:left="1140"/>
        <w:spacing w:after="0"/>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5095" cy="1250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095" cy="12509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(b)</w:t>
      </w:r>
    </w:p>
    <w:p>
      <w:pPr>
        <w:spacing w:after="0" w:line="32" w:lineRule="exact"/>
        <w:rPr>
          <w:sz w:val="24"/>
          <w:szCs w:val="24"/>
          <w:color w:val="auto"/>
        </w:rPr>
      </w:pPr>
    </w:p>
    <w:p>
      <w:pPr>
        <w:ind w:left="1140" w:hanging="1096"/>
        <w:spacing w:after="0"/>
        <w:tabs>
          <w:tab w:leader="none" w:pos="11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 use only</w:t>
      </w:r>
    </w:p>
    <w:p>
      <w:pPr>
        <w:spacing w:after="0" w:line="47" w:lineRule="exact"/>
        <w:rPr>
          <w:sz w:val="24"/>
          <w:szCs w:val="24"/>
          <w:color w:val="auto"/>
        </w:rPr>
      </w:pPr>
    </w:p>
    <w:p>
      <w:pPr>
        <w:ind w:left="1140" w:hanging="1096"/>
        <w:spacing w:after="0"/>
        <w:tabs>
          <w:tab w:leader="none" w:pos="11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Source of funds (See Instructions)</w:t>
      </w:r>
    </w:p>
    <w:p>
      <w:pPr>
        <w:sectPr>
          <w:pgSz w:w="11900" w:h="16838" w:orient="portrait"/>
          <w:cols w:equalWidth="0" w:num="1">
            <w:col w:w="11240"/>
          </w:cols>
          <w:pgMar w:left="320" w:top="846" w:right="339" w:bottom="0" w:gutter="0" w:footer="0" w:header="0"/>
        </w:sectPr>
      </w:pPr>
    </w:p>
    <w:bookmarkStart w:id="1" w:name="page2"/>
    <w:bookmarkEnd w:id="1"/>
    <w:p>
      <w:pPr>
        <w:ind w:left="1140"/>
        <w:spacing w:after="0"/>
        <w:rPr>
          <w:sz w:val="20"/>
          <w:szCs w:val="20"/>
          <w:color w:val="auto"/>
        </w:rPr>
      </w:pPr>
      <w:r>
        <w:rPr>
          <w:rFonts w:ascii="Times New Roman" w:cs="Times New Roman" w:eastAsia="Times New Roman" w:hAnsi="Times New Roman"/>
          <w:sz w:val="21"/>
          <w:szCs w:val="21"/>
          <w:color w:val="auto"/>
        </w:rPr>
        <w:t>AF</w:t>
      </w:r>
    </w:p>
    <w:p>
      <w:pPr>
        <w:spacing w:after="0" w:line="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75"/>
        </w:trPr>
        <w:tc>
          <w:tcPr>
            <w:tcW w:w="1060" w:type="dxa"/>
            <w:vAlign w:val="bottom"/>
          </w:tcPr>
          <w:p>
            <w:pPr>
              <w:spacing w:after="0"/>
              <w:rPr>
                <w:sz w:val="20"/>
                <w:szCs w:val="20"/>
                <w:color w:val="auto"/>
              </w:rPr>
            </w:pPr>
            <w:r>
              <w:rPr>
                <w:rFonts w:ascii="Times New Roman" w:cs="Times New Roman" w:eastAsia="Times New Roman" w:hAnsi="Times New Roman"/>
                <w:sz w:val="21"/>
                <w:szCs w:val="21"/>
                <w:color w:val="auto"/>
              </w:rPr>
              <w:t>5</w:t>
            </w:r>
          </w:p>
        </w:tc>
        <w:tc>
          <w:tcPr>
            <w:tcW w:w="7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8"/>
        </w:trPr>
        <w:tc>
          <w:tcPr>
            <w:tcW w:w="106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6</w:t>
            </w:r>
          </w:p>
        </w:tc>
        <w:tc>
          <w:tcPr>
            <w:tcW w:w="72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Citizenship or place of organization</w:t>
            </w:r>
          </w:p>
        </w:tc>
        <w:tc>
          <w:tcPr>
            <w:tcW w:w="0" w:type="dxa"/>
            <w:vAlign w:val="bottom"/>
          </w:tcPr>
          <w:p>
            <w:pPr>
              <w:spacing w:after="0"/>
              <w:rPr>
                <w:sz w:val="1"/>
                <w:szCs w:val="1"/>
                <w:color w:val="auto"/>
              </w:rPr>
            </w:pPr>
          </w:p>
        </w:tc>
      </w:tr>
      <w:tr>
        <w:trPr>
          <w:trHeight w:val="236"/>
        </w:trPr>
        <w:tc>
          <w:tcPr>
            <w:tcW w:w="1060" w:type="dxa"/>
            <w:vAlign w:val="bottom"/>
            <w:vMerge w:val="continue"/>
          </w:tcPr>
          <w:p>
            <w:pPr>
              <w:spacing w:after="0"/>
              <w:rPr>
                <w:sz w:val="20"/>
                <w:szCs w:val="20"/>
                <w:color w:val="auto"/>
              </w:rPr>
            </w:pPr>
          </w:p>
        </w:tc>
        <w:tc>
          <w:tcPr>
            <w:tcW w:w="720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DELAWARE</w:t>
            </w:r>
          </w:p>
        </w:tc>
        <w:tc>
          <w:tcPr>
            <w:tcW w:w="0" w:type="dxa"/>
            <w:vAlign w:val="bottom"/>
          </w:tcPr>
          <w:p>
            <w:pPr>
              <w:spacing w:after="0"/>
              <w:rPr>
                <w:sz w:val="1"/>
                <w:szCs w:val="1"/>
                <w:color w:val="auto"/>
              </w:rPr>
            </w:pPr>
          </w:p>
        </w:tc>
      </w:tr>
      <w:tr>
        <w:trPr>
          <w:trHeight w:val="236"/>
        </w:trPr>
        <w:tc>
          <w:tcPr>
            <w:tcW w:w="1060" w:type="dxa"/>
            <w:vAlign w:val="bottom"/>
          </w:tcPr>
          <w:p>
            <w:pPr>
              <w:spacing w:after="0"/>
              <w:rPr>
                <w:sz w:val="20"/>
                <w:szCs w:val="20"/>
                <w:color w:val="auto"/>
              </w:rPr>
            </w:pPr>
          </w:p>
        </w:tc>
        <w:tc>
          <w:tcPr>
            <w:tcW w:w="7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1060" w:type="dxa"/>
            <w:vAlign w:val="bottom"/>
          </w:tcPr>
          <w:p>
            <w:pPr>
              <w:spacing w:after="0"/>
              <w:rPr>
                <w:sz w:val="24"/>
                <w:szCs w:val="24"/>
                <w:color w:val="auto"/>
              </w:rPr>
            </w:pPr>
          </w:p>
        </w:tc>
        <w:tc>
          <w:tcPr>
            <w:tcW w:w="7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Sole Voting Power</w:t>
            </w:r>
          </w:p>
        </w:tc>
        <w:tc>
          <w:tcPr>
            <w:tcW w:w="0" w:type="dxa"/>
            <w:vAlign w:val="bottom"/>
          </w:tcPr>
          <w:p>
            <w:pPr>
              <w:spacing w:after="0"/>
              <w:rPr>
                <w:sz w:val="1"/>
                <w:szCs w:val="1"/>
                <w:color w:val="auto"/>
              </w:rPr>
            </w:pPr>
          </w:p>
        </w:tc>
      </w:tr>
      <w:tr>
        <w:trPr>
          <w:trHeight w:val="236"/>
        </w:trPr>
        <w:tc>
          <w:tcPr>
            <w:tcW w:w="1060" w:type="dxa"/>
            <w:vAlign w:val="bottom"/>
          </w:tcPr>
          <w:p>
            <w:pPr>
              <w:spacing w:after="0"/>
              <w:rPr>
                <w:sz w:val="20"/>
                <w:szCs w:val="20"/>
                <w:color w:val="auto"/>
              </w:rPr>
            </w:pPr>
          </w:p>
        </w:tc>
        <w:tc>
          <w:tcPr>
            <w:tcW w:w="7200" w:type="dxa"/>
            <w:vAlign w:val="bottom"/>
          </w:tcPr>
          <w:p>
            <w:pPr>
              <w:ind w:left="80"/>
              <w:spacing w:after="0" w:line="236" w:lineRule="exact"/>
              <w:rPr>
                <w:sz w:val="20"/>
                <w:szCs w:val="20"/>
                <w:color w:val="auto"/>
              </w:rPr>
            </w:pPr>
            <w:r>
              <w:rPr>
                <w:rFonts w:ascii="Times New Roman" w:cs="Times New Roman" w:eastAsia="Times New Roman" w:hAnsi="Times New Roman"/>
                <w:sz w:val="21"/>
                <w:szCs w:val="21"/>
                <w:color w:val="auto"/>
              </w:rPr>
              <w:t>7</w:t>
            </w:r>
          </w:p>
        </w:tc>
        <w:tc>
          <w:tcPr>
            <w:tcW w:w="0" w:type="dxa"/>
            <w:vAlign w:val="bottom"/>
          </w:tcPr>
          <w:p>
            <w:pPr>
              <w:spacing w:after="0"/>
              <w:rPr>
                <w:sz w:val="1"/>
                <w:szCs w:val="1"/>
                <w:color w:val="auto"/>
              </w:rPr>
            </w:pPr>
          </w:p>
        </w:tc>
      </w:tr>
      <w:tr>
        <w:trPr>
          <w:trHeight w:val="275"/>
        </w:trPr>
        <w:tc>
          <w:tcPr>
            <w:tcW w:w="106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Number of</w:t>
            </w:r>
          </w:p>
        </w:tc>
        <w:tc>
          <w:tcPr>
            <w:tcW w:w="7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0.00</w:t>
            </w:r>
          </w:p>
        </w:tc>
        <w:tc>
          <w:tcPr>
            <w:tcW w:w="0" w:type="dxa"/>
            <w:vAlign w:val="bottom"/>
          </w:tcPr>
          <w:p>
            <w:pPr>
              <w:spacing w:after="0"/>
              <w:rPr>
                <w:sz w:val="1"/>
                <w:szCs w:val="1"/>
                <w:color w:val="auto"/>
              </w:rPr>
            </w:pPr>
          </w:p>
        </w:tc>
      </w:tr>
      <w:tr>
        <w:trPr>
          <w:trHeight w:val="40"/>
        </w:trPr>
        <w:tc>
          <w:tcPr>
            <w:tcW w:w="1060" w:type="dxa"/>
            <w:vAlign w:val="bottom"/>
            <w:vMerge w:val="continue"/>
          </w:tcPr>
          <w:p>
            <w:pPr>
              <w:spacing w:after="0"/>
              <w:rPr>
                <w:sz w:val="3"/>
                <w:szCs w:val="3"/>
                <w:color w:val="auto"/>
              </w:rPr>
            </w:pPr>
          </w:p>
        </w:tc>
        <w:tc>
          <w:tcPr>
            <w:tcW w:w="7200" w:type="dxa"/>
            <w:vAlign w:val="bottom"/>
            <w:vMerge w:val="restart"/>
          </w:tcPr>
          <w:p>
            <w:pPr>
              <w:ind w:left="340"/>
              <w:spacing w:after="0"/>
              <w:rPr>
                <w:sz w:val="20"/>
                <w:szCs w:val="20"/>
                <w:color w:val="auto"/>
              </w:rPr>
            </w:pPr>
            <w:r>
              <w:rPr>
                <w:rFonts w:ascii="Times New Roman" w:cs="Times New Roman" w:eastAsia="Times New Roman" w:hAnsi="Times New Roman"/>
                <w:sz w:val="21"/>
                <w:szCs w:val="21"/>
                <w:color w:val="auto"/>
              </w:rPr>
              <w:t>Shared Voting Power</w:t>
            </w:r>
          </w:p>
        </w:tc>
        <w:tc>
          <w:tcPr>
            <w:tcW w:w="0" w:type="dxa"/>
            <w:vAlign w:val="bottom"/>
          </w:tcPr>
          <w:p>
            <w:pPr>
              <w:spacing w:after="0" w:line="20" w:lineRule="exact"/>
              <w:rPr>
                <w:sz w:val="1"/>
                <w:szCs w:val="1"/>
                <w:color w:val="auto"/>
              </w:rPr>
            </w:pPr>
          </w:p>
        </w:tc>
      </w:tr>
      <w:tr>
        <w:trPr>
          <w:trHeight w:val="211"/>
        </w:trPr>
        <w:tc>
          <w:tcPr>
            <w:tcW w:w="1060" w:type="dxa"/>
            <w:vAlign w:val="bottom"/>
          </w:tcPr>
          <w:p>
            <w:pPr>
              <w:spacing w:after="0" w:line="211" w:lineRule="exact"/>
              <w:rPr>
                <w:sz w:val="20"/>
                <w:szCs w:val="20"/>
                <w:color w:val="auto"/>
              </w:rPr>
            </w:pPr>
            <w:r>
              <w:rPr>
                <w:rFonts w:ascii="Times New Roman" w:cs="Times New Roman" w:eastAsia="Times New Roman" w:hAnsi="Times New Roman"/>
                <w:sz w:val="21"/>
                <w:szCs w:val="21"/>
                <w:color w:val="auto"/>
              </w:rPr>
              <w:t>Shares</w:t>
            </w:r>
          </w:p>
        </w:tc>
        <w:tc>
          <w:tcPr>
            <w:tcW w:w="7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6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Beneficially</w:t>
            </w:r>
          </w:p>
        </w:tc>
        <w:tc>
          <w:tcPr>
            <w:tcW w:w="7200" w:type="dxa"/>
            <w:vAlign w:val="bottom"/>
          </w:tcPr>
          <w:p>
            <w:pPr>
              <w:ind w:left="80"/>
              <w:spacing w:after="0" w:line="236" w:lineRule="exact"/>
              <w:rPr>
                <w:sz w:val="20"/>
                <w:szCs w:val="20"/>
                <w:color w:val="auto"/>
              </w:rPr>
            </w:pPr>
            <w:r>
              <w:rPr>
                <w:rFonts w:ascii="Times New Roman" w:cs="Times New Roman" w:eastAsia="Times New Roman" w:hAnsi="Times New Roman"/>
                <w:sz w:val="21"/>
                <w:szCs w:val="21"/>
                <w:color w:val="auto"/>
              </w:rPr>
              <w:t>8</w:t>
            </w:r>
          </w:p>
        </w:tc>
        <w:tc>
          <w:tcPr>
            <w:tcW w:w="0" w:type="dxa"/>
            <w:vAlign w:val="bottom"/>
          </w:tcPr>
          <w:p>
            <w:pPr>
              <w:spacing w:after="0"/>
              <w:rPr>
                <w:sz w:val="1"/>
                <w:szCs w:val="1"/>
                <w:color w:val="auto"/>
              </w:rPr>
            </w:pPr>
          </w:p>
        </w:tc>
      </w:tr>
      <w:tr>
        <w:trPr>
          <w:trHeight w:val="261"/>
        </w:trPr>
        <w:tc>
          <w:tcPr>
            <w:tcW w:w="1060" w:type="dxa"/>
            <w:vAlign w:val="bottom"/>
          </w:tcPr>
          <w:p>
            <w:pPr>
              <w:spacing w:after="0"/>
              <w:rPr>
                <w:sz w:val="20"/>
                <w:szCs w:val="20"/>
                <w:color w:val="auto"/>
              </w:rPr>
            </w:pPr>
            <w:r>
              <w:rPr>
                <w:rFonts w:ascii="Times New Roman" w:cs="Times New Roman" w:eastAsia="Times New Roman" w:hAnsi="Times New Roman"/>
                <w:sz w:val="21"/>
                <w:szCs w:val="21"/>
                <w:color w:val="auto"/>
              </w:rPr>
              <w:t>Owned by</w:t>
            </w:r>
          </w:p>
        </w:tc>
        <w:tc>
          <w:tcPr>
            <w:tcW w:w="7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0.00</w:t>
            </w:r>
          </w:p>
        </w:tc>
        <w:tc>
          <w:tcPr>
            <w:tcW w:w="0" w:type="dxa"/>
            <w:vAlign w:val="bottom"/>
          </w:tcPr>
          <w:p>
            <w:pPr>
              <w:spacing w:after="0"/>
              <w:rPr>
                <w:sz w:val="1"/>
                <w:szCs w:val="1"/>
                <w:color w:val="auto"/>
              </w:rPr>
            </w:pPr>
          </w:p>
        </w:tc>
      </w:tr>
      <w:tr>
        <w:trPr>
          <w:trHeight w:val="237"/>
        </w:trPr>
        <w:tc>
          <w:tcPr>
            <w:tcW w:w="106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Each</w:t>
            </w:r>
          </w:p>
        </w:tc>
        <w:tc>
          <w:tcPr>
            <w:tcW w:w="7200" w:type="dxa"/>
            <w:vAlign w:val="bottom"/>
          </w:tcPr>
          <w:p>
            <w:pPr>
              <w:ind w:left="340"/>
              <w:spacing w:after="0" w:line="237" w:lineRule="exact"/>
              <w:rPr>
                <w:sz w:val="20"/>
                <w:szCs w:val="20"/>
                <w:color w:val="auto"/>
              </w:rPr>
            </w:pPr>
            <w:r>
              <w:rPr>
                <w:rFonts w:ascii="Times New Roman" w:cs="Times New Roman" w:eastAsia="Times New Roman" w:hAnsi="Times New Roman"/>
                <w:sz w:val="21"/>
                <w:szCs w:val="21"/>
                <w:color w:val="auto"/>
              </w:rPr>
              <w:t>Sole Dispositive Power</w:t>
            </w:r>
          </w:p>
        </w:tc>
        <w:tc>
          <w:tcPr>
            <w:tcW w:w="0" w:type="dxa"/>
            <w:vAlign w:val="bottom"/>
          </w:tcPr>
          <w:p>
            <w:pPr>
              <w:spacing w:after="0"/>
              <w:rPr>
                <w:sz w:val="1"/>
                <w:szCs w:val="1"/>
                <w:color w:val="auto"/>
              </w:rPr>
            </w:pPr>
          </w:p>
        </w:tc>
      </w:tr>
      <w:tr>
        <w:trPr>
          <w:trHeight w:val="236"/>
        </w:trPr>
        <w:tc>
          <w:tcPr>
            <w:tcW w:w="106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Reporting</w:t>
            </w:r>
          </w:p>
        </w:tc>
        <w:tc>
          <w:tcPr>
            <w:tcW w:w="7200" w:type="dxa"/>
            <w:vAlign w:val="bottom"/>
          </w:tcPr>
          <w:p>
            <w:pPr>
              <w:ind w:left="80"/>
              <w:spacing w:after="0" w:line="236" w:lineRule="exact"/>
              <w:rPr>
                <w:sz w:val="20"/>
                <w:szCs w:val="20"/>
                <w:color w:val="auto"/>
              </w:rPr>
            </w:pPr>
            <w:r>
              <w:rPr>
                <w:rFonts w:ascii="Times New Roman" w:cs="Times New Roman" w:eastAsia="Times New Roman" w:hAnsi="Times New Roman"/>
                <w:sz w:val="21"/>
                <w:szCs w:val="21"/>
                <w:color w:val="auto"/>
              </w:rPr>
              <w:t>9</w:t>
            </w:r>
          </w:p>
        </w:tc>
        <w:tc>
          <w:tcPr>
            <w:tcW w:w="0" w:type="dxa"/>
            <w:vAlign w:val="bottom"/>
          </w:tcPr>
          <w:p>
            <w:pPr>
              <w:spacing w:after="0"/>
              <w:rPr>
                <w:sz w:val="1"/>
                <w:szCs w:val="1"/>
                <w:color w:val="auto"/>
              </w:rPr>
            </w:pPr>
          </w:p>
        </w:tc>
      </w:tr>
      <w:tr>
        <w:trPr>
          <w:trHeight w:val="236"/>
        </w:trPr>
        <w:tc>
          <w:tcPr>
            <w:tcW w:w="106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Person</w:t>
            </w:r>
          </w:p>
        </w:tc>
        <w:tc>
          <w:tcPr>
            <w:tcW w:w="7200" w:type="dxa"/>
            <w:vAlign w:val="bottom"/>
          </w:tcPr>
          <w:p>
            <w:pPr>
              <w:ind w:left="340"/>
              <w:spacing w:after="0" w:line="236" w:lineRule="exact"/>
              <w:rPr>
                <w:sz w:val="20"/>
                <w:szCs w:val="20"/>
                <w:color w:val="auto"/>
              </w:rPr>
            </w:pPr>
            <w:r>
              <w:rPr>
                <w:rFonts w:ascii="Times New Roman" w:cs="Times New Roman" w:eastAsia="Times New Roman" w:hAnsi="Times New Roman"/>
                <w:sz w:val="21"/>
                <w:szCs w:val="21"/>
                <w:color w:val="auto"/>
              </w:rPr>
              <w:t>0.00</w:t>
            </w:r>
          </w:p>
        </w:tc>
        <w:tc>
          <w:tcPr>
            <w:tcW w:w="0" w:type="dxa"/>
            <w:vAlign w:val="bottom"/>
          </w:tcPr>
          <w:p>
            <w:pPr>
              <w:spacing w:after="0"/>
              <w:rPr>
                <w:sz w:val="1"/>
                <w:szCs w:val="1"/>
                <w:color w:val="auto"/>
              </w:rPr>
            </w:pPr>
          </w:p>
        </w:tc>
      </w:tr>
      <w:tr>
        <w:trPr>
          <w:trHeight w:val="275"/>
        </w:trPr>
        <w:tc>
          <w:tcPr>
            <w:tcW w:w="1060" w:type="dxa"/>
            <w:vAlign w:val="bottom"/>
          </w:tcPr>
          <w:p>
            <w:pPr>
              <w:spacing w:after="0"/>
              <w:rPr>
                <w:sz w:val="20"/>
                <w:szCs w:val="20"/>
                <w:color w:val="auto"/>
              </w:rPr>
            </w:pPr>
            <w:r>
              <w:rPr>
                <w:rFonts w:ascii="Times New Roman" w:cs="Times New Roman" w:eastAsia="Times New Roman" w:hAnsi="Times New Roman"/>
                <w:sz w:val="21"/>
                <w:szCs w:val="21"/>
                <w:color w:val="auto"/>
              </w:rPr>
              <w:t>With:</w:t>
            </w:r>
          </w:p>
        </w:tc>
        <w:tc>
          <w:tcPr>
            <w:tcW w:w="7200" w:type="dxa"/>
            <w:vAlign w:val="bottom"/>
            <w:vMerge w:val="restart"/>
          </w:tcPr>
          <w:p>
            <w:pPr>
              <w:ind w:left="340"/>
              <w:spacing w:after="0"/>
              <w:rPr>
                <w:sz w:val="20"/>
                <w:szCs w:val="20"/>
                <w:color w:val="auto"/>
              </w:rPr>
            </w:pPr>
            <w:r>
              <w:rPr>
                <w:rFonts w:ascii="Times New Roman" w:cs="Times New Roman" w:eastAsia="Times New Roman" w:hAnsi="Times New Roman"/>
                <w:sz w:val="21"/>
                <w:szCs w:val="21"/>
                <w:color w:val="auto"/>
              </w:rPr>
              <w:t>Shared Dispositive Power</w:t>
            </w:r>
          </w:p>
        </w:tc>
        <w:tc>
          <w:tcPr>
            <w:tcW w:w="0" w:type="dxa"/>
            <w:vAlign w:val="bottom"/>
          </w:tcPr>
          <w:p>
            <w:pPr>
              <w:spacing w:after="0"/>
              <w:rPr>
                <w:sz w:val="1"/>
                <w:szCs w:val="1"/>
                <w:color w:val="auto"/>
              </w:rPr>
            </w:pPr>
          </w:p>
        </w:tc>
      </w:tr>
      <w:tr>
        <w:trPr>
          <w:trHeight w:val="39"/>
        </w:trPr>
        <w:tc>
          <w:tcPr>
            <w:tcW w:w="1060" w:type="dxa"/>
            <w:vAlign w:val="bottom"/>
          </w:tcPr>
          <w:p>
            <w:pPr>
              <w:spacing w:after="0"/>
              <w:rPr>
                <w:sz w:val="3"/>
                <w:szCs w:val="3"/>
                <w:color w:val="auto"/>
              </w:rPr>
            </w:pPr>
          </w:p>
        </w:tc>
        <w:tc>
          <w:tcPr>
            <w:tcW w:w="7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1060" w:type="dxa"/>
            <w:vAlign w:val="bottom"/>
          </w:tcPr>
          <w:p>
            <w:pPr>
              <w:spacing w:after="0"/>
              <w:rPr>
                <w:sz w:val="20"/>
                <w:szCs w:val="20"/>
                <w:color w:val="auto"/>
              </w:rPr>
            </w:pPr>
          </w:p>
        </w:tc>
        <w:tc>
          <w:tcPr>
            <w:tcW w:w="7200" w:type="dxa"/>
            <w:vAlign w:val="bottom"/>
          </w:tcPr>
          <w:p>
            <w:pPr>
              <w:ind w:left="80"/>
              <w:spacing w:after="0" w:line="236" w:lineRule="exact"/>
              <w:rPr>
                <w:sz w:val="20"/>
                <w:szCs w:val="20"/>
                <w:color w:val="auto"/>
              </w:rPr>
            </w:pPr>
            <w:r>
              <w:rPr>
                <w:rFonts w:ascii="Times New Roman" w:cs="Times New Roman" w:eastAsia="Times New Roman" w:hAnsi="Times New Roman"/>
                <w:sz w:val="21"/>
                <w:szCs w:val="21"/>
                <w:color w:val="auto"/>
              </w:rPr>
              <w:t>10</w:t>
            </w:r>
          </w:p>
        </w:tc>
        <w:tc>
          <w:tcPr>
            <w:tcW w:w="0" w:type="dxa"/>
            <w:vAlign w:val="bottom"/>
          </w:tcPr>
          <w:p>
            <w:pPr>
              <w:spacing w:after="0"/>
              <w:rPr>
                <w:sz w:val="1"/>
                <w:szCs w:val="1"/>
                <w:color w:val="auto"/>
              </w:rPr>
            </w:pPr>
          </w:p>
        </w:tc>
      </w:tr>
      <w:tr>
        <w:trPr>
          <w:trHeight w:val="275"/>
        </w:trPr>
        <w:tc>
          <w:tcPr>
            <w:tcW w:w="1060" w:type="dxa"/>
            <w:vAlign w:val="bottom"/>
          </w:tcPr>
          <w:p>
            <w:pPr>
              <w:spacing w:after="0"/>
              <w:rPr>
                <w:sz w:val="23"/>
                <w:szCs w:val="23"/>
                <w:color w:val="auto"/>
              </w:rPr>
            </w:pPr>
          </w:p>
        </w:tc>
        <w:tc>
          <w:tcPr>
            <w:tcW w:w="7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0.00</w:t>
            </w:r>
          </w:p>
        </w:tc>
        <w:tc>
          <w:tcPr>
            <w:tcW w:w="0" w:type="dxa"/>
            <w:vAlign w:val="bottom"/>
          </w:tcPr>
          <w:p>
            <w:pPr>
              <w:spacing w:after="0"/>
              <w:rPr>
                <w:sz w:val="1"/>
                <w:szCs w:val="1"/>
                <w:color w:val="auto"/>
              </w:rPr>
            </w:pPr>
          </w:p>
        </w:tc>
      </w:tr>
      <w:tr>
        <w:trPr>
          <w:trHeight w:val="328"/>
        </w:trPr>
        <w:tc>
          <w:tcPr>
            <w:tcW w:w="106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11</w:t>
            </w:r>
          </w:p>
        </w:tc>
        <w:tc>
          <w:tcPr>
            <w:tcW w:w="72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Aggregate amount beneficially owned by each reporting person</w:t>
            </w:r>
          </w:p>
        </w:tc>
        <w:tc>
          <w:tcPr>
            <w:tcW w:w="0" w:type="dxa"/>
            <w:vAlign w:val="bottom"/>
          </w:tcPr>
          <w:p>
            <w:pPr>
              <w:spacing w:after="0"/>
              <w:rPr>
                <w:sz w:val="1"/>
                <w:szCs w:val="1"/>
                <w:color w:val="auto"/>
              </w:rPr>
            </w:pPr>
          </w:p>
        </w:tc>
      </w:tr>
      <w:tr>
        <w:trPr>
          <w:trHeight w:val="236"/>
        </w:trPr>
        <w:tc>
          <w:tcPr>
            <w:tcW w:w="1060" w:type="dxa"/>
            <w:vAlign w:val="bottom"/>
            <w:vMerge w:val="continue"/>
          </w:tcPr>
          <w:p>
            <w:pPr>
              <w:spacing w:after="0"/>
              <w:rPr>
                <w:sz w:val="20"/>
                <w:szCs w:val="20"/>
                <w:color w:val="auto"/>
              </w:rPr>
            </w:pPr>
          </w:p>
        </w:tc>
        <w:tc>
          <w:tcPr>
            <w:tcW w:w="720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0.00</w:t>
            </w:r>
          </w:p>
        </w:tc>
        <w:tc>
          <w:tcPr>
            <w:tcW w:w="0" w:type="dxa"/>
            <w:vAlign w:val="bottom"/>
          </w:tcPr>
          <w:p>
            <w:pPr>
              <w:spacing w:after="0"/>
              <w:rPr>
                <w:sz w:val="1"/>
                <w:szCs w:val="1"/>
                <w:color w:val="auto"/>
              </w:rPr>
            </w:pPr>
          </w:p>
        </w:tc>
      </w:tr>
      <w:tr>
        <w:trPr>
          <w:trHeight w:val="236"/>
        </w:trPr>
        <w:tc>
          <w:tcPr>
            <w:tcW w:w="1060" w:type="dxa"/>
            <w:vAlign w:val="bottom"/>
          </w:tcPr>
          <w:p>
            <w:pPr>
              <w:spacing w:after="0"/>
              <w:rPr>
                <w:sz w:val="20"/>
                <w:szCs w:val="20"/>
                <w:color w:val="auto"/>
              </w:rPr>
            </w:pPr>
          </w:p>
        </w:tc>
        <w:tc>
          <w:tcPr>
            <w:tcW w:w="7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106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12</w:t>
            </w:r>
          </w:p>
        </w:tc>
        <w:tc>
          <w:tcPr>
            <w:tcW w:w="7200" w:type="dxa"/>
            <w:vAlign w:val="bottom"/>
          </w:tcPr>
          <w:p>
            <w:pPr>
              <w:ind w:left="40"/>
              <w:spacing w:after="0"/>
              <w:rPr>
                <w:sz w:val="20"/>
                <w:szCs w:val="20"/>
                <w:color w:val="auto"/>
              </w:rPr>
            </w:pPr>
            <w:r>
              <w:rPr>
                <w:rFonts w:ascii="Times New Roman" w:cs="Times New Roman" w:eastAsia="Times New Roman" w:hAnsi="Times New Roman"/>
                <w:sz w:val="21"/>
                <w:szCs w:val="21"/>
                <w:color w:val="auto"/>
                <w:w w:val="99"/>
              </w:rPr>
              <w:t>Check if the aggregate amount in Row (11) excludes certain shares (See Instructions)</w:t>
            </w:r>
          </w:p>
        </w:tc>
        <w:tc>
          <w:tcPr>
            <w:tcW w:w="0" w:type="dxa"/>
            <w:vAlign w:val="bottom"/>
          </w:tcPr>
          <w:p>
            <w:pPr>
              <w:spacing w:after="0"/>
              <w:rPr>
                <w:sz w:val="1"/>
                <w:szCs w:val="1"/>
                <w:color w:val="auto"/>
              </w:rPr>
            </w:pPr>
          </w:p>
        </w:tc>
      </w:tr>
      <w:tr>
        <w:trPr>
          <w:trHeight w:val="210"/>
        </w:trPr>
        <w:tc>
          <w:tcPr>
            <w:tcW w:w="1060" w:type="dxa"/>
            <w:vAlign w:val="bottom"/>
            <w:vMerge w:val="continue"/>
          </w:tcPr>
          <w:p>
            <w:pPr>
              <w:spacing w:after="0"/>
              <w:rPr>
                <w:sz w:val="18"/>
                <w:szCs w:val="18"/>
                <w:color w:val="auto"/>
              </w:rPr>
            </w:pPr>
          </w:p>
        </w:tc>
        <w:tc>
          <w:tcPr>
            <w:tcW w:w="7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2"/>
        </w:trPr>
        <w:tc>
          <w:tcPr>
            <w:tcW w:w="106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13</w:t>
            </w:r>
          </w:p>
        </w:tc>
        <w:tc>
          <w:tcPr>
            <w:tcW w:w="72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Percent of class represented by amount in Row (11)</w:t>
            </w:r>
          </w:p>
        </w:tc>
        <w:tc>
          <w:tcPr>
            <w:tcW w:w="0" w:type="dxa"/>
            <w:vAlign w:val="bottom"/>
          </w:tcPr>
          <w:p>
            <w:pPr>
              <w:spacing w:after="0"/>
              <w:rPr>
                <w:sz w:val="1"/>
                <w:szCs w:val="1"/>
                <w:color w:val="auto"/>
              </w:rPr>
            </w:pPr>
          </w:p>
        </w:tc>
      </w:tr>
      <w:tr>
        <w:trPr>
          <w:trHeight w:val="236"/>
        </w:trPr>
        <w:tc>
          <w:tcPr>
            <w:tcW w:w="1060" w:type="dxa"/>
            <w:vAlign w:val="bottom"/>
            <w:vMerge w:val="continue"/>
          </w:tcPr>
          <w:p>
            <w:pPr>
              <w:spacing w:after="0"/>
              <w:rPr>
                <w:sz w:val="20"/>
                <w:szCs w:val="20"/>
                <w:color w:val="auto"/>
              </w:rPr>
            </w:pPr>
          </w:p>
        </w:tc>
        <w:tc>
          <w:tcPr>
            <w:tcW w:w="720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0.0 %</w:t>
            </w:r>
          </w:p>
        </w:tc>
        <w:tc>
          <w:tcPr>
            <w:tcW w:w="0" w:type="dxa"/>
            <w:vAlign w:val="bottom"/>
          </w:tcPr>
          <w:p>
            <w:pPr>
              <w:spacing w:after="0"/>
              <w:rPr>
                <w:sz w:val="1"/>
                <w:szCs w:val="1"/>
                <w:color w:val="auto"/>
              </w:rPr>
            </w:pPr>
          </w:p>
        </w:tc>
      </w:tr>
      <w:tr>
        <w:trPr>
          <w:trHeight w:val="236"/>
        </w:trPr>
        <w:tc>
          <w:tcPr>
            <w:tcW w:w="1060" w:type="dxa"/>
            <w:vAlign w:val="bottom"/>
          </w:tcPr>
          <w:p>
            <w:pPr>
              <w:spacing w:after="0"/>
              <w:rPr>
                <w:sz w:val="20"/>
                <w:szCs w:val="20"/>
                <w:color w:val="auto"/>
              </w:rPr>
            </w:pPr>
          </w:p>
        </w:tc>
        <w:tc>
          <w:tcPr>
            <w:tcW w:w="7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106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14</w:t>
            </w:r>
          </w:p>
        </w:tc>
        <w:tc>
          <w:tcPr>
            <w:tcW w:w="72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Type of Reporting Person (See Instructions)</w:t>
            </w:r>
          </w:p>
        </w:tc>
        <w:tc>
          <w:tcPr>
            <w:tcW w:w="0" w:type="dxa"/>
            <w:vAlign w:val="bottom"/>
          </w:tcPr>
          <w:p>
            <w:pPr>
              <w:spacing w:after="0"/>
              <w:rPr>
                <w:sz w:val="1"/>
                <w:szCs w:val="1"/>
                <w:color w:val="auto"/>
              </w:rPr>
            </w:pPr>
          </w:p>
        </w:tc>
      </w:tr>
      <w:tr>
        <w:trPr>
          <w:trHeight w:val="236"/>
        </w:trPr>
        <w:tc>
          <w:tcPr>
            <w:tcW w:w="1060" w:type="dxa"/>
            <w:vAlign w:val="bottom"/>
            <w:vMerge w:val="continue"/>
          </w:tcPr>
          <w:p>
            <w:pPr>
              <w:spacing w:after="0"/>
              <w:rPr>
                <w:sz w:val="20"/>
                <w:szCs w:val="20"/>
                <w:color w:val="auto"/>
              </w:rPr>
            </w:pPr>
          </w:p>
        </w:tc>
        <w:tc>
          <w:tcPr>
            <w:tcW w:w="720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IA, PN</w:t>
            </w:r>
          </w:p>
        </w:tc>
        <w:tc>
          <w:tcPr>
            <w:tcW w:w="0" w:type="dxa"/>
            <w:vAlign w:val="bottom"/>
          </w:tcPr>
          <w:p>
            <w:pPr>
              <w:spacing w:after="0"/>
              <w:rPr>
                <w:sz w:val="1"/>
                <w:szCs w:val="1"/>
                <w:color w:val="auto"/>
              </w:rPr>
            </w:pPr>
          </w:p>
        </w:tc>
      </w:tr>
      <w:tr>
        <w:trPr>
          <w:trHeight w:val="236"/>
        </w:trPr>
        <w:tc>
          <w:tcPr>
            <w:tcW w:w="1060" w:type="dxa"/>
            <w:vAlign w:val="bottom"/>
          </w:tcPr>
          <w:p>
            <w:pPr>
              <w:spacing w:after="0"/>
              <w:rPr>
                <w:sz w:val="20"/>
                <w:szCs w:val="20"/>
                <w:color w:val="auto"/>
              </w:rPr>
            </w:pPr>
          </w:p>
        </w:tc>
        <w:tc>
          <w:tcPr>
            <w:tcW w:w="7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-4508500</wp:posOffset>
            </wp:positionV>
            <wp:extent cx="125095" cy="125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095" cy="12509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-1098550</wp:posOffset>
            </wp:positionV>
            <wp:extent cx="125095" cy="125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As of the date of this Schedule 13D, Cobblers Cove Capital LP ("Cobblers Cove") is not the record holder of any shares,</w:t>
            </w:r>
          </w:p>
        </w:tc>
      </w:tr>
      <w:tr>
        <w:trPr>
          <w:trHeight w:val="223"/>
        </w:trPr>
        <w:tc>
          <w:tcPr>
            <w:tcW w:w="7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60" w:type="dxa"/>
            <w:vAlign w:val="bottom"/>
          </w:tcPr>
          <w:p>
            <w:pPr>
              <w:ind w:left="100"/>
              <w:spacing w:after="0" w:line="223" w:lineRule="exact"/>
              <w:rPr>
                <w:sz w:val="20"/>
                <w:szCs w:val="20"/>
                <w:color w:val="auto"/>
              </w:rPr>
            </w:pPr>
            <w:r>
              <w:rPr>
                <w:rFonts w:ascii="Times New Roman" w:cs="Times New Roman" w:eastAsia="Times New Roman" w:hAnsi="Times New Roman"/>
                <w:sz w:val="21"/>
                <w:szCs w:val="21"/>
                <w:color w:val="auto"/>
              </w:rPr>
              <w:t>nor does it hold any shared or sole voting or dispositive power of any shares. As a result of the matters described in Items</w:t>
            </w:r>
          </w:p>
        </w:tc>
      </w:tr>
      <w:tr>
        <w:trPr>
          <w:trHeight w:val="247"/>
        </w:trPr>
        <w:tc>
          <w:tcPr>
            <w:tcW w:w="7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4 and 6, the Reporting Persons and the Arkhouse Reporting Persons (as defined below) may be deemed to constitute a</w:t>
            </w:r>
          </w:p>
        </w:tc>
      </w:tr>
    </w:tbl>
    <w:p>
      <w:pPr>
        <w:jc w:val="both"/>
        <w:spacing w:after="0" w:line="203"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"group" within the meaning of Section 13(d)(3) of the Securities Exchange Act of 1934, as amended. The amount in Row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11 excludes the shares beneficially owned by the Arkhouse Reporting Persons (as defined below), which is filing a</w:t>
      </w:r>
    </w:p>
    <w:p>
      <w:pPr>
        <w:spacing w:after="0" w:line="1" w:lineRule="exact"/>
        <w:rPr>
          <w:sz w:val="20"/>
          <w:szCs w:val="20"/>
          <w:color w:val="auto"/>
        </w:rPr>
      </w:pPr>
    </w:p>
    <w:p>
      <w:pPr>
        <w:jc w:val="both"/>
        <w:ind w:left="880"/>
        <w:spacing w:after="0" w:line="239" w:lineRule="auto"/>
        <w:rPr>
          <w:sz w:val="20"/>
          <w:szCs w:val="20"/>
          <w:color w:val="auto"/>
        </w:rPr>
      </w:pPr>
      <w:r>
        <w:rPr>
          <w:rFonts w:ascii="Times New Roman" w:cs="Times New Roman" w:eastAsia="Times New Roman" w:hAnsi="Times New Roman"/>
          <w:sz w:val="21"/>
          <w:szCs w:val="21"/>
          <w:color w:val="auto"/>
        </w:rPr>
        <w:t>separate Schedule 13D, and the Reporting Person expressly disclaims beneficial ownership of such shares. The percentage in Row 13 is based on 12,659,150 shares outstanding of the Issuer as of July 26, 2026, as set forth in the Issuer's Form 10-Q, filed August 5, 2026. See Items 5 and 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pacing w:after="0" w:line="200" w:lineRule="exact"/>
        <w:rPr>
          <w:sz w:val="20"/>
          <w:szCs w:val="20"/>
          <w:color w:val="auto"/>
        </w:rPr>
      </w:pPr>
    </w:p>
    <w:p>
      <w:pPr>
        <w:spacing w:after="0" w:line="3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Name of reporting person</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w:t>
      </w:r>
    </w:p>
    <w:p>
      <w:pPr>
        <w:ind w:left="1140"/>
        <w:spacing w:after="0"/>
        <w:rPr>
          <w:sz w:val="20"/>
          <w:szCs w:val="20"/>
          <w:color w:val="auto"/>
        </w:rPr>
      </w:pPr>
      <w:r>
        <w:rPr>
          <w:rFonts w:ascii="Times New Roman" w:cs="Times New Roman" w:eastAsia="Times New Roman" w:hAnsi="Times New Roman"/>
          <w:sz w:val="21"/>
          <w:szCs w:val="21"/>
          <w:color w:val="auto"/>
        </w:rPr>
        <w:t>Cobblers Cove Capital Management GP LLC</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35" w:lineRule="exact"/>
        <w:rPr>
          <w:sz w:val="20"/>
          <w:szCs w:val="20"/>
          <w:color w:val="auto"/>
        </w:rPr>
      </w:pPr>
    </w:p>
    <w:p>
      <w:pPr>
        <w:ind w:left="1140" w:hanging="1096"/>
        <w:spacing w:after="0"/>
        <w:tabs>
          <w:tab w:leader="none" w:pos="1140" w:val="left"/>
        </w:tabs>
        <w:numPr>
          <w:ilvl w:val="0"/>
          <w:numId w:val="4"/>
        </w:numPr>
        <w:rPr>
          <w:rFonts w:ascii="Times New Roman" w:cs="Times New Roman" w:eastAsia="Times New Roman" w:hAnsi="Times New Roman"/>
          <w:sz w:val="42"/>
          <w:szCs w:val="42"/>
          <w:color w:val="auto"/>
          <w:vertAlign w:val="superscript"/>
        </w:rPr>
      </w:pPr>
      <w:r>
        <w:rPr>
          <w:sz w:val="1"/>
          <w:szCs w:val="1"/>
          <w:color w:val="auto"/>
        </w:rPr>
        <w:drawing>
          <wp:inline distT="0" distB="0" distL="0" distR="0">
            <wp:extent cx="125095" cy="12509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095" cy="12509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w:t>
      </w:r>
    </w:p>
    <w:p>
      <w:pPr>
        <w:ind w:left="1140"/>
        <w:spacing w:after="0"/>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5095" cy="12509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095" cy="12509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(b)</w:t>
      </w:r>
    </w:p>
    <w:p>
      <w:pPr>
        <w:spacing w:after="0" w:line="32" w:lineRule="exact"/>
        <w:rPr>
          <w:sz w:val="20"/>
          <w:szCs w:val="20"/>
          <w:color w:val="auto"/>
        </w:rPr>
      </w:pPr>
    </w:p>
    <w:p>
      <w:pPr>
        <w:ind w:left="1140" w:hanging="1096"/>
        <w:spacing w:after="0"/>
        <w:tabs>
          <w:tab w:leader="none" w:pos="11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 use only</w:t>
      </w:r>
    </w:p>
    <w:p>
      <w:pPr>
        <w:spacing w:after="0" w:line="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Source of funds (See Instructions)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4</w:t>
      </w:r>
    </w:p>
    <w:p>
      <w:pPr>
        <w:ind w:left="1140"/>
        <w:spacing w:after="0"/>
        <w:rPr>
          <w:sz w:val="20"/>
          <w:szCs w:val="20"/>
          <w:color w:val="auto"/>
        </w:rPr>
      </w:pPr>
      <w:r>
        <w:rPr>
          <w:rFonts w:ascii="Times New Roman" w:cs="Times New Roman" w:eastAsia="Times New Roman" w:hAnsi="Times New Roman"/>
          <w:sz w:val="21"/>
          <w:szCs w:val="21"/>
          <w:color w:val="auto"/>
        </w:rPr>
        <w:t>AF</w:t>
      </w:r>
    </w:p>
    <w:p>
      <w:pPr>
        <w:spacing w:after="0" w:line="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15240</wp:posOffset>
            </wp:positionV>
            <wp:extent cx="125095" cy="125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Citizenship or place of organization</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6</w:t>
      </w:r>
    </w:p>
    <w:p>
      <w:pPr>
        <w:ind w:left="1140"/>
        <w:spacing w:after="0"/>
        <w:rPr>
          <w:sz w:val="20"/>
          <w:szCs w:val="20"/>
          <w:color w:val="auto"/>
        </w:rPr>
      </w:pPr>
      <w:r>
        <w:rPr>
          <w:rFonts w:ascii="Times New Roman" w:cs="Times New Roman" w:eastAsia="Times New Roman" w:hAnsi="Times New Roman"/>
          <w:sz w:val="21"/>
          <w:szCs w:val="21"/>
          <w:color w:val="auto"/>
        </w:rPr>
        <w:t>DELAWARE</w:t>
      </w:r>
    </w:p>
    <w:p>
      <w:pPr>
        <w:sectPr>
          <w:pgSz w:w="11900" w:h="16838" w:orient="portrait"/>
          <w:cols w:equalWidth="0" w:num="1">
            <w:col w:w="11240"/>
          </w:cols>
          <w:pgMar w:left="320" w:top="114" w:right="33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41"/>
        </w:trPr>
        <w:tc>
          <w:tcPr>
            <w:tcW w:w="1060" w:type="dxa"/>
            <w:vAlign w:val="bottom"/>
          </w:tcPr>
          <w:p>
            <w:pPr>
              <w:spacing w:after="0"/>
              <w:rPr>
                <w:sz w:val="20"/>
                <w:szCs w:val="20"/>
                <w:color w:val="auto"/>
              </w:rPr>
            </w:pPr>
            <w:r>
              <w:rPr>
                <w:rFonts w:ascii="Times New Roman" w:cs="Times New Roman" w:eastAsia="Times New Roman" w:hAnsi="Times New Roman"/>
                <w:sz w:val="21"/>
                <w:szCs w:val="21"/>
                <w:color w:val="auto"/>
              </w:rPr>
              <w:t>Number of</w:t>
            </w:r>
          </w:p>
        </w:tc>
        <w:tc>
          <w:tcPr>
            <w:tcW w:w="720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7  Sole Voting Power</w:t>
            </w:r>
          </w:p>
        </w:tc>
        <w:tc>
          <w:tcPr>
            <w:tcW w:w="0" w:type="dxa"/>
            <w:vAlign w:val="bottom"/>
          </w:tcPr>
          <w:p>
            <w:pPr>
              <w:spacing w:after="0"/>
              <w:rPr>
                <w:sz w:val="1"/>
                <w:szCs w:val="1"/>
                <w:color w:val="auto"/>
              </w:rPr>
            </w:pPr>
          </w:p>
        </w:tc>
      </w:tr>
      <w:tr>
        <w:trPr>
          <w:trHeight w:val="236"/>
        </w:trPr>
        <w:tc>
          <w:tcPr>
            <w:tcW w:w="106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Shares</w:t>
            </w:r>
          </w:p>
        </w:tc>
        <w:tc>
          <w:tcPr>
            <w:tcW w:w="7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6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Beneficially</w:t>
            </w:r>
          </w:p>
        </w:tc>
        <w:tc>
          <w:tcPr>
            <w:tcW w:w="7200" w:type="dxa"/>
            <w:vAlign w:val="bottom"/>
          </w:tcPr>
          <w:p>
            <w:pPr>
              <w:ind w:left="340"/>
              <w:spacing w:after="0" w:line="236" w:lineRule="exact"/>
              <w:rPr>
                <w:sz w:val="20"/>
                <w:szCs w:val="20"/>
                <w:color w:val="auto"/>
              </w:rPr>
            </w:pPr>
            <w:r>
              <w:rPr>
                <w:rFonts w:ascii="Times New Roman" w:cs="Times New Roman" w:eastAsia="Times New Roman" w:hAnsi="Times New Roman"/>
                <w:sz w:val="21"/>
                <w:szCs w:val="21"/>
                <w:color w:val="auto"/>
              </w:rPr>
              <w:t>0.00</w:t>
            </w:r>
          </w:p>
        </w:tc>
        <w:tc>
          <w:tcPr>
            <w:tcW w:w="0" w:type="dxa"/>
            <w:vAlign w:val="bottom"/>
          </w:tcPr>
          <w:p>
            <w:pPr>
              <w:spacing w:after="0"/>
              <w:rPr>
                <w:sz w:val="1"/>
                <w:szCs w:val="1"/>
                <w:color w:val="auto"/>
              </w:rPr>
            </w:pPr>
          </w:p>
        </w:tc>
      </w:tr>
      <w:tr>
        <w:trPr>
          <w:trHeight w:val="264"/>
        </w:trPr>
        <w:tc>
          <w:tcPr>
            <w:tcW w:w="1060" w:type="dxa"/>
            <w:vAlign w:val="bottom"/>
          </w:tcPr>
          <w:p>
            <w:pPr>
              <w:spacing w:after="0"/>
              <w:rPr>
                <w:sz w:val="20"/>
                <w:szCs w:val="20"/>
                <w:color w:val="auto"/>
              </w:rPr>
            </w:pPr>
            <w:r>
              <w:rPr>
                <w:rFonts w:ascii="Times New Roman" w:cs="Times New Roman" w:eastAsia="Times New Roman" w:hAnsi="Times New Roman"/>
                <w:sz w:val="21"/>
                <w:szCs w:val="21"/>
                <w:color w:val="auto"/>
              </w:rPr>
              <w:t>Owned by</w:t>
            </w:r>
          </w:p>
        </w:tc>
        <w:tc>
          <w:tcPr>
            <w:tcW w:w="7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Shared Voting Power</w:t>
            </w:r>
          </w:p>
        </w:tc>
        <w:tc>
          <w:tcPr>
            <w:tcW w:w="0" w:type="dxa"/>
            <w:vAlign w:val="bottom"/>
          </w:tcPr>
          <w:p>
            <w:pPr>
              <w:spacing w:after="0"/>
              <w:rPr>
                <w:sz w:val="1"/>
                <w:szCs w:val="1"/>
                <w:color w:val="auto"/>
              </w:rPr>
            </w:pPr>
          </w:p>
        </w:tc>
      </w:tr>
      <w:tr>
        <w:trPr>
          <w:trHeight w:val="233"/>
        </w:trPr>
        <w:tc>
          <w:tcPr>
            <w:tcW w:w="1060" w:type="dxa"/>
            <w:vAlign w:val="bottom"/>
          </w:tcPr>
          <w:p>
            <w:pPr>
              <w:spacing w:after="0" w:line="233" w:lineRule="exact"/>
              <w:rPr>
                <w:sz w:val="20"/>
                <w:szCs w:val="20"/>
                <w:color w:val="auto"/>
              </w:rPr>
            </w:pPr>
            <w:r>
              <w:rPr>
                <w:rFonts w:ascii="Times New Roman" w:cs="Times New Roman" w:eastAsia="Times New Roman" w:hAnsi="Times New Roman"/>
                <w:sz w:val="21"/>
                <w:szCs w:val="21"/>
                <w:color w:val="auto"/>
              </w:rPr>
              <w:t>Each</w:t>
            </w:r>
          </w:p>
        </w:tc>
        <w:tc>
          <w:tcPr>
            <w:tcW w:w="7200" w:type="dxa"/>
            <w:vAlign w:val="bottom"/>
          </w:tcPr>
          <w:p>
            <w:pPr>
              <w:ind w:left="80"/>
              <w:spacing w:after="0" w:line="233" w:lineRule="exact"/>
              <w:rPr>
                <w:sz w:val="20"/>
                <w:szCs w:val="20"/>
                <w:color w:val="auto"/>
              </w:rPr>
            </w:pPr>
            <w:r>
              <w:rPr>
                <w:rFonts w:ascii="Times New Roman" w:cs="Times New Roman" w:eastAsia="Times New Roman" w:hAnsi="Times New Roman"/>
                <w:sz w:val="21"/>
                <w:szCs w:val="21"/>
                <w:color w:val="auto"/>
              </w:rPr>
              <w:t>8</w:t>
            </w:r>
          </w:p>
        </w:tc>
        <w:tc>
          <w:tcPr>
            <w:tcW w:w="0" w:type="dxa"/>
            <w:vAlign w:val="bottom"/>
          </w:tcPr>
          <w:p>
            <w:pPr>
              <w:spacing w:after="0"/>
              <w:rPr>
                <w:sz w:val="1"/>
                <w:szCs w:val="1"/>
                <w:color w:val="auto"/>
              </w:rPr>
            </w:pPr>
          </w:p>
        </w:tc>
      </w:tr>
      <w:tr>
        <w:trPr>
          <w:trHeight w:val="236"/>
        </w:trPr>
        <w:tc>
          <w:tcPr>
            <w:tcW w:w="106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Reporting</w:t>
            </w:r>
          </w:p>
        </w:tc>
        <w:tc>
          <w:tcPr>
            <w:tcW w:w="7200" w:type="dxa"/>
            <w:vAlign w:val="bottom"/>
          </w:tcPr>
          <w:p>
            <w:pPr>
              <w:ind w:left="340"/>
              <w:spacing w:after="0" w:line="236" w:lineRule="exact"/>
              <w:rPr>
                <w:sz w:val="20"/>
                <w:szCs w:val="20"/>
                <w:color w:val="auto"/>
              </w:rPr>
            </w:pPr>
            <w:r>
              <w:rPr>
                <w:rFonts w:ascii="Times New Roman" w:cs="Times New Roman" w:eastAsia="Times New Roman" w:hAnsi="Times New Roman"/>
                <w:sz w:val="21"/>
                <w:szCs w:val="21"/>
                <w:color w:val="auto"/>
              </w:rPr>
              <w:t>0.00</w:t>
            </w:r>
          </w:p>
        </w:tc>
        <w:tc>
          <w:tcPr>
            <w:tcW w:w="0" w:type="dxa"/>
            <w:vAlign w:val="bottom"/>
          </w:tcPr>
          <w:p>
            <w:pPr>
              <w:spacing w:after="0"/>
              <w:rPr>
                <w:sz w:val="1"/>
                <w:szCs w:val="1"/>
                <w:color w:val="auto"/>
              </w:rPr>
            </w:pPr>
          </w:p>
        </w:tc>
      </w:tr>
      <w:tr>
        <w:trPr>
          <w:trHeight w:val="212"/>
        </w:trPr>
        <w:tc>
          <w:tcPr>
            <w:tcW w:w="1060" w:type="dxa"/>
            <w:vAlign w:val="bottom"/>
          </w:tcPr>
          <w:p>
            <w:pPr>
              <w:spacing w:after="0" w:line="213" w:lineRule="exact"/>
              <w:rPr>
                <w:sz w:val="20"/>
                <w:szCs w:val="20"/>
                <w:color w:val="auto"/>
              </w:rPr>
            </w:pPr>
            <w:r>
              <w:rPr>
                <w:rFonts w:ascii="Times New Roman" w:cs="Times New Roman" w:eastAsia="Times New Roman" w:hAnsi="Times New Roman"/>
                <w:sz w:val="21"/>
                <w:szCs w:val="21"/>
                <w:color w:val="auto"/>
              </w:rPr>
              <w:t>Person</w:t>
            </w:r>
          </w:p>
        </w:tc>
        <w:tc>
          <w:tcPr>
            <w:tcW w:w="7200" w:type="dxa"/>
            <w:vAlign w:val="bottom"/>
            <w:vMerge w:val="restart"/>
          </w:tcPr>
          <w:p>
            <w:pPr>
              <w:ind w:left="340"/>
              <w:spacing w:after="0"/>
              <w:rPr>
                <w:sz w:val="20"/>
                <w:szCs w:val="20"/>
                <w:color w:val="auto"/>
              </w:rPr>
            </w:pPr>
            <w:r>
              <w:rPr>
                <w:rFonts w:ascii="Times New Roman" w:cs="Times New Roman" w:eastAsia="Times New Roman" w:hAnsi="Times New Roman"/>
                <w:sz w:val="21"/>
                <w:szCs w:val="21"/>
                <w:color w:val="auto"/>
              </w:rPr>
              <w:t>Sole Dispositive Power</w:t>
            </w:r>
          </w:p>
        </w:tc>
        <w:tc>
          <w:tcPr>
            <w:tcW w:w="0" w:type="dxa"/>
            <w:vAlign w:val="bottom"/>
          </w:tcPr>
          <w:p>
            <w:pPr>
              <w:spacing w:after="0"/>
              <w:rPr>
                <w:sz w:val="1"/>
                <w:szCs w:val="1"/>
                <w:color w:val="auto"/>
              </w:rPr>
            </w:pPr>
          </w:p>
        </w:tc>
      </w:tr>
      <w:tr>
        <w:trPr>
          <w:trHeight w:val="105"/>
        </w:trPr>
        <w:tc>
          <w:tcPr>
            <w:tcW w:w="106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With:</w:t>
            </w:r>
          </w:p>
        </w:tc>
        <w:tc>
          <w:tcPr>
            <w:tcW w:w="7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060" w:type="dxa"/>
            <w:vAlign w:val="bottom"/>
            <w:vMerge w:val="continue"/>
          </w:tcPr>
          <w:p>
            <w:pPr>
              <w:spacing w:after="0"/>
              <w:rPr>
                <w:sz w:val="14"/>
                <w:szCs w:val="14"/>
                <w:color w:val="auto"/>
              </w:rPr>
            </w:pPr>
          </w:p>
        </w:tc>
        <w:tc>
          <w:tcPr>
            <w:tcW w:w="720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1"/>
                <w:szCs w:val="21"/>
                <w:color w:val="auto"/>
              </w:rPr>
              <w:t>9</w:t>
            </w:r>
          </w:p>
        </w:tc>
        <w:tc>
          <w:tcPr>
            <w:tcW w:w="0" w:type="dxa"/>
            <w:vAlign w:val="bottom"/>
          </w:tcPr>
          <w:p>
            <w:pPr>
              <w:spacing w:after="0"/>
              <w:rPr>
                <w:sz w:val="1"/>
                <w:szCs w:val="1"/>
                <w:color w:val="auto"/>
              </w:rPr>
            </w:pPr>
          </w:p>
        </w:tc>
      </w:tr>
      <w:tr>
        <w:trPr>
          <w:trHeight w:val="66"/>
        </w:trPr>
        <w:tc>
          <w:tcPr>
            <w:tcW w:w="1060" w:type="dxa"/>
            <w:vAlign w:val="bottom"/>
          </w:tcPr>
          <w:p>
            <w:pPr>
              <w:spacing w:after="0"/>
              <w:rPr>
                <w:sz w:val="5"/>
                <w:szCs w:val="5"/>
                <w:color w:val="auto"/>
              </w:rPr>
            </w:pPr>
          </w:p>
        </w:tc>
        <w:tc>
          <w:tcPr>
            <w:tcW w:w="7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1060" w:type="dxa"/>
            <w:vAlign w:val="bottom"/>
          </w:tcPr>
          <w:p>
            <w:pPr>
              <w:spacing w:after="0"/>
              <w:rPr>
                <w:sz w:val="23"/>
                <w:szCs w:val="23"/>
                <w:color w:val="auto"/>
              </w:rPr>
            </w:pPr>
          </w:p>
        </w:tc>
        <w:tc>
          <w:tcPr>
            <w:tcW w:w="7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0.00</w:t>
            </w: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1"/>
                <w:szCs w:val="21"/>
                <w:color w:val="auto"/>
              </w:rPr>
            </w:pPr>
          </w:p>
        </w:tc>
        <w:tc>
          <w:tcPr>
            <w:tcW w:w="7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Shared Dispositive Power</w:t>
            </w:r>
          </w:p>
        </w:tc>
        <w:tc>
          <w:tcPr>
            <w:tcW w:w="0" w:type="dxa"/>
            <w:vAlign w:val="bottom"/>
          </w:tcPr>
          <w:p>
            <w:pPr>
              <w:spacing w:after="0"/>
              <w:rPr>
                <w:sz w:val="1"/>
                <w:szCs w:val="1"/>
                <w:color w:val="auto"/>
              </w:rPr>
            </w:pPr>
          </w:p>
        </w:tc>
      </w:tr>
      <w:tr>
        <w:trPr>
          <w:trHeight w:val="236"/>
        </w:trPr>
        <w:tc>
          <w:tcPr>
            <w:tcW w:w="1060" w:type="dxa"/>
            <w:vAlign w:val="bottom"/>
          </w:tcPr>
          <w:p>
            <w:pPr>
              <w:spacing w:after="0"/>
              <w:rPr>
                <w:sz w:val="20"/>
                <w:szCs w:val="20"/>
                <w:color w:val="auto"/>
              </w:rPr>
            </w:pPr>
          </w:p>
        </w:tc>
        <w:tc>
          <w:tcPr>
            <w:tcW w:w="7200" w:type="dxa"/>
            <w:vAlign w:val="bottom"/>
          </w:tcPr>
          <w:p>
            <w:pPr>
              <w:ind w:left="80"/>
              <w:spacing w:after="0" w:line="236" w:lineRule="exact"/>
              <w:rPr>
                <w:sz w:val="20"/>
                <w:szCs w:val="20"/>
                <w:color w:val="auto"/>
              </w:rPr>
            </w:pPr>
            <w:r>
              <w:rPr>
                <w:rFonts w:ascii="Times New Roman" w:cs="Times New Roman" w:eastAsia="Times New Roman" w:hAnsi="Times New Roman"/>
                <w:sz w:val="21"/>
                <w:szCs w:val="21"/>
                <w:color w:val="auto"/>
              </w:rPr>
              <w:t>10</w:t>
            </w:r>
          </w:p>
        </w:tc>
        <w:tc>
          <w:tcPr>
            <w:tcW w:w="0" w:type="dxa"/>
            <w:vAlign w:val="bottom"/>
          </w:tcPr>
          <w:p>
            <w:pPr>
              <w:spacing w:after="0"/>
              <w:rPr>
                <w:sz w:val="1"/>
                <w:szCs w:val="1"/>
                <w:color w:val="auto"/>
              </w:rPr>
            </w:pPr>
          </w:p>
        </w:tc>
      </w:tr>
      <w:tr>
        <w:trPr>
          <w:trHeight w:val="275"/>
        </w:trPr>
        <w:tc>
          <w:tcPr>
            <w:tcW w:w="1060" w:type="dxa"/>
            <w:vAlign w:val="bottom"/>
          </w:tcPr>
          <w:p>
            <w:pPr>
              <w:spacing w:after="0"/>
              <w:rPr>
                <w:sz w:val="23"/>
                <w:szCs w:val="23"/>
                <w:color w:val="auto"/>
              </w:rPr>
            </w:pPr>
          </w:p>
        </w:tc>
        <w:tc>
          <w:tcPr>
            <w:tcW w:w="7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0.00</w:t>
            </w:r>
          </w:p>
        </w:tc>
        <w:tc>
          <w:tcPr>
            <w:tcW w:w="0" w:type="dxa"/>
            <w:vAlign w:val="bottom"/>
          </w:tcPr>
          <w:p>
            <w:pPr>
              <w:spacing w:after="0"/>
              <w:rPr>
                <w:sz w:val="1"/>
                <w:szCs w:val="1"/>
                <w:color w:val="auto"/>
              </w:rPr>
            </w:pPr>
          </w:p>
        </w:tc>
      </w:tr>
      <w:tr>
        <w:trPr>
          <w:trHeight w:val="328"/>
        </w:trPr>
        <w:tc>
          <w:tcPr>
            <w:tcW w:w="106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11</w:t>
            </w:r>
          </w:p>
        </w:tc>
        <w:tc>
          <w:tcPr>
            <w:tcW w:w="72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Aggregate amount beneficially owned by each reporting person</w:t>
            </w:r>
          </w:p>
        </w:tc>
        <w:tc>
          <w:tcPr>
            <w:tcW w:w="0" w:type="dxa"/>
            <w:vAlign w:val="bottom"/>
          </w:tcPr>
          <w:p>
            <w:pPr>
              <w:spacing w:after="0"/>
              <w:rPr>
                <w:sz w:val="1"/>
                <w:szCs w:val="1"/>
                <w:color w:val="auto"/>
              </w:rPr>
            </w:pPr>
          </w:p>
        </w:tc>
      </w:tr>
      <w:tr>
        <w:trPr>
          <w:trHeight w:val="236"/>
        </w:trPr>
        <w:tc>
          <w:tcPr>
            <w:tcW w:w="1060" w:type="dxa"/>
            <w:vAlign w:val="bottom"/>
            <w:vMerge w:val="continue"/>
          </w:tcPr>
          <w:p>
            <w:pPr>
              <w:spacing w:after="0"/>
              <w:rPr>
                <w:sz w:val="20"/>
                <w:szCs w:val="20"/>
                <w:color w:val="auto"/>
              </w:rPr>
            </w:pPr>
          </w:p>
        </w:tc>
        <w:tc>
          <w:tcPr>
            <w:tcW w:w="720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0.00</w:t>
            </w:r>
          </w:p>
        </w:tc>
        <w:tc>
          <w:tcPr>
            <w:tcW w:w="0" w:type="dxa"/>
            <w:vAlign w:val="bottom"/>
          </w:tcPr>
          <w:p>
            <w:pPr>
              <w:spacing w:after="0"/>
              <w:rPr>
                <w:sz w:val="1"/>
                <w:szCs w:val="1"/>
                <w:color w:val="auto"/>
              </w:rPr>
            </w:pPr>
          </w:p>
        </w:tc>
      </w:tr>
      <w:tr>
        <w:trPr>
          <w:trHeight w:val="236"/>
        </w:trPr>
        <w:tc>
          <w:tcPr>
            <w:tcW w:w="1060" w:type="dxa"/>
            <w:vAlign w:val="bottom"/>
          </w:tcPr>
          <w:p>
            <w:pPr>
              <w:spacing w:after="0"/>
              <w:rPr>
                <w:sz w:val="20"/>
                <w:szCs w:val="20"/>
                <w:color w:val="auto"/>
              </w:rPr>
            </w:pPr>
          </w:p>
        </w:tc>
        <w:tc>
          <w:tcPr>
            <w:tcW w:w="7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106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12</w:t>
            </w:r>
          </w:p>
        </w:tc>
        <w:tc>
          <w:tcPr>
            <w:tcW w:w="7200" w:type="dxa"/>
            <w:vAlign w:val="bottom"/>
          </w:tcPr>
          <w:p>
            <w:pPr>
              <w:ind w:left="40"/>
              <w:spacing w:after="0"/>
              <w:rPr>
                <w:sz w:val="20"/>
                <w:szCs w:val="20"/>
                <w:color w:val="auto"/>
              </w:rPr>
            </w:pPr>
            <w:r>
              <w:rPr>
                <w:rFonts w:ascii="Times New Roman" w:cs="Times New Roman" w:eastAsia="Times New Roman" w:hAnsi="Times New Roman"/>
                <w:sz w:val="21"/>
                <w:szCs w:val="21"/>
                <w:color w:val="auto"/>
                <w:w w:val="99"/>
              </w:rPr>
              <w:t>Check if the aggregate amount in Row (11) excludes certain shares (See Instructions)</w:t>
            </w:r>
          </w:p>
        </w:tc>
        <w:tc>
          <w:tcPr>
            <w:tcW w:w="0" w:type="dxa"/>
            <w:vAlign w:val="bottom"/>
          </w:tcPr>
          <w:p>
            <w:pPr>
              <w:spacing w:after="0"/>
              <w:rPr>
                <w:sz w:val="1"/>
                <w:szCs w:val="1"/>
                <w:color w:val="auto"/>
              </w:rPr>
            </w:pPr>
          </w:p>
        </w:tc>
      </w:tr>
      <w:tr>
        <w:trPr>
          <w:trHeight w:val="210"/>
        </w:trPr>
        <w:tc>
          <w:tcPr>
            <w:tcW w:w="1060" w:type="dxa"/>
            <w:vAlign w:val="bottom"/>
            <w:vMerge w:val="continue"/>
          </w:tcPr>
          <w:p>
            <w:pPr>
              <w:spacing w:after="0"/>
              <w:rPr>
                <w:sz w:val="18"/>
                <w:szCs w:val="18"/>
                <w:color w:val="auto"/>
              </w:rPr>
            </w:pPr>
          </w:p>
        </w:tc>
        <w:tc>
          <w:tcPr>
            <w:tcW w:w="7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2"/>
        </w:trPr>
        <w:tc>
          <w:tcPr>
            <w:tcW w:w="106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13</w:t>
            </w:r>
          </w:p>
        </w:tc>
        <w:tc>
          <w:tcPr>
            <w:tcW w:w="72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Percent of class represented by amount in Row (11)</w:t>
            </w:r>
          </w:p>
        </w:tc>
        <w:tc>
          <w:tcPr>
            <w:tcW w:w="0" w:type="dxa"/>
            <w:vAlign w:val="bottom"/>
          </w:tcPr>
          <w:p>
            <w:pPr>
              <w:spacing w:after="0"/>
              <w:rPr>
                <w:sz w:val="1"/>
                <w:szCs w:val="1"/>
                <w:color w:val="auto"/>
              </w:rPr>
            </w:pPr>
          </w:p>
        </w:tc>
      </w:tr>
      <w:tr>
        <w:trPr>
          <w:trHeight w:val="236"/>
        </w:trPr>
        <w:tc>
          <w:tcPr>
            <w:tcW w:w="1060" w:type="dxa"/>
            <w:vAlign w:val="bottom"/>
            <w:vMerge w:val="continue"/>
          </w:tcPr>
          <w:p>
            <w:pPr>
              <w:spacing w:after="0"/>
              <w:rPr>
                <w:sz w:val="20"/>
                <w:szCs w:val="20"/>
                <w:color w:val="auto"/>
              </w:rPr>
            </w:pPr>
          </w:p>
        </w:tc>
        <w:tc>
          <w:tcPr>
            <w:tcW w:w="720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0 %</w:t>
            </w:r>
          </w:p>
        </w:tc>
        <w:tc>
          <w:tcPr>
            <w:tcW w:w="0" w:type="dxa"/>
            <w:vAlign w:val="bottom"/>
          </w:tcPr>
          <w:p>
            <w:pPr>
              <w:spacing w:after="0"/>
              <w:rPr>
                <w:sz w:val="1"/>
                <w:szCs w:val="1"/>
                <w:color w:val="auto"/>
              </w:rPr>
            </w:pPr>
          </w:p>
        </w:tc>
      </w:tr>
      <w:tr>
        <w:trPr>
          <w:trHeight w:val="236"/>
        </w:trPr>
        <w:tc>
          <w:tcPr>
            <w:tcW w:w="1060" w:type="dxa"/>
            <w:vAlign w:val="bottom"/>
          </w:tcPr>
          <w:p>
            <w:pPr>
              <w:spacing w:after="0"/>
              <w:rPr>
                <w:sz w:val="20"/>
                <w:szCs w:val="20"/>
                <w:color w:val="auto"/>
              </w:rPr>
            </w:pPr>
          </w:p>
        </w:tc>
        <w:tc>
          <w:tcPr>
            <w:tcW w:w="7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106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14</w:t>
            </w:r>
          </w:p>
        </w:tc>
        <w:tc>
          <w:tcPr>
            <w:tcW w:w="72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Type of Reporting Person (See Instructions)</w:t>
            </w:r>
          </w:p>
        </w:tc>
        <w:tc>
          <w:tcPr>
            <w:tcW w:w="0" w:type="dxa"/>
            <w:vAlign w:val="bottom"/>
          </w:tcPr>
          <w:p>
            <w:pPr>
              <w:spacing w:after="0"/>
              <w:rPr>
                <w:sz w:val="1"/>
                <w:szCs w:val="1"/>
                <w:color w:val="auto"/>
              </w:rPr>
            </w:pPr>
          </w:p>
        </w:tc>
      </w:tr>
      <w:tr>
        <w:trPr>
          <w:trHeight w:val="236"/>
        </w:trPr>
        <w:tc>
          <w:tcPr>
            <w:tcW w:w="1060" w:type="dxa"/>
            <w:vAlign w:val="bottom"/>
            <w:vMerge w:val="continue"/>
          </w:tcPr>
          <w:p>
            <w:pPr>
              <w:spacing w:after="0"/>
              <w:rPr>
                <w:sz w:val="20"/>
                <w:szCs w:val="20"/>
                <w:color w:val="auto"/>
              </w:rPr>
            </w:pPr>
          </w:p>
        </w:tc>
        <w:tc>
          <w:tcPr>
            <w:tcW w:w="720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HC, OO</w:t>
            </w:r>
          </w:p>
        </w:tc>
        <w:tc>
          <w:tcPr>
            <w:tcW w:w="0" w:type="dxa"/>
            <w:vAlign w:val="bottom"/>
          </w:tcPr>
          <w:p>
            <w:pPr>
              <w:spacing w:after="0"/>
              <w:rPr>
                <w:sz w:val="1"/>
                <w:szCs w:val="1"/>
                <w:color w:val="auto"/>
              </w:rPr>
            </w:pPr>
          </w:p>
        </w:tc>
      </w:tr>
      <w:tr>
        <w:trPr>
          <w:trHeight w:val="236"/>
        </w:trPr>
        <w:tc>
          <w:tcPr>
            <w:tcW w:w="1060" w:type="dxa"/>
            <w:vAlign w:val="bottom"/>
          </w:tcPr>
          <w:p>
            <w:pPr>
              <w:spacing w:after="0"/>
              <w:rPr>
                <w:sz w:val="20"/>
                <w:szCs w:val="20"/>
                <w:color w:val="auto"/>
              </w:rPr>
            </w:pPr>
          </w:p>
        </w:tc>
        <w:tc>
          <w:tcPr>
            <w:tcW w:w="7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-1098550</wp:posOffset>
            </wp:positionV>
            <wp:extent cx="125095" cy="125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As of the date of this Schedule 13D, Cobblers Cove Capital Management GP LLC, general partner of Cobblers Cove</w:t>
            </w:r>
          </w:p>
        </w:tc>
      </w:tr>
      <w:tr>
        <w:trPr>
          <w:trHeight w:val="223"/>
        </w:trPr>
        <w:tc>
          <w:tcPr>
            <w:tcW w:w="7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60" w:type="dxa"/>
            <w:vAlign w:val="bottom"/>
          </w:tcPr>
          <w:p>
            <w:pPr>
              <w:ind w:left="100"/>
              <w:spacing w:after="0" w:line="223" w:lineRule="exact"/>
              <w:rPr>
                <w:sz w:val="20"/>
                <w:szCs w:val="20"/>
                <w:color w:val="auto"/>
              </w:rPr>
            </w:pPr>
            <w:r>
              <w:rPr>
                <w:rFonts w:ascii="Times New Roman" w:cs="Times New Roman" w:eastAsia="Times New Roman" w:hAnsi="Times New Roman"/>
                <w:sz w:val="21"/>
                <w:szCs w:val="21"/>
                <w:color w:val="auto"/>
              </w:rPr>
              <w:t>("Cobblers Cove GP") is not the record holder of any shares, nor does it hold any shared or sole voting or dispositive</w:t>
            </w:r>
          </w:p>
        </w:tc>
      </w:tr>
      <w:tr>
        <w:trPr>
          <w:trHeight w:val="247"/>
        </w:trPr>
        <w:tc>
          <w:tcPr>
            <w:tcW w:w="7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power of any shares. As a result of the matters described in Items 4 and 6, the Reporting Persons and the Arkhouse</w:t>
            </w:r>
          </w:p>
        </w:tc>
      </w:tr>
    </w:tbl>
    <w:p>
      <w:pPr>
        <w:jc w:val="both"/>
        <w:spacing w:after="0" w:line="203"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Reporting Persons (as defined below) may be deemed to constitute a "group" within the meaning of Section 13(d)(3) of the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Securities Exchange Act of 1934, as amended. The amount in Row 11 excludes the shares beneficially owned by the</w:t>
      </w:r>
    </w:p>
    <w:p>
      <w:pPr>
        <w:spacing w:after="0" w:line="1" w:lineRule="exact"/>
        <w:rPr>
          <w:sz w:val="20"/>
          <w:szCs w:val="20"/>
          <w:color w:val="auto"/>
        </w:rPr>
      </w:pPr>
    </w:p>
    <w:p>
      <w:pPr>
        <w:jc w:val="both"/>
        <w:ind w:left="880"/>
        <w:spacing w:after="0" w:line="238" w:lineRule="auto"/>
        <w:rPr>
          <w:sz w:val="20"/>
          <w:szCs w:val="20"/>
          <w:color w:val="auto"/>
        </w:rPr>
      </w:pPr>
      <w:r>
        <w:rPr>
          <w:rFonts w:ascii="Times New Roman" w:cs="Times New Roman" w:eastAsia="Times New Roman" w:hAnsi="Times New Roman"/>
          <w:sz w:val="21"/>
          <w:szCs w:val="21"/>
          <w:color w:val="auto"/>
        </w:rPr>
        <w:t>Arkhouse Reporting Persons (as defined below), which is filing a separate Schedule 13D, and the Reporting Person expressly disclaims beneficial ownership of such shares. The percentage in Row 13 is based on 12,659,150 shares outstanding of the Issuer as of July 26, 2026, as set forth in the Issuer's Form 10-Q, filed August 5, 2026. See Items 5 and 6.</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pacing w:after="0" w:line="200" w:lineRule="exact"/>
        <w:rPr>
          <w:sz w:val="20"/>
          <w:szCs w:val="20"/>
          <w:color w:val="auto"/>
        </w:rPr>
      </w:pPr>
    </w:p>
    <w:p>
      <w:pPr>
        <w:spacing w:after="0" w:line="3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Name of reporting person</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w:t>
      </w:r>
    </w:p>
    <w:p>
      <w:pPr>
        <w:ind w:left="1140"/>
        <w:spacing w:after="0"/>
        <w:rPr>
          <w:sz w:val="20"/>
          <w:szCs w:val="20"/>
          <w:color w:val="auto"/>
        </w:rPr>
      </w:pPr>
      <w:r>
        <w:rPr>
          <w:rFonts w:ascii="Times New Roman" w:cs="Times New Roman" w:eastAsia="Times New Roman" w:hAnsi="Times New Roman"/>
          <w:sz w:val="21"/>
          <w:szCs w:val="21"/>
          <w:color w:val="auto"/>
        </w:rPr>
        <w:t>Matthew Perkal</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35" w:lineRule="exact"/>
        <w:rPr>
          <w:sz w:val="20"/>
          <w:szCs w:val="20"/>
          <w:color w:val="auto"/>
        </w:rPr>
      </w:pPr>
    </w:p>
    <w:p>
      <w:pPr>
        <w:ind w:left="1140" w:hanging="1096"/>
        <w:spacing w:after="0"/>
        <w:tabs>
          <w:tab w:leader="none" w:pos="1140" w:val="left"/>
        </w:tabs>
        <w:numPr>
          <w:ilvl w:val="0"/>
          <w:numId w:val="6"/>
        </w:numPr>
        <w:rPr>
          <w:rFonts w:ascii="Times New Roman" w:cs="Times New Roman" w:eastAsia="Times New Roman" w:hAnsi="Times New Roman"/>
          <w:sz w:val="42"/>
          <w:szCs w:val="42"/>
          <w:color w:val="auto"/>
          <w:vertAlign w:val="superscript"/>
        </w:rPr>
      </w:pPr>
      <w:r>
        <w:rPr>
          <w:sz w:val="1"/>
          <w:szCs w:val="1"/>
          <w:color w:val="auto"/>
        </w:rPr>
        <w:drawing>
          <wp:inline distT="0" distB="0" distL="0" distR="0">
            <wp:extent cx="125095" cy="12509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5095" cy="12509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w:t>
      </w:r>
    </w:p>
    <w:p>
      <w:pPr>
        <w:ind w:left="1140"/>
        <w:spacing w:after="0"/>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5095" cy="12509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5095" cy="12509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(b)</w:t>
      </w:r>
    </w:p>
    <w:p>
      <w:pPr>
        <w:spacing w:after="0" w:line="32" w:lineRule="exact"/>
        <w:rPr>
          <w:sz w:val="20"/>
          <w:szCs w:val="20"/>
          <w:color w:val="auto"/>
        </w:rPr>
      </w:pPr>
    </w:p>
    <w:p>
      <w:pPr>
        <w:ind w:left="1140" w:hanging="1096"/>
        <w:spacing w:after="0"/>
        <w:tabs>
          <w:tab w:leader="none" w:pos="11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 use only</w:t>
      </w:r>
    </w:p>
    <w:p>
      <w:pPr>
        <w:spacing w:after="0" w:line="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Source of funds (See Instructions)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4</w:t>
      </w:r>
    </w:p>
    <w:p>
      <w:pPr>
        <w:ind w:left="1140"/>
        <w:spacing w:after="0"/>
        <w:rPr>
          <w:sz w:val="20"/>
          <w:szCs w:val="20"/>
          <w:color w:val="auto"/>
        </w:rPr>
      </w:pPr>
      <w:r>
        <w:rPr>
          <w:rFonts w:ascii="Times New Roman" w:cs="Times New Roman" w:eastAsia="Times New Roman" w:hAnsi="Times New Roman"/>
          <w:sz w:val="21"/>
          <w:szCs w:val="21"/>
          <w:color w:val="auto"/>
        </w:rPr>
        <w:t>PF, OO</w:t>
      </w:r>
    </w:p>
    <w:p>
      <w:pPr>
        <w:spacing w:after="0" w:line="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15240</wp:posOffset>
            </wp:positionV>
            <wp:extent cx="125095" cy="125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Citizenship or place of organization</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6</w:t>
      </w:r>
    </w:p>
    <w:p>
      <w:pPr>
        <w:ind w:left="1140"/>
        <w:spacing w:after="0"/>
        <w:rPr>
          <w:sz w:val="20"/>
          <w:szCs w:val="20"/>
          <w:color w:val="auto"/>
        </w:rPr>
      </w:pPr>
      <w:r>
        <w:rPr>
          <w:rFonts w:ascii="Times New Roman" w:cs="Times New Roman" w:eastAsia="Times New Roman" w:hAnsi="Times New Roman"/>
          <w:sz w:val="21"/>
          <w:szCs w:val="21"/>
          <w:color w:val="auto"/>
        </w:rPr>
        <w:t>UNITED STATES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1080" w:type="dxa"/>
            <w:vAlign w:val="bottom"/>
          </w:tcPr>
          <w:p>
            <w:pPr>
              <w:spacing w:after="0"/>
              <w:rPr>
                <w:sz w:val="20"/>
                <w:szCs w:val="20"/>
                <w:color w:val="auto"/>
              </w:rPr>
            </w:pPr>
            <w:r>
              <w:rPr>
                <w:rFonts w:ascii="Times New Roman" w:cs="Times New Roman" w:eastAsia="Times New Roman" w:hAnsi="Times New Roman"/>
                <w:sz w:val="21"/>
                <w:szCs w:val="21"/>
                <w:color w:val="auto"/>
              </w:rPr>
              <w:t>Number of</w:t>
            </w:r>
          </w:p>
        </w:tc>
        <w:tc>
          <w:tcPr>
            <w:tcW w:w="1880" w:type="dxa"/>
            <w:vAlign w:val="bottom"/>
          </w:tcPr>
          <w:p>
            <w:pPr>
              <w:ind w:left="320"/>
              <w:spacing w:after="0"/>
              <w:rPr>
                <w:sz w:val="20"/>
                <w:szCs w:val="20"/>
                <w:color w:val="auto"/>
              </w:rPr>
            </w:pPr>
            <w:r>
              <w:rPr>
                <w:rFonts w:ascii="Times New Roman" w:cs="Times New Roman" w:eastAsia="Times New Roman" w:hAnsi="Times New Roman"/>
                <w:sz w:val="21"/>
                <w:szCs w:val="21"/>
                <w:color w:val="auto"/>
                <w:w w:val="96"/>
              </w:rPr>
              <w:t>Sole Voting Power</w:t>
            </w:r>
          </w:p>
        </w:tc>
      </w:tr>
      <w:tr>
        <w:trPr>
          <w:trHeight w:val="236"/>
        </w:trPr>
        <w:tc>
          <w:tcPr>
            <w:tcW w:w="108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Shares</w:t>
            </w:r>
          </w:p>
        </w:tc>
        <w:tc>
          <w:tcPr>
            <w:tcW w:w="1880" w:type="dxa"/>
            <w:vAlign w:val="bottom"/>
          </w:tcPr>
          <w:p>
            <w:pPr>
              <w:jc w:val="right"/>
              <w:ind w:right="1615"/>
              <w:spacing w:after="0" w:line="236" w:lineRule="exact"/>
              <w:rPr>
                <w:sz w:val="20"/>
                <w:szCs w:val="20"/>
                <w:color w:val="auto"/>
              </w:rPr>
            </w:pPr>
            <w:r>
              <w:rPr>
                <w:rFonts w:ascii="Times New Roman" w:cs="Times New Roman" w:eastAsia="Times New Roman" w:hAnsi="Times New Roman"/>
                <w:sz w:val="21"/>
                <w:szCs w:val="21"/>
                <w:color w:val="auto"/>
              </w:rPr>
              <w:t>7</w:t>
            </w:r>
          </w:p>
        </w:tc>
      </w:tr>
      <w:tr>
        <w:trPr>
          <w:trHeight w:val="246"/>
        </w:trPr>
        <w:tc>
          <w:tcPr>
            <w:tcW w:w="1080" w:type="dxa"/>
            <w:vAlign w:val="bottom"/>
          </w:tcPr>
          <w:p>
            <w:pPr>
              <w:spacing w:after="0"/>
              <w:rPr>
                <w:sz w:val="20"/>
                <w:szCs w:val="20"/>
                <w:color w:val="auto"/>
              </w:rPr>
            </w:pPr>
            <w:r>
              <w:rPr>
                <w:rFonts w:ascii="Times New Roman" w:cs="Times New Roman" w:eastAsia="Times New Roman" w:hAnsi="Times New Roman"/>
                <w:sz w:val="21"/>
                <w:szCs w:val="21"/>
                <w:color w:val="auto"/>
              </w:rPr>
              <w:t>Beneficially</w:t>
            </w:r>
          </w:p>
        </w:tc>
        <w:tc>
          <w:tcPr>
            <w:tcW w:w="188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97,031.00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1000" w:type="dxa"/>
            <w:vAlign w:val="bottom"/>
          </w:tcPr>
          <w:p>
            <w:pPr>
              <w:spacing w:after="0" w:line="213" w:lineRule="exact"/>
              <w:rPr>
                <w:sz w:val="20"/>
                <w:szCs w:val="20"/>
                <w:color w:val="auto"/>
              </w:rPr>
            </w:pPr>
            <w:r>
              <w:rPr>
                <w:rFonts w:ascii="Times New Roman" w:cs="Times New Roman" w:eastAsia="Times New Roman" w:hAnsi="Times New Roman"/>
                <w:sz w:val="21"/>
                <w:szCs w:val="21"/>
                <w:color w:val="auto"/>
              </w:rPr>
              <w:t>Owned by</w:t>
            </w:r>
          </w:p>
        </w:tc>
        <w:tc>
          <w:tcPr>
            <w:tcW w:w="2180" w:type="dxa"/>
            <w:vAlign w:val="bottom"/>
            <w:vMerge w:val="restart"/>
          </w:tcPr>
          <w:p>
            <w:pPr>
              <w:ind w:left="400"/>
              <w:spacing w:after="0"/>
              <w:rPr>
                <w:sz w:val="20"/>
                <w:szCs w:val="20"/>
                <w:color w:val="auto"/>
              </w:rPr>
            </w:pPr>
            <w:r>
              <w:rPr>
                <w:rFonts w:ascii="Times New Roman" w:cs="Times New Roman" w:eastAsia="Times New Roman" w:hAnsi="Times New Roman"/>
                <w:sz w:val="21"/>
                <w:szCs w:val="21"/>
                <w:color w:val="auto"/>
                <w:w w:val="97"/>
              </w:rPr>
              <w:t>Shared Voting Power</w:t>
            </w:r>
          </w:p>
        </w:tc>
        <w:tc>
          <w:tcPr>
            <w:tcW w:w="0" w:type="dxa"/>
            <w:vAlign w:val="bottom"/>
          </w:tcPr>
          <w:p>
            <w:pPr>
              <w:spacing w:after="0"/>
              <w:rPr>
                <w:sz w:val="1"/>
                <w:szCs w:val="1"/>
                <w:color w:val="auto"/>
              </w:rPr>
            </w:pPr>
          </w:p>
        </w:tc>
      </w:tr>
      <w:tr>
        <w:trPr>
          <w:trHeight w:val="92"/>
        </w:trPr>
        <w:tc>
          <w:tcPr>
            <w:tcW w:w="1000" w:type="dxa"/>
            <w:vAlign w:val="bottom"/>
            <w:vMerge w:val="restart"/>
          </w:tcPr>
          <w:p>
            <w:pPr>
              <w:spacing w:after="0" w:line="236" w:lineRule="exact"/>
              <w:rPr>
                <w:sz w:val="20"/>
                <w:szCs w:val="20"/>
                <w:color w:val="auto"/>
              </w:rPr>
            </w:pPr>
            <w:r>
              <w:rPr>
                <w:rFonts w:ascii="Times New Roman" w:cs="Times New Roman" w:eastAsia="Times New Roman" w:hAnsi="Times New Roman"/>
                <w:sz w:val="21"/>
                <w:szCs w:val="21"/>
                <w:color w:val="auto"/>
              </w:rPr>
              <w:t>Each</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000" w:type="dxa"/>
            <w:vAlign w:val="bottom"/>
            <w:vMerge w:val="continue"/>
          </w:tcPr>
          <w:p>
            <w:pPr>
              <w:spacing w:after="0"/>
              <w:rPr>
                <w:sz w:val="12"/>
                <w:szCs w:val="12"/>
                <w:color w:val="auto"/>
              </w:rPr>
            </w:pPr>
          </w:p>
        </w:tc>
        <w:tc>
          <w:tcPr>
            <w:tcW w:w="2180" w:type="dxa"/>
            <w:vAlign w:val="bottom"/>
            <w:vMerge w:val="restart"/>
          </w:tcPr>
          <w:p>
            <w:pPr>
              <w:jc w:val="right"/>
              <w:ind w:right="1835"/>
              <w:spacing w:after="0" w:line="236" w:lineRule="exact"/>
              <w:rPr>
                <w:sz w:val="20"/>
                <w:szCs w:val="20"/>
                <w:color w:val="auto"/>
              </w:rPr>
            </w:pPr>
            <w:r>
              <w:rPr>
                <w:rFonts w:ascii="Times New Roman" w:cs="Times New Roman" w:eastAsia="Times New Roman" w:hAnsi="Times New Roman"/>
                <w:sz w:val="21"/>
                <w:szCs w:val="21"/>
                <w:color w:val="auto"/>
              </w:rPr>
              <w:t>8</w:t>
            </w:r>
          </w:p>
        </w:tc>
        <w:tc>
          <w:tcPr>
            <w:tcW w:w="0" w:type="dxa"/>
            <w:vAlign w:val="bottom"/>
          </w:tcPr>
          <w:p>
            <w:pPr>
              <w:spacing w:after="0"/>
              <w:rPr>
                <w:sz w:val="1"/>
                <w:szCs w:val="1"/>
                <w:color w:val="auto"/>
              </w:rPr>
            </w:pPr>
          </w:p>
        </w:tc>
      </w:tr>
      <w:tr>
        <w:trPr>
          <w:trHeight w:val="92"/>
        </w:trPr>
        <w:tc>
          <w:tcPr>
            <w:tcW w:w="100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Reporting</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2180" w:type="dxa"/>
            <w:vAlign w:val="bottom"/>
            <w:vMerge w:val="restart"/>
          </w:tcPr>
          <w:p>
            <w:pPr>
              <w:ind w:left="400"/>
              <w:spacing w:after="0"/>
              <w:rPr>
                <w:sz w:val="20"/>
                <w:szCs w:val="20"/>
                <w:color w:val="auto"/>
              </w:rPr>
            </w:pPr>
            <w:r>
              <w:rPr>
                <w:rFonts w:ascii="Times New Roman" w:cs="Times New Roman" w:eastAsia="Times New Roman" w:hAnsi="Times New Roman"/>
                <w:sz w:val="21"/>
                <w:szCs w:val="21"/>
                <w:color w:val="auto"/>
              </w:rPr>
              <w:t>74,496.00</w:t>
            </w:r>
          </w:p>
        </w:tc>
        <w:tc>
          <w:tcPr>
            <w:tcW w:w="0" w:type="dxa"/>
            <w:vAlign w:val="bottom"/>
          </w:tcPr>
          <w:p>
            <w:pPr>
              <w:spacing w:after="0"/>
              <w:rPr>
                <w:sz w:val="1"/>
                <w:szCs w:val="1"/>
                <w:color w:val="auto"/>
              </w:rPr>
            </w:pPr>
          </w:p>
        </w:tc>
      </w:tr>
      <w:tr>
        <w:trPr>
          <w:trHeight w:val="92"/>
        </w:trPr>
        <w:tc>
          <w:tcPr>
            <w:tcW w:w="100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0" w:gutter="0" w:footer="0" w:header="0"/>
        </w:sectPr>
      </w:pPr>
    </w:p>
    <w:bookmarkStart w:id="3" w:name="page4"/>
    <w:bookmarkEnd w:id="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840" w:type="dxa"/>
            <w:vAlign w:val="bottom"/>
          </w:tcPr>
          <w:p>
            <w:pPr>
              <w:spacing w:after="0"/>
              <w:rPr>
                <w:sz w:val="20"/>
                <w:szCs w:val="20"/>
                <w:color w:val="auto"/>
              </w:rPr>
            </w:pPr>
            <w:r>
              <w:rPr>
                <w:rFonts w:ascii="Times New Roman" w:cs="Times New Roman" w:eastAsia="Times New Roman" w:hAnsi="Times New Roman"/>
                <w:sz w:val="21"/>
                <w:szCs w:val="21"/>
                <w:color w:val="auto"/>
              </w:rPr>
              <w:t>Person</w:t>
            </w:r>
          </w:p>
        </w:tc>
        <w:tc>
          <w:tcPr>
            <w:tcW w:w="74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9  Sole Dispositive Power</w:t>
            </w:r>
          </w:p>
        </w:tc>
        <w:tc>
          <w:tcPr>
            <w:tcW w:w="0" w:type="dxa"/>
            <w:vAlign w:val="bottom"/>
          </w:tcPr>
          <w:p>
            <w:pPr>
              <w:spacing w:after="0"/>
              <w:rPr>
                <w:sz w:val="1"/>
                <w:szCs w:val="1"/>
                <w:color w:val="auto"/>
              </w:rPr>
            </w:pPr>
          </w:p>
        </w:tc>
      </w:tr>
      <w:tr>
        <w:trPr>
          <w:trHeight w:val="275"/>
        </w:trPr>
        <w:tc>
          <w:tcPr>
            <w:tcW w:w="840" w:type="dxa"/>
            <w:vAlign w:val="bottom"/>
          </w:tcPr>
          <w:p>
            <w:pPr>
              <w:spacing w:after="0"/>
              <w:rPr>
                <w:sz w:val="20"/>
                <w:szCs w:val="20"/>
                <w:color w:val="auto"/>
              </w:rPr>
            </w:pPr>
            <w:r>
              <w:rPr>
                <w:rFonts w:ascii="Times New Roman" w:cs="Times New Roman" w:eastAsia="Times New Roman" w:hAnsi="Times New Roman"/>
                <w:sz w:val="21"/>
                <w:szCs w:val="21"/>
                <w:color w:val="auto"/>
              </w:rPr>
              <w:t>With:</w:t>
            </w:r>
          </w:p>
        </w:tc>
        <w:tc>
          <w:tcPr>
            <w:tcW w:w="7420" w:type="dxa"/>
            <w:vAlign w:val="bottom"/>
            <w:vMerge w:val="restart"/>
          </w:tcPr>
          <w:p>
            <w:pPr>
              <w:ind w:left="560"/>
              <w:spacing w:after="0"/>
              <w:rPr>
                <w:sz w:val="20"/>
                <w:szCs w:val="20"/>
                <w:color w:val="auto"/>
              </w:rPr>
            </w:pPr>
            <w:r>
              <w:rPr>
                <w:rFonts w:ascii="Times New Roman" w:cs="Times New Roman" w:eastAsia="Times New Roman" w:hAnsi="Times New Roman"/>
                <w:sz w:val="21"/>
                <w:szCs w:val="21"/>
                <w:color w:val="auto"/>
              </w:rPr>
              <w:t>97,031.00</w:t>
            </w:r>
          </w:p>
        </w:tc>
        <w:tc>
          <w:tcPr>
            <w:tcW w:w="0" w:type="dxa"/>
            <w:vAlign w:val="bottom"/>
          </w:tcPr>
          <w:p>
            <w:pPr>
              <w:spacing w:after="0"/>
              <w:rPr>
                <w:sz w:val="1"/>
                <w:szCs w:val="1"/>
                <w:color w:val="auto"/>
              </w:rPr>
            </w:pPr>
          </w:p>
        </w:tc>
      </w:tr>
      <w:tr>
        <w:trPr>
          <w:trHeight w:val="236"/>
        </w:trPr>
        <w:tc>
          <w:tcPr>
            <w:tcW w:w="840" w:type="dxa"/>
            <w:vAlign w:val="bottom"/>
          </w:tcPr>
          <w:p>
            <w:pPr>
              <w:spacing w:after="0"/>
              <w:rPr>
                <w:sz w:val="20"/>
                <w:szCs w:val="20"/>
                <w:color w:val="auto"/>
              </w:rPr>
            </w:pPr>
          </w:p>
        </w:tc>
        <w:tc>
          <w:tcPr>
            <w:tcW w:w="7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7420" w:type="dxa"/>
            <w:vAlign w:val="bottom"/>
          </w:tcPr>
          <w:p>
            <w:pPr>
              <w:ind w:left="560"/>
              <w:spacing w:after="0"/>
              <w:rPr>
                <w:sz w:val="20"/>
                <w:szCs w:val="20"/>
                <w:color w:val="auto"/>
              </w:rPr>
            </w:pPr>
            <w:r>
              <w:rPr>
                <w:rFonts w:ascii="Times New Roman" w:cs="Times New Roman" w:eastAsia="Times New Roman" w:hAnsi="Times New Roman"/>
                <w:sz w:val="21"/>
                <w:szCs w:val="21"/>
                <w:color w:val="auto"/>
              </w:rPr>
              <w:t>Shared Dispositive Power</w:t>
            </w:r>
          </w:p>
        </w:tc>
        <w:tc>
          <w:tcPr>
            <w:tcW w:w="0" w:type="dxa"/>
            <w:vAlign w:val="bottom"/>
          </w:tcPr>
          <w:p>
            <w:pPr>
              <w:spacing w:after="0"/>
              <w:rPr>
                <w:sz w:val="1"/>
                <w:szCs w:val="1"/>
                <w:color w:val="auto"/>
              </w:rPr>
            </w:pPr>
          </w:p>
        </w:tc>
      </w:tr>
      <w:tr>
        <w:trPr>
          <w:trHeight w:val="236"/>
        </w:trPr>
        <w:tc>
          <w:tcPr>
            <w:tcW w:w="840" w:type="dxa"/>
            <w:vAlign w:val="bottom"/>
          </w:tcPr>
          <w:p>
            <w:pPr>
              <w:spacing w:after="0"/>
              <w:rPr>
                <w:sz w:val="20"/>
                <w:szCs w:val="20"/>
                <w:color w:val="auto"/>
              </w:rPr>
            </w:pPr>
          </w:p>
        </w:tc>
        <w:tc>
          <w:tcPr>
            <w:tcW w:w="7420" w:type="dxa"/>
            <w:vAlign w:val="bottom"/>
          </w:tcPr>
          <w:p>
            <w:pPr>
              <w:ind w:left="300"/>
              <w:spacing w:after="0" w:line="236" w:lineRule="exact"/>
              <w:rPr>
                <w:sz w:val="20"/>
                <w:szCs w:val="20"/>
                <w:color w:val="auto"/>
              </w:rPr>
            </w:pPr>
            <w:r>
              <w:rPr>
                <w:rFonts w:ascii="Times New Roman" w:cs="Times New Roman" w:eastAsia="Times New Roman" w:hAnsi="Times New Roman"/>
                <w:sz w:val="21"/>
                <w:szCs w:val="21"/>
                <w:color w:val="auto"/>
              </w:rPr>
              <w:t>10</w:t>
            </w:r>
          </w:p>
        </w:tc>
        <w:tc>
          <w:tcPr>
            <w:tcW w:w="0" w:type="dxa"/>
            <w:vAlign w:val="bottom"/>
          </w:tcPr>
          <w:p>
            <w:pPr>
              <w:spacing w:after="0"/>
              <w:rPr>
                <w:sz w:val="1"/>
                <w:szCs w:val="1"/>
                <w:color w:val="auto"/>
              </w:rPr>
            </w:pPr>
          </w:p>
        </w:tc>
      </w:tr>
      <w:tr>
        <w:trPr>
          <w:trHeight w:val="275"/>
        </w:trPr>
        <w:tc>
          <w:tcPr>
            <w:tcW w:w="840" w:type="dxa"/>
            <w:vAlign w:val="bottom"/>
          </w:tcPr>
          <w:p>
            <w:pPr>
              <w:spacing w:after="0"/>
              <w:rPr>
                <w:sz w:val="23"/>
                <w:szCs w:val="23"/>
                <w:color w:val="auto"/>
              </w:rPr>
            </w:pPr>
          </w:p>
        </w:tc>
        <w:tc>
          <w:tcPr>
            <w:tcW w:w="7420" w:type="dxa"/>
            <w:vAlign w:val="bottom"/>
          </w:tcPr>
          <w:p>
            <w:pPr>
              <w:ind w:left="560"/>
              <w:spacing w:after="0"/>
              <w:rPr>
                <w:sz w:val="20"/>
                <w:szCs w:val="20"/>
                <w:color w:val="auto"/>
              </w:rPr>
            </w:pPr>
            <w:r>
              <w:rPr>
                <w:rFonts w:ascii="Times New Roman" w:cs="Times New Roman" w:eastAsia="Times New Roman" w:hAnsi="Times New Roman"/>
                <w:sz w:val="21"/>
                <w:szCs w:val="21"/>
                <w:color w:val="auto"/>
              </w:rPr>
              <w:t>74,496.00</w:t>
            </w:r>
          </w:p>
        </w:tc>
        <w:tc>
          <w:tcPr>
            <w:tcW w:w="0" w:type="dxa"/>
            <w:vAlign w:val="bottom"/>
          </w:tcPr>
          <w:p>
            <w:pPr>
              <w:spacing w:after="0"/>
              <w:rPr>
                <w:sz w:val="1"/>
                <w:szCs w:val="1"/>
                <w:color w:val="auto"/>
              </w:rPr>
            </w:pPr>
          </w:p>
        </w:tc>
      </w:tr>
      <w:tr>
        <w:trPr>
          <w:trHeight w:val="328"/>
        </w:trPr>
        <w:tc>
          <w:tcPr>
            <w:tcW w:w="84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11</w:t>
            </w:r>
          </w:p>
        </w:tc>
        <w:tc>
          <w:tcPr>
            <w:tcW w:w="742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Aggregate amount beneficially owned by each reporting person</w:t>
            </w:r>
          </w:p>
        </w:tc>
        <w:tc>
          <w:tcPr>
            <w:tcW w:w="0" w:type="dxa"/>
            <w:vAlign w:val="bottom"/>
          </w:tcPr>
          <w:p>
            <w:pPr>
              <w:spacing w:after="0"/>
              <w:rPr>
                <w:sz w:val="1"/>
                <w:szCs w:val="1"/>
                <w:color w:val="auto"/>
              </w:rPr>
            </w:pPr>
          </w:p>
        </w:tc>
      </w:tr>
      <w:tr>
        <w:trPr>
          <w:trHeight w:val="236"/>
        </w:trPr>
        <w:tc>
          <w:tcPr>
            <w:tcW w:w="840" w:type="dxa"/>
            <w:vAlign w:val="bottom"/>
            <w:vMerge w:val="continue"/>
          </w:tcPr>
          <w:p>
            <w:pPr>
              <w:spacing w:after="0"/>
              <w:rPr>
                <w:sz w:val="20"/>
                <w:szCs w:val="20"/>
                <w:color w:val="auto"/>
              </w:rPr>
            </w:pPr>
          </w:p>
        </w:tc>
        <w:tc>
          <w:tcPr>
            <w:tcW w:w="7420" w:type="dxa"/>
            <w:vAlign w:val="bottom"/>
            <w:vMerge w:val="restart"/>
          </w:tcPr>
          <w:p>
            <w:pPr>
              <w:ind w:left="260"/>
              <w:spacing w:after="0"/>
              <w:rPr>
                <w:sz w:val="20"/>
                <w:szCs w:val="20"/>
                <w:color w:val="auto"/>
              </w:rPr>
            </w:pPr>
            <w:r>
              <w:rPr>
                <w:rFonts w:ascii="Times New Roman" w:cs="Times New Roman" w:eastAsia="Times New Roman" w:hAnsi="Times New Roman"/>
                <w:sz w:val="21"/>
                <w:szCs w:val="21"/>
                <w:color w:val="auto"/>
              </w:rPr>
              <w:t>171,527.00</w:t>
            </w:r>
          </w:p>
        </w:tc>
        <w:tc>
          <w:tcPr>
            <w:tcW w:w="0" w:type="dxa"/>
            <w:vAlign w:val="bottom"/>
          </w:tcPr>
          <w:p>
            <w:pPr>
              <w:spacing w:after="0"/>
              <w:rPr>
                <w:sz w:val="1"/>
                <w:szCs w:val="1"/>
                <w:color w:val="auto"/>
              </w:rPr>
            </w:pPr>
          </w:p>
        </w:tc>
      </w:tr>
      <w:tr>
        <w:trPr>
          <w:trHeight w:val="236"/>
        </w:trPr>
        <w:tc>
          <w:tcPr>
            <w:tcW w:w="840" w:type="dxa"/>
            <w:vAlign w:val="bottom"/>
          </w:tcPr>
          <w:p>
            <w:pPr>
              <w:spacing w:after="0"/>
              <w:rPr>
                <w:sz w:val="20"/>
                <w:szCs w:val="20"/>
                <w:color w:val="auto"/>
              </w:rPr>
            </w:pPr>
          </w:p>
        </w:tc>
        <w:tc>
          <w:tcPr>
            <w:tcW w:w="7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84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12</w:t>
            </w:r>
          </w:p>
        </w:tc>
        <w:tc>
          <w:tcPr>
            <w:tcW w:w="7420" w:type="dxa"/>
            <w:vAlign w:val="bottom"/>
          </w:tcPr>
          <w:p>
            <w:pPr>
              <w:ind w:left="260"/>
              <w:spacing w:after="0"/>
              <w:rPr>
                <w:sz w:val="20"/>
                <w:szCs w:val="20"/>
                <w:color w:val="auto"/>
              </w:rPr>
            </w:pPr>
            <w:r>
              <w:rPr>
                <w:rFonts w:ascii="Times New Roman" w:cs="Times New Roman" w:eastAsia="Times New Roman" w:hAnsi="Times New Roman"/>
                <w:sz w:val="21"/>
                <w:szCs w:val="21"/>
                <w:color w:val="auto"/>
                <w:w w:val="99"/>
              </w:rPr>
              <w:t>Check if the aggregate amount in Row (11) excludes certain shares (See Instructions)</w:t>
            </w:r>
          </w:p>
        </w:tc>
        <w:tc>
          <w:tcPr>
            <w:tcW w:w="0" w:type="dxa"/>
            <w:vAlign w:val="bottom"/>
          </w:tcPr>
          <w:p>
            <w:pPr>
              <w:spacing w:after="0"/>
              <w:rPr>
                <w:sz w:val="1"/>
                <w:szCs w:val="1"/>
                <w:color w:val="auto"/>
              </w:rPr>
            </w:pPr>
          </w:p>
        </w:tc>
      </w:tr>
      <w:tr>
        <w:trPr>
          <w:trHeight w:val="210"/>
        </w:trPr>
        <w:tc>
          <w:tcPr>
            <w:tcW w:w="840" w:type="dxa"/>
            <w:vAlign w:val="bottom"/>
            <w:vMerge w:val="continue"/>
          </w:tcPr>
          <w:p>
            <w:pPr>
              <w:spacing w:after="0"/>
              <w:rPr>
                <w:sz w:val="18"/>
                <w:szCs w:val="18"/>
                <w:color w:val="auto"/>
              </w:rPr>
            </w:pPr>
          </w:p>
        </w:tc>
        <w:tc>
          <w:tcPr>
            <w:tcW w:w="7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2"/>
        </w:trPr>
        <w:tc>
          <w:tcPr>
            <w:tcW w:w="84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13</w:t>
            </w:r>
          </w:p>
        </w:tc>
        <w:tc>
          <w:tcPr>
            <w:tcW w:w="742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Percent of class represented by amount in Row (11)</w:t>
            </w:r>
          </w:p>
        </w:tc>
        <w:tc>
          <w:tcPr>
            <w:tcW w:w="0" w:type="dxa"/>
            <w:vAlign w:val="bottom"/>
          </w:tcPr>
          <w:p>
            <w:pPr>
              <w:spacing w:after="0"/>
              <w:rPr>
                <w:sz w:val="1"/>
                <w:szCs w:val="1"/>
                <w:color w:val="auto"/>
              </w:rPr>
            </w:pPr>
          </w:p>
        </w:tc>
      </w:tr>
      <w:tr>
        <w:trPr>
          <w:trHeight w:val="236"/>
        </w:trPr>
        <w:tc>
          <w:tcPr>
            <w:tcW w:w="840" w:type="dxa"/>
            <w:vAlign w:val="bottom"/>
            <w:vMerge w:val="continue"/>
          </w:tcPr>
          <w:p>
            <w:pPr>
              <w:spacing w:after="0"/>
              <w:rPr>
                <w:sz w:val="20"/>
                <w:szCs w:val="20"/>
                <w:color w:val="auto"/>
              </w:rPr>
            </w:pPr>
          </w:p>
        </w:tc>
        <w:tc>
          <w:tcPr>
            <w:tcW w:w="7420" w:type="dxa"/>
            <w:vAlign w:val="bottom"/>
            <w:vMerge w:val="restart"/>
          </w:tcPr>
          <w:p>
            <w:pPr>
              <w:ind w:left="260"/>
              <w:spacing w:after="0"/>
              <w:rPr>
                <w:sz w:val="20"/>
                <w:szCs w:val="20"/>
                <w:color w:val="auto"/>
              </w:rPr>
            </w:pPr>
            <w:r>
              <w:rPr>
                <w:rFonts w:ascii="Times New Roman" w:cs="Times New Roman" w:eastAsia="Times New Roman" w:hAnsi="Times New Roman"/>
                <w:sz w:val="21"/>
                <w:szCs w:val="21"/>
                <w:color w:val="auto"/>
              </w:rPr>
              <w:t>1.4 %</w:t>
            </w:r>
          </w:p>
        </w:tc>
        <w:tc>
          <w:tcPr>
            <w:tcW w:w="0" w:type="dxa"/>
            <w:vAlign w:val="bottom"/>
          </w:tcPr>
          <w:p>
            <w:pPr>
              <w:spacing w:after="0"/>
              <w:rPr>
                <w:sz w:val="1"/>
                <w:szCs w:val="1"/>
                <w:color w:val="auto"/>
              </w:rPr>
            </w:pPr>
          </w:p>
        </w:tc>
      </w:tr>
      <w:tr>
        <w:trPr>
          <w:trHeight w:val="236"/>
        </w:trPr>
        <w:tc>
          <w:tcPr>
            <w:tcW w:w="840" w:type="dxa"/>
            <w:vAlign w:val="bottom"/>
          </w:tcPr>
          <w:p>
            <w:pPr>
              <w:spacing w:after="0"/>
              <w:rPr>
                <w:sz w:val="20"/>
                <w:szCs w:val="20"/>
                <w:color w:val="auto"/>
              </w:rPr>
            </w:pPr>
          </w:p>
        </w:tc>
        <w:tc>
          <w:tcPr>
            <w:tcW w:w="7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84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14</w:t>
            </w:r>
          </w:p>
        </w:tc>
        <w:tc>
          <w:tcPr>
            <w:tcW w:w="742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Type of Reporting Person (See Instructions)</w:t>
            </w:r>
          </w:p>
        </w:tc>
        <w:tc>
          <w:tcPr>
            <w:tcW w:w="0" w:type="dxa"/>
            <w:vAlign w:val="bottom"/>
          </w:tcPr>
          <w:p>
            <w:pPr>
              <w:spacing w:after="0"/>
              <w:rPr>
                <w:sz w:val="1"/>
                <w:szCs w:val="1"/>
                <w:color w:val="auto"/>
              </w:rPr>
            </w:pPr>
          </w:p>
        </w:tc>
      </w:tr>
      <w:tr>
        <w:trPr>
          <w:trHeight w:val="236"/>
        </w:trPr>
        <w:tc>
          <w:tcPr>
            <w:tcW w:w="840" w:type="dxa"/>
            <w:vAlign w:val="bottom"/>
            <w:vMerge w:val="continue"/>
          </w:tcPr>
          <w:p>
            <w:pPr>
              <w:spacing w:after="0"/>
              <w:rPr>
                <w:sz w:val="20"/>
                <w:szCs w:val="20"/>
                <w:color w:val="auto"/>
              </w:rPr>
            </w:pPr>
          </w:p>
        </w:tc>
        <w:tc>
          <w:tcPr>
            <w:tcW w:w="7420" w:type="dxa"/>
            <w:vAlign w:val="bottom"/>
            <w:vMerge w:val="restart"/>
          </w:tcPr>
          <w:p>
            <w:pPr>
              <w:ind w:left="260"/>
              <w:spacing w:after="0"/>
              <w:rPr>
                <w:sz w:val="20"/>
                <w:szCs w:val="20"/>
                <w:color w:val="auto"/>
              </w:rPr>
            </w:pPr>
            <w:r>
              <w:rPr>
                <w:rFonts w:ascii="Times New Roman" w:cs="Times New Roman" w:eastAsia="Times New Roman" w:hAnsi="Times New Roman"/>
                <w:sz w:val="21"/>
                <w:szCs w:val="21"/>
                <w:color w:val="auto"/>
              </w:rPr>
              <w:t>IN</w:t>
            </w:r>
          </w:p>
        </w:tc>
        <w:tc>
          <w:tcPr>
            <w:tcW w:w="0" w:type="dxa"/>
            <w:vAlign w:val="bottom"/>
          </w:tcPr>
          <w:p>
            <w:pPr>
              <w:spacing w:after="0"/>
              <w:rPr>
                <w:sz w:val="1"/>
                <w:szCs w:val="1"/>
                <w:color w:val="auto"/>
              </w:rPr>
            </w:pPr>
          </w:p>
        </w:tc>
      </w:tr>
      <w:tr>
        <w:trPr>
          <w:trHeight w:val="236"/>
        </w:trPr>
        <w:tc>
          <w:tcPr>
            <w:tcW w:w="840" w:type="dxa"/>
            <w:vAlign w:val="bottom"/>
          </w:tcPr>
          <w:p>
            <w:pPr>
              <w:spacing w:after="0"/>
              <w:rPr>
                <w:sz w:val="20"/>
                <w:szCs w:val="20"/>
                <w:color w:val="auto"/>
              </w:rPr>
            </w:pPr>
          </w:p>
        </w:tc>
        <w:tc>
          <w:tcPr>
            <w:tcW w:w="7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-1098550</wp:posOffset>
            </wp:positionV>
            <wp:extent cx="125095" cy="125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Consists of (i) 69,283 shares held by the Disney Dollar Irrevocable Trust and 27,748 shares held by the Sand Bay</w:t>
            </w:r>
          </w:p>
        </w:tc>
      </w:tr>
      <w:tr>
        <w:trPr>
          <w:trHeight w:val="223"/>
        </w:trPr>
        <w:tc>
          <w:tcPr>
            <w:tcW w:w="7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60" w:type="dxa"/>
            <w:vAlign w:val="bottom"/>
          </w:tcPr>
          <w:p>
            <w:pPr>
              <w:ind w:left="100"/>
              <w:spacing w:after="0" w:line="223" w:lineRule="exact"/>
              <w:rPr>
                <w:sz w:val="20"/>
                <w:szCs w:val="20"/>
                <w:color w:val="auto"/>
              </w:rPr>
            </w:pPr>
            <w:r>
              <w:rPr>
                <w:rFonts w:ascii="Times New Roman" w:cs="Times New Roman" w:eastAsia="Times New Roman" w:hAnsi="Times New Roman"/>
                <w:sz w:val="21"/>
                <w:szCs w:val="21"/>
                <w:color w:val="auto"/>
              </w:rPr>
              <w:t>Irrevocable Trust, over which Mr. Perkal has sole voting and dispositive power as trust investment adviser, and (ii) 74,496</w:t>
            </w:r>
          </w:p>
        </w:tc>
      </w:tr>
      <w:tr>
        <w:trPr>
          <w:trHeight w:val="247"/>
        </w:trPr>
        <w:tc>
          <w:tcPr>
            <w:tcW w:w="7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shares held in a joint account with his spouse, Jessica Perkal, over which Mr. Perkal shares voting and dispositive power.</w:t>
            </w:r>
          </w:p>
        </w:tc>
      </w:tr>
    </w:tbl>
    <w:p>
      <w:pPr>
        <w:jc w:val="both"/>
        <w:spacing w:after="0" w:line="192"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As a result of the matters described in Items 4 and 6, the Reporting Persons and the Arkhouse Reporting Persons (as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defined below) may be deemed to constitute a "group" within the meaning of Section 13(d)(3) of the Securities Exchange</w:t>
      </w:r>
    </w:p>
    <w:p>
      <w:pPr>
        <w:jc w:val="both"/>
        <w:ind w:left="880"/>
        <w:spacing w:after="0" w:line="238" w:lineRule="auto"/>
        <w:rPr>
          <w:sz w:val="20"/>
          <w:szCs w:val="20"/>
          <w:color w:val="auto"/>
        </w:rPr>
      </w:pPr>
      <w:r>
        <w:rPr>
          <w:rFonts w:ascii="Times New Roman" w:cs="Times New Roman" w:eastAsia="Times New Roman" w:hAnsi="Times New Roman"/>
          <w:sz w:val="21"/>
          <w:szCs w:val="21"/>
          <w:color w:val="auto"/>
        </w:rPr>
        <w:t>Act of 1934, as amended. The amount in Row 11 excludes the shares beneficially owned by the Arkhouse Reporting Persons (as defined below), which is filing a separate Schedule 13D, and the Reporting Person expressly disclaims beneficial ownership of such shares. The percentage in Row 13 is based on 12,659,150 shares outstanding of the Issuer as of July 26, 2026, as set forth in the Issuer's Form 10-Q, filed August 5, 2026. See Items 5 and 6.</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pacing w:after="0" w:line="200" w:lineRule="exact"/>
        <w:rPr>
          <w:sz w:val="20"/>
          <w:szCs w:val="20"/>
          <w:color w:val="auto"/>
        </w:rPr>
      </w:pPr>
    </w:p>
    <w:p>
      <w:pPr>
        <w:spacing w:after="0" w:line="3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Name of reporting person</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w:t>
      </w:r>
    </w:p>
    <w:p>
      <w:pPr>
        <w:ind w:left="1140"/>
        <w:spacing w:after="0"/>
        <w:rPr>
          <w:sz w:val="20"/>
          <w:szCs w:val="20"/>
          <w:color w:val="auto"/>
        </w:rPr>
      </w:pPr>
      <w:r>
        <w:rPr>
          <w:rFonts w:ascii="Times New Roman" w:cs="Times New Roman" w:eastAsia="Times New Roman" w:hAnsi="Times New Roman"/>
          <w:sz w:val="21"/>
          <w:szCs w:val="21"/>
          <w:color w:val="auto"/>
        </w:rPr>
        <w:t>Benjamin F. Rattner</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35" w:lineRule="exact"/>
        <w:rPr>
          <w:sz w:val="20"/>
          <w:szCs w:val="20"/>
          <w:color w:val="auto"/>
        </w:rPr>
      </w:pPr>
    </w:p>
    <w:p>
      <w:pPr>
        <w:ind w:left="1140" w:hanging="1096"/>
        <w:spacing w:after="0"/>
        <w:tabs>
          <w:tab w:leader="none" w:pos="1140" w:val="left"/>
        </w:tabs>
        <w:numPr>
          <w:ilvl w:val="0"/>
          <w:numId w:val="8"/>
        </w:numPr>
        <w:rPr>
          <w:rFonts w:ascii="Times New Roman" w:cs="Times New Roman" w:eastAsia="Times New Roman" w:hAnsi="Times New Roman"/>
          <w:sz w:val="42"/>
          <w:szCs w:val="42"/>
          <w:color w:val="auto"/>
          <w:vertAlign w:val="superscript"/>
        </w:rPr>
      </w:pPr>
      <w:r>
        <w:rPr>
          <w:sz w:val="1"/>
          <w:szCs w:val="1"/>
          <w:color w:val="auto"/>
        </w:rPr>
        <w:drawing>
          <wp:inline distT="0" distB="0" distL="0" distR="0">
            <wp:extent cx="125095" cy="12509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5095" cy="12509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w:t>
      </w:r>
    </w:p>
    <w:p>
      <w:pPr>
        <w:ind w:left="1140"/>
        <w:spacing w:after="0"/>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5095" cy="12509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5095" cy="12509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(b)</w:t>
      </w:r>
    </w:p>
    <w:p>
      <w:pPr>
        <w:sectPr>
          <w:pgSz w:w="11900" w:h="16838" w:orient="portrait"/>
          <w:cols w:equalWidth="0" w:num="1">
            <w:col w:w="11240"/>
          </w:cols>
          <w:pgMar w:left="320" w:top="107" w:right="339" w:bottom="0" w:gutter="0" w:footer="0" w:header="0"/>
        </w:sectPr>
      </w:pP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3</w:t>
      </w:r>
    </w:p>
    <w:p>
      <w:pPr>
        <w:spacing w:after="0" w:line="2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4</w:t>
      </w: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5</w:t>
      </w: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Number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Shares</w:t>
      </w:r>
    </w:p>
    <w:p>
      <w:pPr>
        <w:ind w:left="40"/>
        <w:spacing w:after="0" w:line="234" w:lineRule="auto"/>
        <w:rPr>
          <w:sz w:val="20"/>
          <w:szCs w:val="20"/>
          <w:color w:val="auto"/>
        </w:rPr>
      </w:pPr>
      <w:r>
        <w:rPr>
          <w:rFonts w:ascii="Times New Roman" w:cs="Times New Roman" w:eastAsia="Times New Roman" w:hAnsi="Times New Roman"/>
          <w:sz w:val="21"/>
          <w:szCs w:val="21"/>
          <w:color w:val="auto"/>
        </w:rPr>
        <w:t>Beneficially</w:t>
      </w:r>
    </w:p>
    <w:p>
      <w:pPr>
        <w:ind w:left="40"/>
        <w:spacing w:after="0" w:line="235" w:lineRule="auto"/>
        <w:rPr>
          <w:sz w:val="20"/>
          <w:szCs w:val="20"/>
          <w:color w:val="auto"/>
        </w:rPr>
      </w:pPr>
      <w:r>
        <w:rPr>
          <w:rFonts w:ascii="Times New Roman" w:cs="Times New Roman" w:eastAsia="Times New Roman" w:hAnsi="Times New Roman"/>
          <w:sz w:val="21"/>
          <w:szCs w:val="21"/>
          <w:color w:val="auto"/>
        </w:rPr>
        <w:t>Owned by</w:t>
      </w:r>
    </w:p>
    <w:p>
      <w:pPr>
        <w:ind w:left="40"/>
        <w:spacing w:after="0" w:line="235" w:lineRule="auto"/>
        <w:rPr>
          <w:sz w:val="20"/>
          <w:szCs w:val="20"/>
          <w:color w:val="auto"/>
        </w:rPr>
      </w:pPr>
      <w:r>
        <w:rPr>
          <w:rFonts w:ascii="Times New Roman" w:cs="Times New Roman" w:eastAsia="Times New Roman" w:hAnsi="Times New Roman"/>
          <w:sz w:val="21"/>
          <w:szCs w:val="21"/>
          <w:color w:val="auto"/>
        </w:rPr>
        <w:t>Each</w:t>
      </w:r>
    </w:p>
    <w:p>
      <w:pPr>
        <w:ind w:left="40"/>
        <w:spacing w:after="0" w:line="235" w:lineRule="auto"/>
        <w:rPr>
          <w:sz w:val="20"/>
          <w:szCs w:val="20"/>
          <w:color w:val="auto"/>
        </w:rPr>
      </w:pPr>
      <w:r>
        <w:rPr>
          <w:rFonts w:ascii="Times New Roman" w:cs="Times New Roman" w:eastAsia="Times New Roman" w:hAnsi="Times New Roman"/>
          <w:sz w:val="21"/>
          <w:szCs w:val="21"/>
          <w:color w:val="auto"/>
        </w:rPr>
        <w:t>Reporting</w:t>
      </w:r>
    </w:p>
    <w:p>
      <w:pPr>
        <w:ind w:left="40"/>
        <w:spacing w:after="0" w:line="235" w:lineRule="auto"/>
        <w:rPr>
          <w:sz w:val="20"/>
          <w:szCs w:val="20"/>
          <w:color w:val="auto"/>
        </w:rPr>
      </w:pPr>
      <w:r>
        <w:rPr>
          <w:rFonts w:ascii="Times New Roman" w:cs="Times New Roman" w:eastAsia="Times New Roman" w:hAnsi="Times New Roman"/>
          <w:sz w:val="21"/>
          <w:szCs w:val="21"/>
          <w:color w:val="auto"/>
        </w:rPr>
        <w:t>Person</w:t>
      </w:r>
    </w:p>
    <w:p>
      <w:pPr>
        <w:ind w:left="40"/>
        <w:spacing w:after="0"/>
        <w:rPr>
          <w:sz w:val="20"/>
          <w:szCs w:val="20"/>
          <w:color w:val="auto"/>
        </w:rPr>
      </w:pPr>
      <w:r>
        <w:rPr>
          <w:rFonts w:ascii="Times New Roman" w:cs="Times New Roman" w:eastAsia="Times New Roman" w:hAnsi="Times New Roman"/>
          <w:sz w:val="21"/>
          <w:szCs w:val="21"/>
          <w:color w:val="auto"/>
        </w:rPr>
        <w:t>With:</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 use only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Source of funds (See Instructions)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PF</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125095" cy="1250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Citizenship or place of organization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UNITED STATES</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Sole Voting Power</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7</w:t>
      </w:r>
    </w:p>
    <w:p>
      <w:pPr>
        <w:ind w:left="300"/>
        <w:spacing w:after="0"/>
        <w:rPr>
          <w:sz w:val="20"/>
          <w:szCs w:val="20"/>
          <w:color w:val="auto"/>
        </w:rPr>
      </w:pPr>
      <w:r>
        <w:rPr>
          <w:rFonts w:ascii="Times New Roman" w:cs="Times New Roman" w:eastAsia="Times New Roman" w:hAnsi="Times New Roman"/>
          <w:sz w:val="21"/>
          <w:szCs w:val="21"/>
          <w:color w:val="auto"/>
        </w:rPr>
        <w:t>1,500.00</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Shared Voting Power</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w:t>
      </w:r>
    </w:p>
    <w:p>
      <w:pPr>
        <w:ind w:left="300"/>
        <w:spacing w:after="0"/>
        <w:rPr>
          <w:sz w:val="20"/>
          <w:szCs w:val="20"/>
          <w:color w:val="auto"/>
        </w:rPr>
      </w:pPr>
      <w:r>
        <w:rPr>
          <w:rFonts w:ascii="Times New Roman" w:cs="Times New Roman" w:eastAsia="Times New Roman" w:hAnsi="Times New Roman"/>
          <w:sz w:val="21"/>
          <w:szCs w:val="21"/>
          <w:color w:val="auto"/>
        </w:rPr>
        <w:t>0.00</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Sole Dispositive Power</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9</w:t>
      </w:r>
    </w:p>
    <w:p>
      <w:pPr>
        <w:ind w:left="300"/>
        <w:spacing w:after="0"/>
        <w:rPr>
          <w:sz w:val="20"/>
          <w:szCs w:val="20"/>
          <w:color w:val="auto"/>
        </w:rPr>
      </w:pPr>
      <w:r>
        <w:rPr>
          <w:rFonts w:ascii="Times New Roman" w:cs="Times New Roman" w:eastAsia="Times New Roman" w:hAnsi="Times New Roman"/>
          <w:sz w:val="21"/>
          <w:szCs w:val="21"/>
          <w:color w:val="auto"/>
        </w:rPr>
        <w:t>1,500.00</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Shared Dispositive Power</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10</w:t>
      </w:r>
    </w:p>
    <w:p>
      <w:pPr>
        <w:spacing w:after="0" w:line="1" w:lineRule="exact"/>
        <w:rPr>
          <w:sz w:val="20"/>
          <w:szCs w:val="20"/>
          <w:color w:val="auto"/>
        </w:rPr>
      </w:pPr>
    </w:p>
    <w:p>
      <w:pPr>
        <w:sectPr>
          <w:pgSz w:w="11900" w:h="16838" w:orient="portrait"/>
          <w:cols w:equalWidth="0" w:num="2">
            <w:col w:w="1080" w:space="60"/>
            <w:col w:w="10100"/>
          </w:cols>
          <w:pgMar w:left="320" w:top="107" w:right="339"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0"/>
          <w:szCs w:val="20"/>
          <w:color w:val="auto"/>
        </w:rPr>
        <w:t>0.00</w:t>
      </w:r>
    </w:p>
    <w:p>
      <w:pPr>
        <w:sectPr>
          <w:pgSz w:w="11900" w:h="16838" w:orient="portrait"/>
          <w:cols w:equalWidth="0" w:num="1">
            <w:col w:w="11240"/>
          </w:cols>
          <w:pgMar w:left="320" w:top="107" w:right="339" w:bottom="0" w:gutter="0" w:footer="0" w:header="0"/>
          <w:type w:val="continuous"/>
        </w:sectPr>
      </w:pPr>
    </w:p>
    <w:bookmarkStart w:id="4" w:name="page5"/>
    <w:bookmarkEnd w:id="4"/>
    <w:p>
      <w:pPr>
        <w:ind w:left="1140" w:right="4760" w:hanging="1096"/>
        <w:spacing w:after="0" w:line="377" w:lineRule="auto"/>
        <w:tabs>
          <w:tab w:leader="none" w:pos="11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Aggregate amount beneficially owned by each reporting person 1,500.00</w:t>
      </w:r>
    </w:p>
    <w:p>
      <w:pPr>
        <w:ind w:left="1140"/>
        <w:spacing w:after="0" w:line="234" w:lineRule="auto"/>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15240</wp:posOffset>
            </wp:positionV>
            <wp:extent cx="125095" cy="1250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Percent of class represented by amount in Row (11)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13</w:t>
      </w:r>
    </w:p>
    <w:p>
      <w:pPr>
        <w:ind w:left="1140"/>
        <w:spacing w:after="0"/>
        <w:rPr>
          <w:sz w:val="20"/>
          <w:szCs w:val="20"/>
          <w:color w:val="auto"/>
        </w:rPr>
      </w:pPr>
      <w:r>
        <w:rPr>
          <w:rFonts w:ascii="Times New Roman" w:cs="Times New Roman" w:eastAsia="Times New Roman" w:hAnsi="Times New Roman"/>
          <w:sz w:val="21"/>
          <w:szCs w:val="21"/>
          <w:color w:val="auto"/>
        </w:rPr>
        <w:t>0.0 %</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Type of Reporting Person (See Instructions)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w:t>
      </w:r>
    </w:p>
    <w:p>
      <w:pPr>
        <w:ind w:left="1140"/>
        <w:spacing w:after="0"/>
        <w:rPr>
          <w:sz w:val="20"/>
          <w:szCs w:val="20"/>
          <w:color w:val="auto"/>
        </w:rPr>
      </w:pPr>
      <w:r>
        <w:rPr>
          <w:rFonts w:ascii="Times New Roman" w:cs="Times New Roman" w:eastAsia="Times New Roman" w:hAnsi="Times New Roman"/>
          <w:sz w:val="21"/>
          <w:szCs w:val="21"/>
          <w:color w:val="auto"/>
        </w:rPr>
        <w:t>IN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Consists of 1,500 shares held in Mr. Rattner's Roth IRA, representing less than 0.1% of the outstanding shares. As a result</w:t>
      </w:r>
    </w:p>
    <w:tbl>
      <w:tblPr>
        <w:tblLayout w:type="fixed"/>
        <w:tblInd w:w="0" w:type="dxa"/>
        <w:tblCellMar>
          <w:top w:w="0" w:type="dxa"/>
          <w:left w:w="0" w:type="dxa"/>
          <w:bottom w:w="0" w:type="dxa"/>
          <w:right w:w="0" w:type="dxa"/>
        </w:tblCellMar>
      </w:tblPr>
      <w:tr>
        <w:trPr>
          <w:trHeight w:val="210"/>
        </w:trPr>
        <w:tc>
          <w:tcPr>
            <w:tcW w:w="780" w:type="dxa"/>
            <w:vAlign w:val="bottom"/>
          </w:tcPr>
          <w:p>
            <w:pPr>
              <w:spacing w:after="0" w:line="211" w:lineRule="exact"/>
              <w:rPr>
                <w:sz w:val="20"/>
                <w:szCs w:val="20"/>
                <w:color w:val="auto"/>
              </w:rPr>
            </w:pPr>
            <w:r>
              <w:rPr>
                <w:rFonts w:ascii="Times New Roman" w:cs="Times New Roman" w:eastAsia="Times New Roman" w:hAnsi="Times New Roman"/>
                <w:sz w:val="19"/>
                <w:szCs w:val="19"/>
                <w:b w:val="1"/>
                <w:bCs w:val="1"/>
                <w:color w:val="auto"/>
              </w:rPr>
              <w:t>for Type</w:t>
            </w:r>
          </w:p>
        </w:tc>
        <w:tc>
          <w:tcPr>
            <w:tcW w:w="10460" w:type="dxa"/>
            <w:vAlign w:val="bottom"/>
          </w:tcPr>
          <w:p>
            <w:pPr>
              <w:ind w:left="100"/>
              <w:spacing w:after="0" w:line="211" w:lineRule="exact"/>
              <w:rPr>
                <w:sz w:val="20"/>
                <w:szCs w:val="20"/>
                <w:color w:val="auto"/>
              </w:rPr>
            </w:pPr>
            <w:r>
              <w:rPr>
                <w:rFonts w:ascii="Times New Roman" w:cs="Times New Roman" w:eastAsia="Times New Roman" w:hAnsi="Times New Roman"/>
                <w:sz w:val="21"/>
                <w:szCs w:val="21"/>
                <w:color w:val="auto"/>
              </w:rPr>
              <w:t>of the matters described in Items 4 and 6, the Reporting Persons and the Arkhouse Reporting Persons (as defined below)</w:t>
            </w:r>
          </w:p>
        </w:tc>
      </w:tr>
      <w:tr>
        <w:trPr>
          <w:trHeight w:val="247"/>
        </w:trPr>
        <w:tc>
          <w:tcPr>
            <w:tcW w:w="7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may be deemed to constitute a "group" within the meaning of Section 13(d)(3) of the Securities Exchange Act of 1934, as</w:t>
            </w:r>
          </w:p>
        </w:tc>
      </w:tr>
    </w:tbl>
    <w:p>
      <w:pPr>
        <w:jc w:val="both"/>
        <w:spacing w:after="0" w:line="203"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amended. The amount in Row 11 excludes the shares beneficially owned by the Arkhouse Reporting Persons (as defined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below), which is filing a separate Schedule 13D, and the Reporting Person expressly disclaims beneficial ownership of</w:t>
      </w:r>
    </w:p>
    <w:p>
      <w:pPr>
        <w:spacing w:after="0" w:line="1" w:lineRule="exact"/>
        <w:rPr>
          <w:sz w:val="20"/>
          <w:szCs w:val="20"/>
          <w:color w:val="auto"/>
        </w:rPr>
      </w:pPr>
    </w:p>
    <w:p>
      <w:pPr>
        <w:ind w:left="880"/>
        <w:spacing w:after="0" w:line="244" w:lineRule="auto"/>
        <w:rPr>
          <w:sz w:val="20"/>
          <w:szCs w:val="20"/>
          <w:color w:val="auto"/>
        </w:rPr>
      </w:pPr>
      <w:r>
        <w:rPr>
          <w:rFonts w:ascii="Times New Roman" w:cs="Times New Roman" w:eastAsia="Times New Roman" w:hAnsi="Times New Roman"/>
          <w:sz w:val="21"/>
          <w:szCs w:val="21"/>
          <w:color w:val="auto"/>
        </w:rPr>
        <w:t>such shares. The percentage in Row 13 is based on 12,659,150 shares outstanding of the Issuer as of July 26, 2026, as set forth in the Issuer's Form 10-Q, filed August 5, 2026. See Items 5 and 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pacing w:after="0" w:line="292"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1"/>
          <w:szCs w:val="21"/>
          <w:color w:val="auto"/>
        </w:rPr>
        <w:t>Item 1.</w:t>
        <w:tab/>
        <w:t>Security and Issuer</w:t>
      </w:r>
    </w:p>
    <w:p>
      <w:pPr>
        <w:spacing w:after="0" w:line="4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Title of Class of Securities: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(a)</w:t>
      </w:r>
    </w:p>
    <w:p>
      <w:pPr>
        <w:ind w:left="960"/>
        <w:spacing w:after="0"/>
        <w:rPr>
          <w:sz w:val="20"/>
          <w:szCs w:val="20"/>
          <w:color w:val="auto"/>
        </w:rPr>
      </w:pPr>
      <w:r>
        <w:rPr>
          <w:rFonts w:ascii="Times New Roman" w:cs="Times New Roman" w:eastAsia="Times New Roman" w:hAnsi="Times New Roman"/>
          <w:sz w:val="21"/>
          <w:szCs w:val="21"/>
          <w:color w:val="auto"/>
        </w:rPr>
        <w:t>Common Stock, $0.01 par value per share</w:t>
      </w:r>
    </w:p>
    <w:p>
      <w:pPr>
        <w:spacing w:after="0" w:line="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Name of Issuer:</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w:t>
      </w:r>
    </w:p>
    <w:p>
      <w:pPr>
        <w:ind w:left="960"/>
        <w:spacing w:after="0"/>
        <w:rPr>
          <w:sz w:val="20"/>
          <w:szCs w:val="20"/>
          <w:color w:val="auto"/>
        </w:rPr>
      </w:pPr>
      <w:r>
        <w:rPr>
          <w:rFonts w:ascii="Times New Roman" w:cs="Times New Roman" w:eastAsia="Times New Roman" w:hAnsi="Times New Roman"/>
          <w:sz w:val="21"/>
          <w:szCs w:val="21"/>
          <w:color w:val="auto"/>
        </w:rPr>
        <w:t>Dine Brands Global, Inc.</w:t>
      </w:r>
    </w:p>
    <w:p>
      <w:pPr>
        <w:spacing w:after="0" w:line="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w:t>
      </w:r>
    </w:p>
    <w:p>
      <w:pPr>
        <w:ind w:left="960"/>
        <w:spacing w:after="0"/>
        <w:rPr>
          <w:sz w:val="20"/>
          <w:szCs w:val="20"/>
          <w:color w:val="auto"/>
        </w:rPr>
      </w:pPr>
      <w:r>
        <w:rPr>
          <w:rFonts w:ascii="Times New Roman" w:cs="Times New Roman" w:eastAsia="Times New Roman" w:hAnsi="Times New Roman"/>
          <w:sz w:val="21"/>
          <w:szCs w:val="21"/>
          <w:color w:val="auto"/>
        </w:rPr>
        <w:t>10 West Walnut Street, 5th Floor, Pasadena, CALIFORNIA , 91103.</w:t>
      </w:r>
    </w:p>
    <w:p>
      <w:pPr>
        <w:spacing w:after="0" w:line="23" w:lineRule="exact"/>
        <w:rPr>
          <w:sz w:val="20"/>
          <w:szCs w:val="20"/>
          <w:color w:val="auto"/>
        </w:rPr>
      </w:pPr>
    </w:p>
    <w:p>
      <w:pPr>
        <w:ind w:left="40" w:righ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Arkhouse Management Co. LP, Arkhouse GP LLC, Arkhouse Value Fund GP X LLC, Arkhouse Value Fund GP II LLC,</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and Gavriel Kahane (collectively, the "Arkhouse Reporting Persons") are filing a separate Schedule 13D reporting</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beneficial ownership of shares of the Common Stock.</w:t>
      </w:r>
    </w:p>
    <w:p>
      <w:pPr>
        <w:spacing w:after="0" w:line="23"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1"/>
          <w:szCs w:val="21"/>
          <w:color w:val="auto"/>
        </w:rPr>
        <w:t>Item 2.</w:t>
        <w:tab/>
        <w:t>Identity and Background</w:t>
      </w:r>
    </w:p>
    <w:p>
      <w:pPr>
        <w:spacing w:after="0" w:line="74" w:lineRule="exact"/>
        <w:rPr>
          <w:sz w:val="20"/>
          <w:szCs w:val="20"/>
          <w:color w:val="auto"/>
        </w:rPr>
      </w:pPr>
    </w:p>
    <w:p>
      <w:pPr>
        <w:ind w:left="960" w:right="260"/>
        <w:spacing w:after="0" w:line="252" w:lineRule="auto"/>
        <w:rPr>
          <w:sz w:val="20"/>
          <w:szCs w:val="20"/>
          <w:color w:val="auto"/>
        </w:rPr>
      </w:pPr>
      <w:r>
        <w:rPr>
          <w:rFonts w:ascii="Times New Roman" w:cs="Times New Roman" w:eastAsia="Times New Roman" w:hAnsi="Times New Roman"/>
          <w:sz w:val="20"/>
          <w:szCs w:val="20"/>
          <w:color w:val="auto"/>
        </w:rPr>
        <w:t>This statement on Schedule 13D is being filed by (i) Cobblers Cove Capital LP, a Delaware limited partnership ("Cobblers Cove"); (ii) Cobblers Cove Capital Management GP LLC, a Delaware limited liability company and the general partner of Cobblers Cove (the "Cobblers Cove GP"); (iii) Matthew Perkal, ("Mr. Perkal"); and (iv) Benjamin F. Rattner ("Mr. Rattner", and together with Cobblers Cove, Cobblers Cove GP, and Mr. Perkal, the "Cobblers Parties" or</w:t>
      </w:r>
    </w:p>
    <w:p>
      <w:pPr>
        <w:spacing w:after="0" w:line="3" w:lineRule="exact"/>
        <w:rPr>
          <w:sz w:val="20"/>
          <w:szCs w:val="20"/>
          <w:color w:val="auto"/>
        </w:rPr>
      </w:pPr>
    </w:p>
    <w:p>
      <w:pPr>
        <w:ind w:left="960" w:right="300" w:hanging="916"/>
        <w:spacing w:after="0" w:line="249"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"Reporting Persons"). Mr. Perkal and Mr. Rattner are the "Managing Partners" of Cobblers Cove and the managing members of Cobblers Cove GP. Cobblers Cove GP is the general partner of Cobblers Cove. Mr. Perkal is the trust investment adviser to the Disney Dollar Irrevocable Trust and the Sand Bay Irrevocable Trust (together, the "Trusts"), which hold the shares of Common Stock as reported herein. Mr. Perkal, along with his wife Jessica Perkal, also holds shares of Common Stock as reported herein. Mr. Rattner also holds shares of Common Stock as reported herein.</w:t>
      </w:r>
    </w:p>
    <w:p>
      <w:pPr>
        <w:spacing w:after="0" w:line="17" w:lineRule="exact"/>
        <w:rPr>
          <w:rFonts w:ascii="Times New Roman" w:cs="Times New Roman" w:eastAsia="Times New Roman" w:hAnsi="Times New Roman"/>
          <w:sz w:val="20"/>
          <w:szCs w:val="20"/>
          <w:color w:val="auto"/>
        </w:rPr>
      </w:pPr>
    </w:p>
    <w:p>
      <w:pPr>
        <w:ind w:left="960" w:right="880" w:hanging="916"/>
        <w:spacing w:after="0" w:line="180" w:lineRule="auto"/>
        <w:tabs>
          <w:tab w:leader="none" w:pos="96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office and place of business of the Reporting Persons is 145 King Street, Suite 410, Charleston, SC 29401.</w:t>
      </w:r>
    </w:p>
    <w:p>
      <w:pPr>
        <w:spacing w:after="0" w:line="16" w:lineRule="exact"/>
        <w:rPr>
          <w:rFonts w:ascii="Times New Roman" w:cs="Times New Roman" w:eastAsia="Times New Roman" w:hAnsi="Times New Roman"/>
          <w:sz w:val="39"/>
          <w:szCs w:val="39"/>
          <w:color w:val="auto"/>
          <w:vertAlign w:val="subscript"/>
        </w:rPr>
      </w:pPr>
    </w:p>
    <w:p>
      <w:pPr>
        <w:ind w:left="960" w:right="80"/>
        <w:spacing w:after="0" w:line="254"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Cobblers Cove is a registered investment adviser and asset management firm whose principal business is providing investment management services to private funds and accounts. The principal business of Cobblers Cove GP is serving as the general partner of Cobblers Cove. The present principal occupation of Mr. Perkal is serving as "Managing Partner"</w:t>
      </w:r>
    </w:p>
    <w:p>
      <w:pPr>
        <w:spacing w:after="0" w:line="2" w:lineRule="exact"/>
        <w:rPr>
          <w:rFonts w:ascii="Times New Roman" w:cs="Times New Roman" w:eastAsia="Times New Roman" w:hAnsi="Times New Roman"/>
          <w:sz w:val="39"/>
          <w:szCs w:val="39"/>
          <w:color w:val="auto"/>
          <w:vertAlign w:val="subscript"/>
        </w:rPr>
      </w:pPr>
    </w:p>
    <w:p>
      <w:pPr>
        <w:jc w:val="both"/>
        <w:ind w:left="960" w:right="160" w:hanging="916"/>
        <w:spacing w:after="0" w:line="184" w:lineRule="auto"/>
        <w:tabs>
          <w:tab w:leader="none" w:pos="960" w:val="left"/>
        </w:tabs>
        <w:numPr>
          <w:ilvl w:val="0"/>
          <w:numId w:val="10"/>
        </w:numPr>
        <w:rPr>
          <w:rFonts w:ascii="Times New Roman" w:cs="Times New Roman" w:eastAsia="Times New Roman" w:hAnsi="Times New Roman"/>
          <w:sz w:val="40"/>
          <w:szCs w:val="40"/>
          <w:color w:val="auto"/>
          <w:vertAlign w:val="subscript"/>
        </w:rPr>
      </w:pPr>
      <w:r>
        <w:rPr>
          <w:rFonts w:ascii="Times New Roman" w:cs="Times New Roman" w:eastAsia="Times New Roman" w:hAnsi="Times New Roman"/>
          <w:sz w:val="20"/>
          <w:szCs w:val="20"/>
          <w:color w:val="auto"/>
        </w:rPr>
        <w:t>of Cobblers Cove and as a managing member of Cobblers Cove GP. Mr. Perkal also serves, in his individual capacity, as trust investment adviser to the Trusts. The present principal occupation of Mr. Rattner is serving as "Managing Partner" of Cobblers Cove and as a managing member of Cobblers Cove GP. Cobbler Cove GP's managing members are Mr.</w:t>
      </w:r>
    </w:p>
    <w:p>
      <w:pPr>
        <w:spacing w:after="0" w:line="3" w:lineRule="exact"/>
        <w:rPr>
          <w:rFonts w:ascii="Times New Roman" w:cs="Times New Roman" w:eastAsia="Times New Roman" w:hAnsi="Times New Roman"/>
          <w:sz w:val="40"/>
          <w:szCs w:val="40"/>
          <w:color w:val="auto"/>
          <w:vertAlign w:val="subscript"/>
        </w:rPr>
      </w:pPr>
    </w:p>
    <w:p>
      <w:pPr>
        <w:ind w:left="960" w:right="200"/>
        <w:spacing w:after="0" w:line="242" w:lineRule="auto"/>
        <w:rPr>
          <w:rFonts w:ascii="Times New Roman" w:cs="Times New Roman" w:eastAsia="Times New Roman" w:hAnsi="Times New Roman"/>
          <w:sz w:val="40"/>
          <w:szCs w:val="40"/>
          <w:color w:val="auto"/>
          <w:vertAlign w:val="subscript"/>
        </w:rPr>
      </w:pPr>
      <w:r>
        <w:rPr>
          <w:rFonts w:ascii="Times New Roman" w:cs="Times New Roman" w:eastAsia="Times New Roman" w:hAnsi="Times New Roman"/>
          <w:sz w:val="21"/>
          <w:szCs w:val="21"/>
          <w:color w:val="auto"/>
        </w:rPr>
        <w:t>Perkal and Mr. Rattner, who together own all of its interests. The principal business address of each Reporting Person is 145 King Street, Suite 410, Charleston, SC 29401.</w:t>
      </w:r>
    </w:p>
    <w:p>
      <w:pPr>
        <w:spacing w:after="0" w:line="14" w:lineRule="exact"/>
        <w:rPr>
          <w:rFonts w:ascii="Times New Roman" w:cs="Times New Roman" w:eastAsia="Times New Roman" w:hAnsi="Times New Roman"/>
          <w:sz w:val="40"/>
          <w:szCs w:val="40"/>
          <w:color w:val="auto"/>
          <w:vertAlign w:val="subscript"/>
        </w:rPr>
      </w:pPr>
    </w:p>
    <w:p>
      <w:pPr>
        <w:ind w:left="960" w:right="240" w:hanging="916"/>
        <w:spacing w:after="0" w:line="180" w:lineRule="auto"/>
        <w:tabs>
          <w:tab w:leader="none" w:pos="96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6"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During the last five years, none of the Reporting Persons has been a party to a civil proceeding of a judicial or</w:t>
      </w:r>
    </w:p>
    <w:p>
      <w:pPr>
        <w:spacing w:after="0" w:line="18" w:lineRule="exact"/>
        <w:rPr>
          <w:rFonts w:ascii="Times New Roman" w:cs="Times New Roman" w:eastAsia="Times New Roman" w:hAnsi="Times New Roman"/>
          <w:sz w:val="39"/>
          <w:szCs w:val="39"/>
          <w:color w:val="auto"/>
          <w:vertAlign w:val="subscript"/>
        </w:rPr>
      </w:pPr>
    </w:p>
    <w:p>
      <w:pPr>
        <w:ind w:left="960" w:right="240" w:hanging="916"/>
        <w:spacing w:after="0" w:line="182" w:lineRule="auto"/>
        <w:tabs>
          <w:tab w:leader="none" w:pos="960" w:val="left"/>
        </w:tabs>
        <w:numPr>
          <w:ilvl w:val="0"/>
          <w:numId w:val="10"/>
        </w:numPr>
        <w:rPr>
          <w:rFonts w:ascii="Times New Roman" w:cs="Times New Roman" w:eastAsia="Times New Roman" w:hAnsi="Times New Roman"/>
          <w:sz w:val="41"/>
          <w:szCs w:val="41"/>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3" w:lineRule="exact"/>
        <w:rPr>
          <w:rFonts w:ascii="Times New Roman" w:cs="Times New Roman" w:eastAsia="Times New Roman" w:hAnsi="Times New Roman"/>
          <w:sz w:val="41"/>
          <w:szCs w:val="41"/>
          <w:color w:val="auto"/>
          <w:vertAlign w:val="subscript"/>
        </w:rPr>
      </w:pPr>
    </w:p>
    <w:p>
      <w:pPr>
        <w:ind w:left="960" w:right="200" w:hanging="916"/>
        <w:spacing w:after="0" w:line="180" w:lineRule="auto"/>
        <w:tabs>
          <w:tab w:leader="none" w:pos="96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Each of Cobblers Cove and Cobblers Cove GP is organized under the laws of the State of Delaware. Each of Mr. Perkal and Mr. Rattner is a citizen of the United States.</w:t>
      </w:r>
    </w:p>
    <w:p>
      <w:pPr>
        <w:sectPr>
          <w:pgSz w:w="11900" w:h="16838" w:orient="portrait"/>
          <w:cols w:equalWidth="0" w:num="1">
            <w:col w:w="11240"/>
          </w:cols>
          <w:pgMar w:left="320" w:top="114" w:right="339" w:bottom="0" w:gutter="0" w:footer="0" w:header="0"/>
        </w:sectPr>
      </w:pPr>
    </w:p>
    <w:bookmarkStart w:id="5" w:name="page6"/>
    <w:bookmarkEnd w:id="5"/>
    <w:p>
      <w:pPr>
        <w:spacing w:after="0" w:line="13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1"/>
          <w:szCs w:val="21"/>
          <w:color w:val="auto"/>
        </w:rPr>
        <w:t>Item 3.</w:t>
      </w:r>
      <w:r>
        <w:rPr>
          <w:sz w:val="20"/>
          <w:szCs w:val="20"/>
          <w:color w:val="auto"/>
        </w:rPr>
        <w:tab/>
      </w:r>
      <w:r>
        <w:rPr>
          <w:rFonts w:ascii="Times New Roman" w:cs="Times New Roman" w:eastAsia="Times New Roman" w:hAnsi="Times New Roman"/>
          <w:sz w:val="20"/>
          <w:szCs w:val="20"/>
          <w:color w:val="auto"/>
        </w:rPr>
        <w:t>Source and Amount of Funds or Other Consideration</w:t>
      </w:r>
    </w:p>
    <w:p>
      <w:pPr>
        <w:spacing w:after="0" w:line="46" w:lineRule="exact"/>
        <w:rPr>
          <w:sz w:val="20"/>
          <w:szCs w:val="20"/>
          <w:color w:val="auto"/>
        </w:rPr>
      </w:pPr>
    </w:p>
    <w:p>
      <w:pPr>
        <w:ind w:left="920" w:right="140"/>
        <w:spacing w:after="0" w:line="238" w:lineRule="auto"/>
        <w:rPr>
          <w:sz w:val="20"/>
          <w:szCs w:val="20"/>
          <w:color w:val="auto"/>
        </w:rPr>
      </w:pPr>
      <w:r>
        <w:rPr>
          <w:rFonts w:ascii="Times New Roman" w:cs="Times New Roman" w:eastAsia="Times New Roman" w:hAnsi="Times New Roman"/>
          <w:sz w:val="21"/>
          <w:szCs w:val="21"/>
          <w:color w:val="auto"/>
        </w:rPr>
        <w:t>The Reporting Persons beneficially own an aggregate of 173,027 shares, all of which were acquired in open market purchases, as follows: (i) 69,283 shares held by the Disney Dollar Irrevocable Trust and 27,748 shares held by the Sand Bay Irrevocable Trust were purchased with the personal funds of the respective Trust for aggregate purchase prices of approximately $2,049,688.13 and $820,908.88, respectively (approximately $2,870,597.01 in total); (ii) 74,496 shares held in a joint account of Mr. Perkal and his spouse, Jessica Perkal (the "Joint Account"), were purchased with personal funds for an aggregate purchase price of approximately $2,203,910.56; and (iii) 1,500 shares held in Mr. Rattner's Roth individual retirement account (the "IRA") were purchased with personal funds for an aggregate purchase price of approximately $43,919.88. The foregoing amounts exclude brokerage commissions, which were a weighted average of $0.02 per trade. No part of the purchase price was represented by funds borrowed or otherwise obtained for the purpose of acquiring, holding, trading or voting the shares. As of the date of this Schedule 13D, either Cobblers Cove nor Cobblers Cove GP directly holds any shares or used any funds to acquire shares.</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1"/>
          <w:szCs w:val="21"/>
          <w:color w:val="auto"/>
        </w:rPr>
        <w:t>Item 4.</w:t>
      </w:r>
      <w:r>
        <w:rPr>
          <w:sz w:val="20"/>
          <w:szCs w:val="20"/>
          <w:color w:val="auto"/>
        </w:rPr>
        <w:tab/>
      </w:r>
      <w:r>
        <w:rPr>
          <w:rFonts w:ascii="Times New Roman" w:cs="Times New Roman" w:eastAsia="Times New Roman" w:hAnsi="Times New Roman"/>
          <w:sz w:val="20"/>
          <w:szCs w:val="20"/>
          <w:color w:val="auto"/>
        </w:rPr>
        <w:t>Purpose of Transaction</w:t>
      </w:r>
    </w:p>
    <w:p>
      <w:pPr>
        <w:spacing w:after="0" w:line="47" w:lineRule="exact"/>
        <w:rPr>
          <w:sz w:val="20"/>
          <w:szCs w:val="20"/>
          <w:color w:val="auto"/>
        </w:rPr>
      </w:pPr>
    </w:p>
    <w:p>
      <w:pPr>
        <w:ind w:left="920"/>
        <w:spacing w:after="0" w:line="235" w:lineRule="auto"/>
        <w:rPr>
          <w:sz w:val="20"/>
          <w:szCs w:val="20"/>
          <w:color w:val="auto"/>
        </w:rPr>
      </w:pPr>
      <w:r>
        <w:rPr>
          <w:rFonts w:ascii="Times New Roman" w:cs="Times New Roman" w:eastAsia="Times New Roman" w:hAnsi="Times New Roman"/>
          <w:sz w:val="21"/>
          <w:szCs w:val="21"/>
          <w:color w:val="auto"/>
        </w:rPr>
        <w:t>The Reporting Persons acquired the shares reported herein, as applicable, because they believed the shares represented an attractive investment opportunity. Cobblers Cove believes that the Issuer's Common Stock is undervalued and represents an attractive investment opportunity. On October 26, 2026, Cobblers Cove and Arkhouse Management Co. LP ("Arkhouse") delivered to the Board of Directors of the Issuer (the "Issuer's Board") a non-binding proposal (the "Proposal") to acquire all of the outstanding shares of Common Stock of the Issuer for $39.00 per share, in cash. A copy of the Proposal is filed herewith as Exhibit 99.1 and is incorporated herein by reference. Also on October 26, 2026, Cobblers Cove and Arkhouse executed a non-binding summary of proposed terms (the "Term Sheet") outlining a framework for working together on an exclusive basis, subject among other things to finalization of terms and definitive documents, to pursue an acquisition of the Issuer, sharing certain fees and jointly bearing certain expenses related to such potential acquisition, and agreeing a structure for the post-acquisition governance and operation of the Issuer. The Term Sheet also provides a non-binding framework pursuant to which each of Cobblers Cove and Arkhouse would fund a committed percentage of equity financing required in connection with the acquisition. The above summary is qualified in its entirety by reference to the Term Sheet, a copy of which is filed herewith as Exhibit 99.2 and is incorporated herein by reference. On October 29, 2026, Cobblers Cove and Arkhouse received a letter from the Issuer's Board (the "Dine Brands Response Letter"), stating that the Issuer's Board had rejected the Proposal. A copy of the Dine Brands Response Letter is filed herewith as Exhibit 99.3 and is incorporated herein by reference. On November 2, 2026, Cobblers Cove and Arkhouse jointly responded to the Dine Brands Response Letter in a letter to the Issuer's Board (the "November 2 Letter") that among other things (i) expressed disappointment "that the Board rejected [their] proposal without engaging with [them]", especially in light of the premium offered and their expressed optimism that "access to management and confirmatory due diligence would allow [them] to identify additional value that could support an increase in [their] proposed price", (ii) noted the unusual (in the view of the Reporting Persons) speed with which such rejection was made and (iii) expressed a continued eagerness to work with the Issuer towards a potential transaction. A copy of the November 2 Letter is filed herewith as Exhibit 99.4 and is incorporated herein by reference. The Reporting Persons from time to time expect to enter into discussions with directors and officers of the Issuer, other stockholders of the Issuer (including without limitation the Arkhouse Reporting Persons) or third parties in connection with the above-described matters and, more generally, in connection with the Reporting Person's investment in the Issuer. Such discussions may include, without limitation, one or more of members of management, members of the board (individually or acting as a whole), other stockholders of the Issuer and other persons to discuss the governance, board composition, management, operations, business, assets, capitalization, financial condition, strategic plans and future of the Issuer (including without limitation, the potential acquisition by the Reporting Persons and/or the Arkhouse Reporting Persons' of control of the Issuer and or any and all of the issued and outstanding Common Stock (and the terms of any such potential acquisition)), as well as other matters related to the Issuer. The Reporting Persons may also seek to explore other methods for increasing their respective ownership positions in, or economic exposure to, the Issuer, including, without limitation, through open market purchases or an acquisition of shares of Common Stock from other stockholders or through the entry into derivatives arrangements. Any of the foregoing may take place together with or separately from the Arkhouse Reporting Persons. The Reporting Persons intend to review their respective investments in the Issuer on a continuing basis and may from time to time and at any time in the future depending on various factors, including, without limitation, the outcome of any discussions referenced above, the Issuer's financial position and strategic direction, actions taken by the board, price levels of the shares of Common Stock, other investment opportunities available to the Reporting Persons, conditions in securities and other markets, and general economic and industry conditions, take such actions with respect to the investment in the Issuer as they deems appropriate, including, without limitation: (i) acquiring additional shares of Common Stock and/or other equity, debt, notes, other securities, or derivatives or other instruments that are based upon or relate to the value of the Common Stock or otherwise relate to the Issuer (collectively, "Securities") in the open market or otherwise; (ii) disposing of any or all of their Securities in the open market or otherwise and/or cash-settling any derivatives or other instruments that are based upon or relate to the value of the Common Stock or otherwise relate to the Issuer; (iii) engaging in any hedging or similar transactions with respect to the Securities; (iv) changing the terms on which they would propose to acquire control of the Issuer and or any and all of the issued and outstanding Common Stock and/or at any time abandon their current intention to, either alone or together with the Arkhouse Reporting Persons, seek to acquire control of the Issuer and or any and all of the issued and outstanding Common Stock; or (v) otherwise proposing or considering, or changing their intention with respect to, one or more of the actions described in subsections (a) through (j) of Item 4 of Schedule 13D (whether or not otherwise described above). Except as set forth in this Item 4, the Reporting Persons have no present plans or proposals that relate to or would result in any of the matters set forth in subparagraphs (a) through (j) of Item 4 of Schedule 13D.</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1"/>
          <w:szCs w:val="21"/>
          <w:color w:val="auto"/>
        </w:rPr>
        <w:t>Item 5.</w:t>
        <w:tab/>
        <w:t>Interest in Securities of the Issuer</w:t>
      </w:r>
    </w:p>
    <w:p>
      <w:pPr>
        <w:spacing w:after="0" w:line="47" w:lineRule="exact"/>
        <w:rPr>
          <w:sz w:val="20"/>
          <w:szCs w:val="20"/>
          <w:color w:val="auto"/>
        </w:rPr>
      </w:pPr>
    </w:p>
    <w:p>
      <w:pPr>
        <w:ind w:left="920" w:right="820" w:hanging="916"/>
        <w:spacing w:after="0" w:line="293" w:lineRule="auto"/>
        <w:tabs>
          <w:tab w:leader="none" w:pos="9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responses of the Reporting Person to Rows (7) through (13) of the cover pages of this Schedule 13D are incorporated herein by reference. The information in Item 4 and Item 6 is incorporated herein by reference. The</w:t>
      </w:r>
    </w:p>
    <w:p>
      <w:pPr>
        <w:sectPr>
          <w:pgSz w:w="11900" w:h="16970" w:orient="portrait"/>
          <w:cols w:equalWidth="0" w:num="1">
            <w:col w:w="11120"/>
          </w:cols>
          <w:pgMar w:left="360" w:top="114" w:right="419" w:bottom="0" w:gutter="0" w:footer="0" w:header="0"/>
        </w:sectPr>
      </w:pPr>
    </w:p>
    <w:bookmarkStart w:id="6" w:name="page7"/>
    <w:bookmarkEnd w:id="6"/>
    <w:p>
      <w:pPr>
        <w:ind w:left="920"/>
        <w:spacing w:after="0" w:line="235" w:lineRule="auto"/>
        <w:rPr>
          <w:sz w:val="20"/>
          <w:szCs w:val="20"/>
          <w:color w:val="auto"/>
        </w:rPr>
      </w:pPr>
      <w:r>
        <w:rPr>
          <w:rFonts w:ascii="Times New Roman" w:cs="Times New Roman" w:eastAsia="Times New Roman" w:hAnsi="Times New Roman"/>
          <w:sz w:val="21"/>
          <w:szCs w:val="21"/>
          <w:color w:val="auto"/>
        </w:rPr>
        <w:t>Reporting Persons may be deemed to collectively beneficially own 173,027 shares, representing approximately 1.4% of the outstanding shares based on the 12,659,150 shares of Common Stock stated by the Issuer as being outstanding as of July 26, 2026 in its 2026 Q2 10-Q. Neither Cobbers Cove nor Cobblers Cove GP currently possess any voting or dispositive power, nor are they the record holder of any shares of Common Stock, as of the date of this Schedule 13D. Mr. Perkal, "Managing Partner" of Cobblers Cove and managing member of Cobblers Cove GP, beneficially owns 74,496 shares held in the Joint Account and shares the power to direct the voting of, and dispose of and direct the disposition of, the 74,496 shares of Common Stock reported herein, with Jessica Perkal. Mr. Perkal holds the sole power to direct the voting of, and dispose of and direct the disposition of, the 97,031 shares of Common Stock held by the Trusts as reported herein. Mr. Perkal may be deemed to beneficially own the 97,031 shares held by the Trusts by virtue of his authority as trust investment adviser to each Trust, and disclaims beneficial ownership of such shares except to the extent of his pecuniary interest therein, if any. Mr. Rattner, "Managing Partner" of Cobblers Cove and managing member of Cobblers Cove GP, beneficially owns 1,500 shares held in the IRA and holds the sole power to direct the voting of, and dispose of and direct the disposition of, the 1,500 shares of Common Stock held by the IRA as reported herein. In addition, the Reporting Persons and Arkhouse have jointly submitted the Proposal to the Issuer and have entered into the Term Sheet which memorializes their determination, on a non-binding basis, to work together in connection therewith, as further described in Item 4 above. As a result thereof, the Reporting Persons and the Arkhouse Reporting Persons may be deemed to be a "group" pursuant to Section 13(d) of the Act and, as such, the Reporting Persons may be deemed to have beneficial ownership over the 546,700 shares of Common Stock reported by the Arkhouse Reporting Persons on the date hereof as owned by the Arkhouse Reporting Persons, which, if taken together with the shares of Common Stock beneficially owned by the Reporting Persons as of the date hereof, would represent approximately 5.7% of Issuer's outstanding shares of Common Stock, based on the 12,659,150 shares of Common Stock stated by the Issuer as being outstanding as of July 26, 2026 in its 2026 Q2 10-Q. However, none of the Reporting Persons possess any voting or dispositive power, sole or shared, over any of the shares of Common Stock beneficially owned by the Arkhouse Reporting Persons (and the Arkhouse Reporting Persons do not possess any voting or dispositive power, sole or shared, over any of the shares of Common Stock beneficially owned by any of the Reporting Persons), and each Reporting Person expressly disclaims beneficial ownership of any of the shares of Common Stock owned by the Arkhouse Reporting Persons as beneficially owned by them. Neither the filing of this Schedule 13D nor any of its contents shall be deemed to constitute an admission that any of the Reporting Persons or any of their respective affiliates is the beneficial owner of any of shares of Common Stock beneficially owned by the Arkhouse Reporting Persons for purposes of Section 13(d) of the Act or for any other purpose. The Reporting Persons are only responsible for the information contained in this Schedule 13D and assume no responsibility for any information contained in or derived from any Schedule 13D filed by the Arkhouse Reporting Persons. In addition, each Reporting Person expressly disclaims beneficial ownership of the shares reported herein except to the extent such Reporting Person actually possesses sole or shared voting or dispositive power with respect to such shares.</w:t>
      </w:r>
    </w:p>
    <w:p>
      <w:pPr>
        <w:spacing w:after="0" w:line="46" w:lineRule="exact"/>
        <w:rPr>
          <w:sz w:val="20"/>
          <w:szCs w:val="20"/>
          <w:color w:val="auto"/>
        </w:rPr>
      </w:pPr>
    </w:p>
    <w:p>
      <w:pPr>
        <w:ind w:left="920" w:right="180"/>
        <w:spacing w:after="0" w:line="239" w:lineRule="auto"/>
        <w:rPr>
          <w:sz w:val="20"/>
          <w:szCs w:val="20"/>
          <w:color w:val="auto"/>
        </w:rPr>
      </w:pPr>
      <w:r>
        <w:rPr>
          <w:rFonts w:ascii="Times New Roman" w:cs="Times New Roman" w:eastAsia="Times New Roman" w:hAnsi="Times New Roman"/>
          <w:sz w:val="21"/>
          <w:szCs w:val="21"/>
          <w:color w:val="auto"/>
        </w:rPr>
        <w:t>The number of shares as to which each Reporting Person has sole or shared power to vote or to direct the vote, and sole or shared power to dispose or to direct the disposition, is as follows: Reporting Person Sole Voting Shared Voting Sole Dispositive Shared Dispositive Cobblers Cove Capital LP 0 0 0 0 Cobblers Cove Capital Management GP LLC 0 0 0 0 Matthew Perkal 97,031 74,496 97,031 74,496 Benjamin F. Rattner 1,500 0 1,500 0 The response to Item 5(a) is incorporated herein by reference. With respect to Jessica Perkal: (i) her residence address is 111 Rutledge Ave.,</w:t>
      </w:r>
    </w:p>
    <w:p>
      <w:pPr>
        <w:spacing w:after="0" w:line="3" w:lineRule="exact"/>
        <w:rPr>
          <w:sz w:val="20"/>
          <w:szCs w:val="20"/>
          <w:color w:val="auto"/>
        </w:rPr>
      </w:pPr>
    </w:p>
    <w:p>
      <w:pPr>
        <w:ind w:left="920" w:right="40" w:hanging="916"/>
        <w:spacing w:after="0" w:line="237" w:lineRule="auto"/>
        <w:tabs>
          <w:tab w:leader="none" w:pos="9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Charleston, SC 29401; (ii) she is not presently employed; (iii) during the last five years, she has not been convicted in a criminal proceeding (excluding traffic violations or similar misdemeanors); (iv) during the last five years, she has not been a party to a civil proceeding of a judicial or administrative body of competent jurisdiction as a result of which she was or is subject to a judgment, decree or final order enjoining future violations of, or prohibiting or mandating activities subject to, federal or state securities laws or finding any violation with respect to such laws; and (v) she is a citizen of the United States.</w:t>
      </w:r>
    </w:p>
    <w:p>
      <w:pPr>
        <w:spacing w:after="0" w:line="15" w:lineRule="exact"/>
        <w:rPr>
          <w:rFonts w:ascii="Times New Roman" w:cs="Times New Roman" w:eastAsia="Times New Roman" w:hAnsi="Times New Roman"/>
          <w:sz w:val="21"/>
          <w:szCs w:val="21"/>
          <w:color w:val="auto"/>
        </w:rPr>
      </w:pPr>
    </w:p>
    <w:p>
      <w:pPr>
        <w:ind w:left="920" w:right="20"/>
        <w:spacing w:after="0" w:line="25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following transactions in the shares were effected by or on behalf of the Reporting Persons during the past 60 days, each in open market purchases through a broker: On October 9, 2026, Mr. Rattner purchased 1,500 shares for the IRA at a weighted average price of $29.2799 per share. On October 12, 2026, Mr. Perkal, as trust investment adviser, purchased 69,283 shares on behalf of the Disney Dollar Irrevocable Trust at a weighted average price of $29.5843 per share. On October 12, 2026, Mr. Perkal, as trust investment adviser, purchased 27,748 shares on behalf of the Sand Bay Irrevocable</w:t>
      </w:r>
    </w:p>
    <w:p>
      <w:pPr>
        <w:spacing w:after="0" w:line="2" w:lineRule="exact"/>
        <w:rPr>
          <w:rFonts w:ascii="Times New Roman" w:cs="Times New Roman" w:eastAsia="Times New Roman" w:hAnsi="Times New Roman"/>
          <w:sz w:val="21"/>
          <w:szCs w:val="21"/>
          <w:color w:val="auto"/>
        </w:rPr>
      </w:pPr>
    </w:p>
    <w:p>
      <w:pPr>
        <w:ind w:left="920" w:right="80" w:hanging="916"/>
        <w:spacing w:after="0" w:line="237" w:lineRule="auto"/>
        <w:tabs>
          <w:tab w:leader="none" w:pos="9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Trust at a weighted average price of $29.5844 per share. On October 12, 2026, Mr. Perkal purchased 74,496 shares for the Joint Account at a weighted average price of $29.5843 per share. Each weighted average price above reflects multiple transactions at prices ranging from $29.1896 to $29.765, inclusive. The Reporting Persons undertake to provide to the staff of the Securities and Exchange Commission, the Issuer or any security holder of the Issuer, upon request, full information regarding the number of shares purchased at each separate price. Except as set forth in this Item 5(c), no Reporting Person has effected any transaction in the shares during the past 60 days.</w:t>
      </w:r>
    </w:p>
    <w:p>
      <w:pPr>
        <w:spacing w:after="0" w:line="15" w:lineRule="exact"/>
        <w:rPr>
          <w:rFonts w:ascii="Times New Roman" w:cs="Times New Roman" w:eastAsia="Times New Roman" w:hAnsi="Times New Roman"/>
          <w:sz w:val="21"/>
          <w:szCs w:val="21"/>
          <w:color w:val="auto"/>
        </w:rPr>
      </w:pPr>
    </w:p>
    <w:p>
      <w:pPr>
        <w:ind w:left="920" w:right="200"/>
        <w:spacing w:after="0" w:line="25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Each of the Disney Dollar Irrevocable Trust and the Sand Bay Irrevocable Trust (and, through the applicable Trust, its beneficiaries) has the right to receive dividends from, and the proceeds from the sale of, the shares held by such Trust. Jessica Perkal, as a joint holder of the Joint Account, has the right to receive dividends from, and the proceeds from the</w:t>
      </w:r>
    </w:p>
    <w:p>
      <w:pPr>
        <w:spacing w:after="0" w:line="2" w:lineRule="exact"/>
        <w:rPr>
          <w:rFonts w:ascii="Times New Roman" w:cs="Times New Roman" w:eastAsia="Times New Roman" w:hAnsi="Times New Roman"/>
          <w:sz w:val="21"/>
          <w:szCs w:val="21"/>
          <w:color w:val="auto"/>
        </w:rPr>
      </w:pPr>
    </w:p>
    <w:p>
      <w:pPr>
        <w:jc w:val="both"/>
        <w:ind w:left="920" w:right="60" w:hanging="916"/>
        <w:spacing w:after="0" w:line="238" w:lineRule="auto"/>
        <w:tabs>
          <w:tab w:leader="none" w:pos="9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sale of, the shares held in the Joint Account. No such interest relates to more than five percent of the outstanding shares. Except as set forth above, no person other than the Reporting Persons is known to have the right to receive, or the power to direct the receipt of, dividends from, or the proceeds from the sale of, the shares reported herein as beneficially owned by the Reporting Persons.</w:t>
      </w:r>
    </w:p>
    <w:p>
      <w:pPr>
        <w:spacing w:after="0" w:line="15" w:lineRule="exact"/>
        <w:rPr>
          <w:rFonts w:ascii="Times New Roman" w:cs="Times New Roman" w:eastAsia="Times New Roman" w:hAnsi="Times New Roman"/>
          <w:sz w:val="21"/>
          <w:szCs w:val="21"/>
          <w:color w:val="auto"/>
        </w:rPr>
      </w:pPr>
    </w:p>
    <w:p>
      <w:pPr>
        <w:ind w:left="920" w:hanging="916"/>
        <w:spacing w:after="0"/>
        <w:tabs>
          <w:tab w:leader="none" w:pos="9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applicable.</w:t>
      </w:r>
    </w:p>
    <w:p>
      <w:pPr>
        <w:spacing w:after="0" w:line="4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1"/>
          <w:szCs w:val="21"/>
          <w:color w:val="auto"/>
        </w:rPr>
        <w:t>Item 6.</w:t>
      </w:r>
      <w:r>
        <w:rPr>
          <w:sz w:val="20"/>
          <w:szCs w:val="20"/>
          <w:color w:val="auto"/>
        </w:rPr>
        <w:tab/>
      </w:r>
      <w:r>
        <w:rPr>
          <w:rFonts w:ascii="Times New Roman" w:cs="Times New Roman" w:eastAsia="Times New Roman" w:hAnsi="Times New Roman"/>
          <w:sz w:val="20"/>
          <w:szCs w:val="20"/>
          <w:color w:val="auto"/>
        </w:rPr>
        <w:t>Contracts, Arrangements, Understandings or Relationships With Respect to Securities of the Issuer</w:t>
      </w:r>
    </w:p>
    <w:p>
      <w:pPr>
        <w:spacing w:after="0" w:line="47" w:lineRule="exact"/>
        <w:rPr>
          <w:sz w:val="20"/>
          <w:szCs w:val="20"/>
          <w:color w:val="auto"/>
        </w:rPr>
      </w:pPr>
    </w:p>
    <w:p>
      <w:pPr>
        <w:ind w:left="920" w:right="40"/>
        <w:spacing w:after="0" w:line="251" w:lineRule="auto"/>
        <w:rPr>
          <w:sz w:val="20"/>
          <w:szCs w:val="20"/>
          <w:color w:val="auto"/>
        </w:rPr>
      </w:pPr>
      <w:r>
        <w:rPr>
          <w:rFonts w:ascii="Times New Roman" w:cs="Times New Roman" w:eastAsia="Times New Roman" w:hAnsi="Times New Roman"/>
          <w:sz w:val="21"/>
          <w:szCs w:val="21"/>
          <w:color w:val="auto"/>
        </w:rPr>
        <w:t>Item 4 of this Schedule 13D (for the avoidance of doubt including the reference to the Term Sheet therein) is hereby incorporated by reference into this Item 6. The Reporting Persons have entered into a Joint Filing Agreement, dated as of the date hereof, pursuant to which they have agreed to file this Schedule 13D and any amendments thereto jointly in</w:t>
      </w:r>
    </w:p>
    <w:p>
      <w:pPr>
        <w:sectPr>
          <w:pgSz w:w="11900" w:h="16838" w:orient="portrait"/>
          <w:cols w:equalWidth="0" w:num="1">
            <w:col w:w="11140"/>
          </w:cols>
          <w:pgMar w:left="360" w:top="114" w:right="399" w:bottom="0" w:gutter="0" w:footer="0" w:header="0"/>
        </w:sectPr>
      </w:pPr>
    </w:p>
    <w:bookmarkStart w:id="7" w:name="page8"/>
    <w:bookmarkEnd w:id="7"/>
    <w:p>
      <w:pPr>
        <w:ind w:left="920" w:right="100"/>
        <w:spacing w:after="0" w:line="245" w:lineRule="auto"/>
        <w:rPr>
          <w:sz w:val="20"/>
          <w:szCs w:val="20"/>
          <w:color w:val="auto"/>
        </w:rPr>
      </w:pPr>
      <w:r>
        <w:rPr>
          <w:rFonts w:ascii="Times New Roman" w:cs="Times New Roman" w:eastAsia="Times New Roman" w:hAnsi="Times New Roman"/>
          <w:sz w:val="21"/>
          <w:szCs w:val="21"/>
          <w:color w:val="auto"/>
        </w:rPr>
        <w:t>accordance with Rule 13d-1(k) under the Act. A copy of the Joint Filing Agreement is filed as Exhibit 99.5 hereto and is incorporated herein by reference. Except as described herein, there are no contracts, arrangements, understandings or relationships (legal or otherwise) among the Reporting Persons or between the Reporting Persons and any other person with respect to any securities of the Issuer.</w:t>
      </w:r>
    </w:p>
    <w:p>
      <w:pPr>
        <w:spacing w:after="0" w:line="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1"/>
          <w:szCs w:val="21"/>
          <w:color w:val="auto"/>
        </w:rPr>
        <w:t>Item 7.</w:t>
        <w:tab/>
        <w:t>Material to be Filed as Exhibits.</w:t>
      </w:r>
    </w:p>
    <w:p>
      <w:pPr>
        <w:spacing w:after="0" w:line="47" w:lineRule="exact"/>
        <w:rPr>
          <w:sz w:val="20"/>
          <w:szCs w:val="20"/>
          <w:color w:val="auto"/>
        </w:rPr>
      </w:pPr>
    </w:p>
    <w:p>
      <w:pPr>
        <w:ind w:left="920" w:right="100"/>
        <w:spacing w:after="0" w:line="246" w:lineRule="auto"/>
        <w:rPr>
          <w:sz w:val="20"/>
          <w:szCs w:val="20"/>
          <w:color w:val="auto"/>
        </w:rPr>
      </w:pPr>
      <w:r>
        <w:rPr>
          <w:rFonts w:ascii="Times New Roman" w:cs="Times New Roman" w:eastAsia="Times New Roman" w:hAnsi="Times New Roman"/>
          <w:sz w:val="21"/>
          <w:szCs w:val="21"/>
          <w:color w:val="auto"/>
        </w:rPr>
        <w:t>Exhibit 99.1 Proposal, dated October 26, 2026. Exhibit 99.2 Summary of Proposed Terms, dated as of October 26, 2026, by and among Cobblers Cove Capital LP and Arkhouse Management Co. LP Exhibit 99.3 Dine Brands Response Letter, dated October 29, 2026. Exhibit 99.4 Letter to Dine Brands, dated November 2, 2026. Exhibit 99.5 Joint Filing Agreement.</w:t>
      </w:r>
    </w:p>
    <w:p>
      <w:pPr>
        <w:spacing w:after="0" w:line="2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SIGNATURE</w:t>
      </w:r>
    </w:p>
    <w:p>
      <w:pPr>
        <w:spacing w:after="0" w:line="47" w:lineRule="exact"/>
        <w:rPr>
          <w:sz w:val="20"/>
          <w:szCs w:val="20"/>
          <w:color w:val="auto"/>
        </w:rPr>
      </w:pPr>
    </w:p>
    <w:p>
      <w:pPr>
        <w:ind w:left="1440"/>
        <w:spacing w:after="0" w:line="268" w:lineRule="auto"/>
        <w:rPr>
          <w:sz w:val="20"/>
          <w:szCs w:val="20"/>
          <w:color w:val="auto"/>
        </w:rPr>
      </w:pPr>
      <w:r>
        <w:rPr>
          <w:rFonts w:ascii="Times New Roman" w:cs="Times New Roman" w:eastAsia="Times New Roman" w:hAnsi="Times New Roman"/>
          <w:sz w:val="21"/>
          <w:szCs w:val="21"/>
          <w:color w:val="auto"/>
        </w:rPr>
        <w:t>After reasonable inquiry and to the best of my knowledge and belief, I certify that the information set forth in this statement is true, complete and correct.</w:t>
      </w:r>
    </w:p>
    <w:p>
      <w:pPr>
        <w:spacing w:after="0" w:line="28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1"/>
          <w:szCs w:val="21"/>
          <w:color w:val="auto"/>
        </w:rPr>
        <w:t>Cobblers Cove Capital LP</w:t>
      </w:r>
    </w:p>
    <w:p>
      <w:pPr>
        <w:spacing w:after="0" w:line="152" w:lineRule="exact"/>
        <w:rPr>
          <w:sz w:val="20"/>
          <w:szCs w:val="20"/>
          <w:color w:val="auto"/>
        </w:rPr>
      </w:pPr>
    </w:p>
    <w:p>
      <w:pPr>
        <w:ind w:left="5640"/>
        <w:spacing w:after="0"/>
        <w:tabs>
          <w:tab w:leader="none" w:pos="670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0"/>
          <w:szCs w:val="20"/>
          <w:color w:val="auto"/>
        </w:rPr>
        <w:t>Benjamin F. Rattner</w:t>
      </w:r>
    </w:p>
    <w:p>
      <w:pPr>
        <w:spacing w:after="0" w:line="4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21"/>
          <w:szCs w:val="21"/>
          <w:color w:val="auto"/>
        </w:rPr>
        <w:t>By: Benjamin F. Rattner, Managing Member of</w:t>
      </w:r>
    </w:p>
    <w:p>
      <w:pPr>
        <w:spacing w:after="0" w:line="14"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21"/>
          <w:szCs w:val="21"/>
          <w:color w:val="auto"/>
        </w:rPr>
        <w:t>Name/Title: Cobblers Cove Capital Management GP LLC,</w:t>
      </w:r>
    </w:p>
    <w:p>
      <w:pPr>
        <w:jc w:val="right"/>
        <w:ind w:right="640"/>
        <w:spacing w:after="0"/>
        <w:rPr>
          <w:sz w:val="20"/>
          <w:szCs w:val="20"/>
          <w:color w:val="auto"/>
        </w:rPr>
      </w:pPr>
      <w:r>
        <w:rPr>
          <w:rFonts w:ascii="Times New Roman" w:cs="Times New Roman" w:eastAsia="Times New Roman" w:hAnsi="Times New Roman"/>
          <w:sz w:val="21"/>
          <w:szCs w:val="21"/>
          <w:color w:val="auto"/>
        </w:rPr>
        <w:t>General Partner of Cobblers Cove Capital LP</w:t>
      </w:r>
    </w:p>
    <w:p>
      <w:pPr>
        <w:spacing w:after="0" w:line="23" w:lineRule="exact"/>
        <w:rPr>
          <w:sz w:val="20"/>
          <w:szCs w:val="20"/>
          <w:color w:val="auto"/>
        </w:rPr>
      </w:pPr>
    </w:p>
    <w:p>
      <w:pPr>
        <w:ind w:left="5640"/>
        <w:spacing w:after="0"/>
        <w:tabs>
          <w:tab w:leader="none" w:pos="670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11/02/2026</w:t>
      </w:r>
    </w:p>
    <w:p>
      <w:pPr>
        <w:spacing w:after="0" w:line="15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1"/>
          <w:szCs w:val="21"/>
          <w:color w:val="auto"/>
        </w:rPr>
        <w:t>Cobblers Cove Capital Management GP LLC</w:t>
      </w:r>
    </w:p>
    <w:p>
      <w:pPr>
        <w:spacing w:after="0" w:line="152" w:lineRule="exact"/>
        <w:rPr>
          <w:sz w:val="20"/>
          <w:szCs w:val="20"/>
          <w:color w:val="auto"/>
        </w:rPr>
      </w:pPr>
    </w:p>
    <w:p>
      <w:pPr>
        <w:ind w:left="4660"/>
        <w:spacing w:after="0"/>
        <w:tabs>
          <w:tab w:leader="none" w:pos="570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0"/>
          <w:szCs w:val="20"/>
          <w:color w:val="auto"/>
        </w:rPr>
        <w:t>Benjamin F. Rattner</w:t>
      </w:r>
    </w:p>
    <w:p>
      <w:pPr>
        <w:spacing w:after="0" w:line="4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1"/>
          <w:szCs w:val="21"/>
          <w:color w:val="auto"/>
        </w:rPr>
        <w:t>Name/Title: Benjamin F. Rattner, Managing Member</w:t>
      </w:r>
    </w:p>
    <w:p>
      <w:pPr>
        <w:spacing w:after="0" w:line="47" w:lineRule="exact"/>
        <w:rPr>
          <w:sz w:val="20"/>
          <w:szCs w:val="20"/>
          <w:color w:val="auto"/>
        </w:rPr>
      </w:pPr>
    </w:p>
    <w:p>
      <w:pPr>
        <w:ind w:left="4660"/>
        <w:spacing w:after="0"/>
        <w:tabs>
          <w:tab w:leader="none" w:pos="570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11/02/2026</w:t>
      </w:r>
    </w:p>
    <w:p>
      <w:pPr>
        <w:spacing w:after="0" w:line="1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1"/>
          <w:szCs w:val="21"/>
          <w:color w:val="auto"/>
        </w:rPr>
        <w:t>Matthew Perkal</w:t>
      </w:r>
    </w:p>
    <w:p>
      <w:pPr>
        <w:spacing w:after="0" w:line="152" w:lineRule="exact"/>
        <w:rPr>
          <w:sz w:val="20"/>
          <w:szCs w:val="20"/>
          <w:color w:val="auto"/>
        </w:rPr>
      </w:pPr>
    </w:p>
    <w:p>
      <w:pPr>
        <w:ind w:left="2580"/>
        <w:spacing w:after="0"/>
        <w:tabs>
          <w:tab w:leader="none" w:pos="3620" w:val="left"/>
        </w:tabs>
        <w:rPr>
          <w:sz w:val="20"/>
          <w:szCs w:val="20"/>
          <w:color w:val="auto"/>
        </w:rPr>
      </w:pPr>
      <w:r>
        <w:rPr>
          <w:rFonts w:ascii="Times New Roman" w:cs="Times New Roman" w:eastAsia="Times New Roman" w:hAnsi="Times New Roman"/>
          <w:sz w:val="21"/>
          <w:szCs w:val="21"/>
          <w:color w:val="auto"/>
        </w:rPr>
        <w:t>Signature:</w:t>
        <w:tab/>
        <w:t>Matthew Perkal</w:t>
      </w:r>
    </w:p>
    <w:p>
      <w:pPr>
        <w:spacing w:after="0" w:line="4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color w:val="auto"/>
        </w:rPr>
        <w:t>Name/Title: Matthew Perkal</w:t>
      </w:r>
    </w:p>
    <w:p>
      <w:pPr>
        <w:spacing w:after="0" w:line="47" w:lineRule="exact"/>
        <w:rPr>
          <w:sz w:val="20"/>
          <w:szCs w:val="20"/>
          <w:color w:val="auto"/>
        </w:rPr>
      </w:pPr>
    </w:p>
    <w:p>
      <w:pPr>
        <w:ind w:left="2580"/>
        <w:spacing w:after="0"/>
        <w:tabs>
          <w:tab w:leader="none" w:pos="36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11/02/2026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Benjamin F. Rattner</w:t>
      </w:r>
    </w:p>
    <w:p>
      <w:pPr>
        <w:spacing w:after="0" w:line="152" w:lineRule="exact"/>
        <w:rPr>
          <w:sz w:val="20"/>
          <w:szCs w:val="20"/>
          <w:color w:val="auto"/>
        </w:rPr>
      </w:pPr>
    </w:p>
    <w:p>
      <w:pPr>
        <w:ind w:left="2940"/>
        <w:spacing w:after="0"/>
        <w:tabs>
          <w:tab w:leader="none" w:pos="398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0"/>
          <w:szCs w:val="20"/>
          <w:color w:val="auto"/>
        </w:rPr>
        <w:t>Benjamin F. Rattner</w:t>
      </w:r>
    </w:p>
    <w:p>
      <w:pPr>
        <w:spacing w:after="0" w:line="4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1"/>
          <w:szCs w:val="21"/>
          <w:color w:val="auto"/>
        </w:rPr>
        <w:t>Name/Title: Benjamin F. Rattner</w:t>
      </w:r>
    </w:p>
    <w:p>
      <w:pPr>
        <w:spacing w:after="0" w:line="47" w:lineRule="exact"/>
        <w:rPr>
          <w:sz w:val="20"/>
          <w:szCs w:val="20"/>
          <w:color w:val="auto"/>
        </w:rPr>
      </w:pPr>
    </w:p>
    <w:p>
      <w:pPr>
        <w:ind w:left="2940"/>
        <w:spacing w:after="0"/>
        <w:tabs>
          <w:tab w:leader="none" w:pos="398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11/02/2026</w:t>
      </w:r>
    </w:p>
    <w:p>
      <w:pPr>
        <w:sectPr>
          <w:pgSz w:w="11900" w:h="16838" w:orient="portrait"/>
          <w:cols w:equalWidth="0" w:num="1">
            <w:col w:w="11160"/>
          </w:cols>
          <w:pgMar w:left="360" w:top="114" w:right="37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7720" w:type="dxa"/>
            <w:vAlign w:val="bottom"/>
          </w:tcPr>
          <w:p>
            <w:pPr>
              <w:jc w:val="center"/>
              <w:ind w:right="3412"/>
              <w:spacing w:after="0"/>
              <w:rPr>
                <w:sz w:val="20"/>
                <w:szCs w:val="20"/>
                <w:color w:val="auto"/>
              </w:rPr>
            </w:pPr>
            <w:r>
              <w:rPr>
                <w:rFonts w:ascii="Times New Roman" w:cs="Times New Roman" w:eastAsia="Times New Roman" w:hAnsi="Times New Roman"/>
                <w:sz w:val="18"/>
                <w:szCs w:val="18"/>
                <w:b w:val="1"/>
                <w:bCs w:val="1"/>
                <w:color w:val="auto"/>
                <w:w w:val="96"/>
              </w:rPr>
              <w:t>Exhibit 99.1</w:t>
            </w:r>
          </w:p>
        </w:tc>
      </w:tr>
      <w:tr>
        <w:trPr>
          <w:trHeight w:val="420"/>
        </w:trPr>
        <w:tc>
          <w:tcPr>
            <w:tcW w:w="3520" w:type="dxa"/>
            <w:vAlign w:val="bottom"/>
          </w:tcPr>
          <w:p>
            <w:pPr>
              <w:spacing w:after="0"/>
              <w:rPr>
                <w:sz w:val="24"/>
                <w:szCs w:val="24"/>
                <w:color w:val="auto"/>
              </w:rPr>
            </w:pPr>
          </w:p>
        </w:tc>
        <w:tc>
          <w:tcPr>
            <w:tcW w:w="7720" w:type="dxa"/>
            <w:vAlign w:val="bottom"/>
          </w:tcPr>
          <w:p>
            <w:pPr>
              <w:jc w:val="center"/>
              <w:ind w:right="3412"/>
              <w:spacing w:after="0"/>
              <w:rPr>
                <w:sz w:val="20"/>
                <w:szCs w:val="20"/>
                <w:color w:val="auto"/>
              </w:rPr>
            </w:pPr>
            <w:r>
              <w:rPr>
                <w:rFonts w:ascii="Times New Roman" w:cs="Times New Roman" w:eastAsia="Times New Roman" w:hAnsi="Times New Roman"/>
                <w:sz w:val="18"/>
                <w:szCs w:val="18"/>
                <w:color w:val="auto"/>
                <w:w w:val="99"/>
              </w:rPr>
              <w:t>to</w:t>
            </w:r>
          </w:p>
        </w:tc>
      </w:tr>
      <w:tr>
        <w:trPr>
          <w:trHeight w:val="420"/>
        </w:trPr>
        <w:tc>
          <w:tcPr>
            <w:tcW w:w="3520" w:type="dxa"/>
            <w:vAlign w:val="bottom"/>
          </w:tcPr>
          <w:p>
            <w:pPr>
              <w:spacing w:after="0"/>
              <w:rPr>
                <w:sz w:val="24"/>
                <w:szCs w:val="24"/>
                <w:color w:val="auto"/>
              </w:rPr>
            </w:pPr>
          </w:p>
        </w:tc>
        <w:tc>
          <w:tcPr>
            <w:tcW w:w="7720" w:type="dxa"/>
            <w:vAlign w:val="bottom"/>
          </w:tcPr>
          <w:p>
            <w:pPr>
              <w:jc w:val="center"/>
              <w:ind w:right="3412"/>
              <w:spacing w:after="0"/>
              <w:rPr>
                <w:sz w:val="20"/>
                <w:szCs w:val="20"/>
                <w:color w:val="auto"/>
              </w:rPr>
            </w:pPr>
            <w:r>
              <w:rPr>
                <w:rFonts w:ascii="Times New Roman" w:cs="Times New Roman" w:eastAsia="Times New Roman" w:hAnsi="Times New Roman"/>
                <w:sz w:val="18"/>
                <w:szCs w:val="18"/>
                <w:b w:val="1"/>
                <w:bCs w:val="1"/>
                <w:color w:val="auto"/>
                <w:w w:val="96"/>
              </w:rPr>
              <w:t>SCHEDULE 13D</w:t>
            </w:r>
          </w:p>
        </w:tc>
      </w:tr>
      <w:tr>
        <w:trPr>
          <w:trHeight w:val="420"/>
        </w:trPr>
        <w:tc>
          <w:tcPr>
            <w:tcW w:w="3520" w:type="dxa"/>
            <w:vAlign w:val="bottom"/>
          </w:tcPr>
          <w:p>
            <w:pPr>
              <w:spacing w:after="0"/>
              <w:rPr>
                <w:sz w:val="24"/>
                <w:szCs w:val="24"/>
                <w:color w:val="auto"/>
              </w:rPr>
            </w:pPr>
          </w:p>
        </w:tc>
        <w:tc>
          <w:tcPr>
            <w:tcW w:w="7720" w:type="dxa"/>
            <w:vAlign w:val="bottom"/>
          </w:tcPr>
          <w:p>
            <w:pPr>
              <w:jc w:val="center"/>
              <w:ind w:right="3412"/>
              <w:spacing w:after="0"/>
              <w:rPr>
                <w:sz w:val="20"/>
                <w:szCs w:val="20"/>
                <w:color w:val="auto"/>
              </w:rPr>
            </w:pPr>
            <w:r>
              <w:rPr>
                <w:rFonts w:ascii="Times New Roman" w:cs="Times New Roman" w:eastAsia="Times New Roman" w:hAnsi="Times New Roman"/>
                <w:sz w:val="18"/>
                <w:szCs w:val="18"/>
                <w:i w:val="1"/>
                <w:iCs w:val="1"/>
                <w:color w:val="auto"/>
                <w:w w:val="97"/>
              </w:rPr>
              <w:t>Under the Securities Exchange Act of 1934</w:t>
            </w:r>
          </w:p>
        </w:tc>
      </w:tr>
      <w:tr>
        <w:trPr>
          <w:trHeight w:val="211"/>
        </w:trPr>
        <w:tc>
          <w:tcPr>
            <w:tcW w:w="3520" w:type="dxa"/>
            <w:vAlign w:val="bottom"/>
            <w:tcBorders>
              <w:bottom w:val="single" w:sz="8" w:color="auto"/>
            </w:tcBorders>
          </w:tcPr>
          <w:p>
            <w:pPr>
              <w:spacing w:after="0"/>
              <w:rPr>
                <w:sz w:val="18"/>
                <w:szCs w:val="18"/>
                <w:color w:val="auto"/>
              </w:rPr>
            </w:pPr>
          </w:p>
        </w:tc>
        <w:tc>
          <w:tcPr>
            <w:tcW w:w="7720" w:type="dxa"/>
            <w:vAlign w:val="bottom"/>
            <w:tcBorders>
              <w:bottom w:val="single" w:sz="8" w:color="auto"/>
            </w:tcBorders>
          </w:tcPr>
          <w:p>
            <w:pPr>
              <w:spacing w:after="0"/>
              <w:rPr>
                <w:sz w:val="18"/>
                <w:szCs w:val="18"/>
                <w:color w:val="auto"/>
              </w:rPr>
            </w:pPr>
          </w:p>
        </w:tc>
      </w:tr>
      <w:tr>
        <w:trPr>
          <w:trHeight w:val="229"/>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Dine Brands Global, Inc.</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229"/>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 Stock, par value $0.01 per share</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229"/>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254423106</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211"/>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Filed by (Reporting Person(s))</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Cobblers Cove Capital LP, Cobblers Cove Capital Management GP LLC, Matthew Perkal, Benjamin F.</w:t>
            </w:r>
          </w:p>
        </w:tc>
      </w:tr>
      <w:tr>
        <w:trPr>
          <w:trHeight w:val="228"/>
        </w:trPr>
        <w:tc>
          <w:tcPr>
            <w:tcW w:w="352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Rattner</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229"/>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Item of Schedule 13D</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Item 7 (Material to Be Filed as Exhibits)</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229"/>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Proposal, dated October 26, 2026</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650"/>
        </w:trPr>
        <w:tc>
          <w:tcPr>
            <w:tcW w:w="352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October 26, 2026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Email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Dine Brands Global,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West Walnut Street, 5th Floor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Pasadena, California 91103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Non-Binding Proposal to Acquire Dine Brands Global, Inc.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Members of the Board:</w:t>
      </w:r>
    </w:p>
    <w:p>
      <w:pPr>
        <w:spacing w:after="0" w:line="21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behalf of Cobblers Cove Capital LP (“Cobblers Cove”) and Arkhouse Management Co. LP (“Arkhouse” and, together with Cobblers Cove, “we” or “us”), we are pleased to submit this confidential, non-binding proposal to acquire all of the outstanding common stock of Dine Brands Global, Inc. (the “Company” or “you”) for $39.00 per share in cash (the “Proposed Transaction”). Our proposal represents a premium of 32.8% to the Company’s 30-day volume-weighted average price (“VWAP”) and 25.4% to its closing price of $31.10 on October 23, 2026, and would deliver immediate and certain value to the Company’s stockholders. We are optimistic that, with access to management and the opportunity to conduct confirmatory due diligence, we will identify additional value that would allow us to increase our proposed price.</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have great respect for Applebee’s and IHOP, their franchisees, and the Company’s management team. Under John Peyton’s leadership, the Company has navigated a difficult environment for casual and family dining while advancing initiatives such as dual-brand development, and we would welcome the opportunity to partner with John and his team in the next chapter of the business. We do not believe the public markets are the right home for that chapter. The investments these brands need will pay back over several years, yet the Company is judged quarter to quarter on results those same investments may temporarily depress.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Cobblers Cove is an asset management firm with $1 billion of committed capital dedicated to control transactions. Its team has a long record of control and minority investments in consumer and retail businesses, with experience spanning some of the sector’s most complex transactions, including, most recently, the carve-out of Family Dollar, as well as JCPenney, Sears, Neiman Marcus, Nine West (n/k/a Premier Brands) and Barneys.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Arkhouse is a New York-based investment firm that focuses on M&amp;A strategies, including public-to-private transactions. Arkhouse’s team of professionals consists of private and public equity specialists who have closed $25+ billion of transactions and have an 18-year record of investing in and engaging with public companies.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Based on publicly available information and our extensive industry knowledge, we are pleased to submit this preliminary, non-binding proposal regarding the Proposed Transaction (the “Proposal”).</w:t>
      </w:r>
    </w:p>
    <w:p>
      <w:pPr>
        <w:spacing w:after="0" w:line="170" w:lineRule="exact"/>
        <w:rPr>
          <w:sz w:val="20"/>
          <w:szCs w:val="20"/>
          <w:color w:val="auto"/>
        </w:rPr>
      </w:pPr>
    </w:p>
    <w:p>
      <w:pPr>
        <w:ind w:left="640" w:hanging="320"/>
        <w:spacing w:after="0" w:line="267"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The purchaser would be a newly formed entity controlled by Cobblers Cove and Arkhouse, capitalized by funds and accounts managed by us.</w:t>
      </w:r>
    </w:p>
    <w:p>
      <w:pPr>
        <w:spacing w:after="0" w:line="169" w:lineRule="exact"/>
        <w:rPr>
          <w:rFonts w:ascii="Times New Roman" w:cs="Times New Roman" w:eastAsia="Times New Roman" w:hAnsi="Times New Roman"/>
          <w:sz w:val="18"/>
          <w:szCs w:val="18"/>
          <w:color w:val="auto"/>
        </w:rPr>
      </w:pPr>
    </w:p>
    <w:p>
      <w:pPr>
        <w:jc w:val="both"/>
        <w:ind w:left="640" w:hanging="320"/>
        <w:spacing w:after="0" w:line="255"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We propose to acquire 100% of the outstanding common stock of the Company for $39.00 per share in cash. This price represents a premium of 32.8% to the Company’s 30-day VWAP of $29.37 and 25.4% to its closing price of $31.10 on October 23, 2026. Our Proposal is subject to confirmatory due diligence and the negotiation and execution of a mutually acceptable definitive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1361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0" w:name="page11"/>
    <w:bookmarkEnd w:id="10"/>
    <w:p>
      <w:pPr>
        <w:jc w:val="both"/>
        <w:ind w:left="640" w:hanging="320"/>
        <w:spacing w:after="0" w:line="248"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for Valuation</w:t>
      </w:r>
      <w:r>
        <w:rPr>
          <w:rFonts w:ascii="Times New Roman" w:cs="Times New Roman" w:eastAsia="Times New Roman" w:hAnsi="Times New Roman"/>
          <w:sz w:val="18"/>
          <w:szCs w:val="18"/>
          <w:color w:val="auto"/>
        </w:rPr>
        <w:t>: Our proposed price reflects our analysis of the Company’s current cash flow profile and historical financial performance, including capital expenditure needs, and implied return on investment calculations under certain scenarios. In addition, we have analyzed valuations of selected public companies and past M&amp;A transactions in the restaurant sector for businesses with similar operating and financial profiles. Further, our proposed price assumes (i) that the Company has a generally financially healthy and profitable franchisee base, (ii) the number of outstanding shares and share equivalents of the Company remains unchanged from the number outstanding today, (iii) the Company’s net indebtedness is consistent with its most recent public filings and (iv) the Company pays no dividends other than its regular quarterly dividend.</w:t>
      </w:r>
    </w:p>
    <w:p>
      <w:pPr>
        <w:spacing w:after="0" w:line="187" w:lineRule="exact"/>
        <w:rPr>
          <w:rFonts w:ascii="Times New Roman" w:cs="Times New Roman" w:eastAsia="Times New Roman" w:hAnsi="Times New Roman"/>
          <w:sz w:val="18"/>
          <w:szCs w:val="18"/>
          <w:color w:val="auto"/>
        </w:rPr>
      </w:pPr>
    </w:p>
    <w:p>
      <w:pPr>
        <w:jc w:val="both"/>
        <w:ind w:left="640" w:hanging="320"/>
        <w:spacing w:after="0" w:line="255"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The Proposed Transaction is not subject to any financing condition. We expect to finance the Proposed Transaction through a combination of equity and whole business securitization (WBS) debt, with a bridge facility for the full debt amount that would be committed at the signing of a definitive agreement. Our equity will be committed in full at signing by funds and accounts managed by us.</w:t>
      </w:r>
    </w:p>
    <w:p>
      <w:pPr>
        <w:spacing w:after="0" w:line="180" w:lineRule="exact"/>
        <w:rPr>
          <w:rFonts w:ascii="Times New Roman" w:cs="Times New Roman" w:eastAsia="Times New Roman" w:hAnsi="Times New Roman"/>
          <w:sz w:val="18"/>
          <w:szCs w:val="18"/>
          <w:color w:val="auto"/>
        </w:rPr>
      </w:pPr>
    </w:p>
    <w:p>
      <w:pPr>
        <w:jc w:val="both"/>
        <w:ind w:left="640" w:hanging="320"/>
        <w:spacing w:after="0" w:line="247"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Requirements</w:t>
      </w:r>
      <w:r>
        <w:rPr>
          <w:rFonts w:ascii="Times New Roman" w:cs="Times New Roman" w:eastAsia="Times New Roman" w:hAnsi="Times New Roman"/>
          <w:sz w:val="18"/>
          <w:szCs w:val="18"/>
          <w:color w:val="auto"/>
        </w:rPr>
        <w:t>: Based on our sector knowledge and experience, we believe that we can complete our confirmatory due diligence in 4 to 6 weeks with reasonable access to Company-related information and its management team. We are prepared to enter into a customary confidentiality agreement immediately. This Proposal and our willingness to enter into definitive legal documentation for the Proposed Transaction is conditioned on our satisfaction with the results of our confirmatory due diligence (including franchisee health, quality of earnings, and customary legal, tax, accounting and employee benefits matters). We would expect to complete this due diligence expeditiously and have engaged legal (Paul, Weiss, Rifkind, Wharton &amp; Garrison LLP), financial, accounting and other third-party advisors that are prepared to commence due diligence as soon as possible.</w:t>
      </w:r>
    </w:p>
    <w:p>
      <w:pPr>
        <w:spacing w:after="0" w:line="189" w:lineRule="exact"/>
        <w:rPr>
          <w:rFonts w:ascii="Times New Roman" w:cs="Times New Roman" w:eastAsia="Times New Roman" w:hAnsi="Times New Roman"/>
          <w:sz w:val="18"/>
          <w:szCs w:val="18"/>
          <w:color w:val="auto"/>
        </w:rPr>
      </w:pPr>
    </w:p>
    <w:p>
      <w:pPr>
        <w:jc w:val="both"/>
        <w:ind w:left="640" w:hanging="320"/>
        <w:spacing w:after="0" w:line="293" w:lineRule="auto"/>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Future Intentions</w:t>
      </w:r>
      <w:r>
        <w:rPr>
          <w:rFonts w:ascii="Times New Roman" w:cs="Times New Roman" w:eastAsia="Times New Roman" w:hAnsi="Times New Roman"/>
          <w:sz w:val="16"/>
          <w:szCs w:val="16"/>
          <w:color w:val="auto"/>
        </w:rPr>
        <w:t>: Under our ownership, we believe the Company would benefit from strengthening and growing the business, away from the short-term pressures of the public markets. We would leverage the Company’s strong brands together with its technology infrastructure, bring fresh focus to menu innovation and franchisee performance and drive growth in existing and new territories and markets. We hold the Company’s management team in high regard and have not had any discussions with them regarding their roles or compensation following the Proposed Transaction.</w:t>
      </w:r>
    </w:p>
    <w:p>
      <w:pPr>
        <w:spacing w:after="0" w:line="151" w:lineRule="exact"/>
        <w:rPr>
          <w:rFonts w:ascii="Times New Roman" w:cs="Times New Roman" w:eastAsia="Times New Roman" w:hAnsi="Times New Roman"/>
          <w:sz w:val="16"/>
          <w:szCs w:val="16"/>
          <w:color w:val="auto"/>
        </w:rPr>
      </w:pPr>
    </w:p>
    <w:p>
      <w:pPr>
        <w:jc w:val="both"/>
        <w:ind w:left="640" w:hanging="320"/>
        <w:spacing w:after="0" w:line="251"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Approvals and Timing</w:t>
      </w:r>
      <w:r>
        <w:rPr>
          <w:rFonts w:ascii="Times New Roman" w:cs="Times New Roman" w:eastAsia="Times New Roman" w:hAnsi="Times New Roman"/>
          <w:sz w:val="18"/>
          <w:szCs w:val="18"/>
          <w:color w:val="auto"/>
        </w:rPr>
        <w:t>: Other than the approval of the Company’s stockholders and customary antitrust filings, we do not anticipate requiring any external approvals. We have received preliminary approval from our investment committees and we do not foresee any issues in obtaining final approvals for the Proposed Transaction subject to satisfactory due diligence and negotiation of a definitive agreement. We believe we could sign a definitive agreement within six to eight weeks of receiving due diligence access.</w:t>
      </w:r>
    </w:p>
    <w:p>
      <w:pPr>
        <w:spacing w:after="0" w:line="184"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Contact Details</w:t>
      </w:r>
      <w:r>
        <w:rPr>
          <w:rFonts w:ascii="Times New Roman" w:cs="Times New Roman" w:eastAsia="Times New Roman" w:hAnsi="Times New Roman"/>
          <w:sz w:val="18"/>
          <w:szCs w:val="18"/>
          <w:color w:val="auto"/>
        </w:rPr>
        <w:t>: The following are available to answer any questions: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Cobblers Cove Capital LP</w:t>
            </w:r>
          </w:p>
        </w:tc>
        <w:tc>
          <w:tcPr>
            <w:tcW w:w="670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Arkhouse Management Co. LP</w:t>
            </w:r>
          </w:p>
        </w:tc>
      </w:tr>
      <w:tr>
        <w:trPr>
          <w:trHeight w:val="210"/>
        </w:trPr>
        <w:tc>
          <w:tcPr>
            <w:tcW w:w="45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Matthew Perkal</w:t>
            </w:r>
          </w:p>
        </w:tc>
        <w:tc>
          <w:tcPr>
            <w:tcW w:w="67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Gavriel Kahane</w:t>
            </w:r>
          </w:p>
        </w:tc>
      </w:tr>
      <w:tr>
        <w:trPr>
          <w:trHeight w:val="210"/>
        </w:trPr>
        <w:tc>
          <w:tcPr>
            <w:tcW w:w="45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Managing Partner</w:t>
            </w:r>
          </w:p>
        </w:tc>
        <w:tc>
          <w:tcPr>
            <w:tcW w:w="67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Managing Partner</w:t>
            </w:r>
          </w:p>
        </w:tc>
      </w:tr>
      <w:tr>
        <w:trPr>
          <w:trHeight w:val="210"/>
        </w:trPr>
        <w:tc>
          <w:tcPr>
            <w:tcW w:w="45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mp@cobblerscovecapital.com</w:t>
            </w:r>
          </w:p>
        </w:tc>
        <w:tc>
          <w:tcPr>
            <w:tcW w:w="67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gavriel@arkhousefund.com</w:t>
            </w:r>
          </w:p>
        </w:tc>
      </w:tr>
      <w:tr>
        <w:trPr>
          <w:trHeight w:val="228"/>
        </w:trPr>
        <w:tc>
          <w:tcPr>
            <w:tcW w:w="45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 (914) 589-8893</w:t>
            </w:r>
          </w:p>
        </w:tc>
        <w:tc>
          <w:tcPr>
            <w:tcW w:w="67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 (201) 621-3603</w:t>
            </w:r>
          </w:p>
        </w:tc>
      </w:tr>
      <w:tr>
        <w:trPr>
          <w:trHeight w:val="657"/>
        </w:trPr>
        <w:tc>
          <w:tcPr>
            <w:tcW w:w="454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3" w:right="339" w:bottom="1440" w:gutter="0" w:footer="0" w:header="0"/>
        </w:sectPr>
      </w:pPr>
    </w:p>
    <w:bookmarkStart w:id="11" w:name="page12"/>
    <w:bookmarkEnd w:id="11"/>
    <w:p>
      <w:pPr>
        <w:jc w:val="both"/>
        <w:spacing w:after="0" w:line="248" w:lineRule="auto"/>
        <w:rPr>
          <w:sz w:val="20"/>
          <w:szCs w:val="20"/>
          <w:color w:val="auto"/>
        </w:rPr>
      </w:pPr>
      <w:r>
        <w:rPr>
          <w:rFonts w:ascii="Times New Roman" w:cs="Times New Roman" w:eastAsia="Times New Roman" w:hAnsi="Times New Roman"/>
          <w:sz w:val="18"/>
          <w:szCs w:val="18"/>
          <w:color w:val="auto"/>
        </w:rPr>
        <w:t>This letter is being delivered to you on a confidential basis. Accordingly, we ask that you keep the terms of this letter, and the fact that discussions and negotiations are taking place regarding this letter and the Proposed Transaction, strictly confidential; provided, however, you may make disclosures to your representatives who have a need to know such information in connection with evaluating, negotiating and consummating the Proposed Transaction, or as required to comply with applicable laws. Please note that this letter represents a non-binding indication of interest and does not create any legally binding obligation on any party, and the Proposed Transaction would be subject to the completion of our confirmatory due diligence, negotiation and the execution of definitive agreements containing customary terms and conditions for a transaction of this type and size.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look forward to working with you toward the Proposed Transaction as soon as practicable. We respectfully request that this letter be shared promptly with all members of the Board. Should you have any questions about our Proposal or require any additional information, please contact Matthew Perkal from Cobblers Cove at +1 (914) 589-8893.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Sincerely,</w:t>
            </w:r>
          </w:p>
        </w:tc>
        <w:tc>
          <w:tcPr>
            <w:tcW w:w="5500" w:type="dxa"/>
            <w:vAlign w:val="bottom"/>
          </w:tcPr>
          <w:p>
            <w:pPr>
              <w:spacing w:after="0"/>
              <w:rPr>
                <w:sz w:val="19"/>
                <w:szCs w:val="19"/>
                <w:color w:val="auto"/>
              </w:rPr>
            </w:pPr>
          </w:p>
        </w:tc>
      </w:tr>
      <w:tr>
        <w:trPr>
          <w:trHeight w:val="420"/>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Matthew Perkal</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 Gavriel Kahane</w:t>
            </w:r>
          </w:p>
        </w:tc>
      </w:tr>
      <w:tr>
        <w:trPr>
          <w:trHeight w:val="185"/>
        </w:trPr>
        <w:tc>
          <w:tcPr>
            <w:tcW w:w="20" w:type="dxa"/>
            <w:vAlign w:val="bottom"/>
          </w:tcPr>
          <w:p>
            <w:pPr>
              <w:spacing w:after="0"/>
              <w:rPr>
                <w:sz w:val="16"/>
                <w:szCs w:val="16"/>
                <w:color w:val="auto"/>
              </w:rPr>
            </w:pPr>
          </w:p>
        </w:tc>
        <w:tc>
          <w:tcPr>
            <w:tcW w:w="55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Matthew Perkal</w:t>
            </w:r>
          </w:p>
        </w:tc>
        <w:tc>
          <w:tcPr>
            <w:tcW w:w="220" w:type="dxa"/>
            <w:vAlign w:val="bottom"/>
          </w:tcPr>
          <w:p>
            <w:pPr>
              <w:spacing w:after="0"/>
              <w:rPr>
                <w:sz w:val="16"/>
                <w:szCs w:val="16"/>
                <w:color w:val="auto"/>
              </w:rPr>
            </w:pPr>
          </w:p>
        </w:tc>
        <w:tc>
          <w:tcPr>
            <w:tcW w:w="55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Gavriel Kahane</w:t>
            </w:r>
          </w:p>
        </w:tc>
      </w:tr>
      <w:tr>
        <w:trPr>
          <w:trHeight w:val="210"/>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Managing Partner</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r>
        <w:trPr>
          <w:trHeight w:val="228"/>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Cobblers Cove Capital LP</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Arkhouse Management Co. LP</w:t>
            </w:r>
          </w:p>
        </w:tc>
      </w:tr>
      <w:tr>
        <w:trPr>
          <w:trHeight w:val="420"/>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cc:</w:t>
            </w:r>
          </w:p>
        </w:tc>
        <w:tc>
          <w:tcPr>
            <w:tcW w:w="5500" w:type="dxa"/>
            <w:vAlign w:val="bottom"/>
          </w:tcPr>
          <w:p>
            <w:pPr>
              <w:spacing w:after="0"/>
              <w:rPr>
                <w:sz w:val="24"/>
                <w:szCs w:val="24"/>
                <w:color w:val="auto"/>
              </w:rPr>
            </w:pPr>
          </w:p>
        </w:tc>
      </w:tr>
      <w:tr>
        <w:trPr>
          <w:trHeight w:val="402"/>
        </w:trPr>
        <w:tc>
          <w:tcPr>
            <w:tcW w:w="20" w:type="dxa"/>
            <w:vAlign w:val="bottom"/>
          </w:tcPr>
          <w:p>
            <w:pPr>
              <w:spacing w:after="0"/>
              <w:rPr>
                <w:sz w:val="24"/>
                <w:szCs w:val="24"/>
                <w:color w:val="auto"/>
              </w:rPr>
            </w:pPr>
          </w:p>
        </w:tc>
        <w:tc>
          <w:tcPr>
            <w:tcW w:w="5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Jeff Marell</w:t>
            </w:r>
          </w:p>
        </w:tc>
        <w:tc>
          <w:tcPr>
            <w:tcW w:w="55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Partner</w:t>
            </w:r>
          </w:p>
        </w:tc>
        <w:tc>
          <w:tcPr>
            <w:tcW w:w="55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5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Paul, Weiss, Rifkind, Wharton &amp; Garrison LLP</w:t>
            </w:r>
          </w:p>
        </w:tc>
        <w:tc>
          <w:tcPr>
            <w:tcW w:w="5500" w:type="dxa"/>
            <w:vAlign w:val="bottom"/>
          </w:tcPr>
          <w:p>
            <w:pPr>
              <w:spacing w:after="0"/>
              <w:rPr>
                <w:sz w:val="19"/>
                <w:szCs w:val="19"/>
                <w:color w:val="auto"/>
              </w:rPr>
            </w:pPr>
          </w:p>
        </w:tc>
      </w:tr>
      <w:tr>
        <w:trPr>
          <w:trHeight w:val="402"/>
        </w:trPr>
        <w:tc>
          <w:tcPr>
            <w:tcW w:w="20" w:type="dxa"/>
            <w:vAlign w:val="bottom"/>
          </w:tcPr>
          <w:p>
            <w:pPr>
              <w:spacing w:after="0"/>
              <w:rPr>
                <w:sz w:val="24"/>
                <w:szCs w:val="24"/>
                <w:color w:val="auto"/>
              </w:rPr>
            </w:pPr>
          </w:p>
        </w:tc>
        <w:tc>
          <w:tcPr>
            <w:tcW w:w="5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Cullen Sinclair</w:t>
            </w:r>
          </w:p>
        </w:tc>
        <w:tc>
          <w:tcPr>
            <w:tcW w:w="55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Partner</w:t>
            </w:r>
          </w:p>
        </w:tc>
        <w:tc>
          <w:tcPr>
            <w:tcW w:w="55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5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Paul, Weiss, Rifkind, Wharton &amp; Garrison LLP</w:t>
            </w:r>
          </w:p>
        </w:tc>
        <w:tc>
          <w:tcPr>
            <w:tcW w:w="5500" w:type="dxa"/>
            <w:vAlign w:val="bottom"/>
          </w:tcPr>
          <w:p>
            <w:pPr>
              <w:spacing w:after="0"/>
              <w:rPr>
                <w:sz w:val="19"/>
                <w:szCs w:val="19"/>
                <w:color w:val="auto"/>
              </w:rPr>
            </w:pPr>
          </w:p>
        </w:tc>
      </w:tr>
      <w:tr>
        <w:trPr>
          <w:trHeight w:val="657"/>
        </w:trPr>
        <w:tc>
          <w:tcPr>
            <w:tcW w:w="2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3" w:right="339" w:bottom="1440" w:gutter="0" w:footer="0" w:header="0"/>
        </w:sectPr>
      </w:pPr>
    </w:p>
    <w:bookmarkStart w:id="12" w:name="page13"/>
    <w:bookmarkEnd w:id="12"/>
    <w:p>
      <w:pPr>
        <w:jc w:val="right"/>
        <w:ind w:left="10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222250</wp:posOffset>
            </wp:positionV>
            <wp:extent cx="71361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8255"/>
                    </a:xfrm>
                    <a:prstGeom prst="rect">
                      <a:avLst/>
                    </a:prstGeom>
                    <a:noFill/>
                  </pic:spPr>
                </pic:pic>
              </a:graphicData>
            </a:graphic>
          </wp:anchor>
        </w:drawing>
        <w:t>CONFIDENTIAL TREATMENT REQUESTED BY COBBLERS COVE CAPITAL LP, COBBLERS COVE CAPITAL MANAGEMENT GP LLC, MATTHEW PERKAL, AND BENJAMIN F. RATTNER PURSUANT TO RULE 24b-2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1361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3520" w:type="dxa"/>
            <w:vAlign w:val="bottom"/>
          </w:tcPr>
          <w:p>
            <w:pPr>
              <w:spacing w:after="0"/>
              <w:rPr>
                <w:sz w:val="18"/>
                <w:szCs w:val="18"/>
                <w:color w:val="auto"/>
              </w:rPr>
            </w:pPr>
          </w:p>
        </w:tc>
        <w:tc>
          <w:tcPr>
            <w:tcW w:w="7720" w:type="dxa"/>
            <w:vAlign w:val="bottom"/>
          </w:tcPr>
          <w:p>
            <w:pPr>
              <w:jc w:val="center"/>
              <w:ind w:right="3412"/>
              <w:spacing w:after="0"/>
              <w:rPr>
                <w:sz w:val="20"/>
                <w:szCs w:val="20"/>
                <w:color w:val="auto"/>
              </w:rPr>
            </w:pPr>
            <w:r>
              <w:rPr>
                <w:rFonts w:ascii="Times New Roman" w:cs="Times New Roman" w:eastAsia="Times New Roman" w:hAnsi="Times New Roman"/>
                <w:sz w:val="18"/>
                <w:szCs w:val="18"/>
                <w:b w:val="1"/>
                <w:bCs w:val="1"/>
                <w:color w:val="auto"/>
                <w:w w:val="96"/>
              </w:rPr>
              <w:t>Exhibit 99.2</w:t>
            </w:r>
          </w:p>
        </w:tc>
        <w:tc>
          <w:tcPr>
            <w:tcW w:w="0" w:type="dxa"/>
            <w:vAlign w:val="bottom"/>
          </w:tcPr>
          <w:p>
            <w:pPr>
              <w:spacing w:after="0"/>
              <w:rPr>
                <w:sz w:val="1"/>
                <w:szCs w:val="1"/>
                <w:color w:val="auto"/>
              </w:rPr>
            </w:pPr>
          </w:p>
        </w:tc>
      </w:tr>
      <w:tr>
        <w:trPr>
          <w:trHeight w:val="208"/>
        </w:trPr>
        <w:tc>
          <w:tcPr>
            <w:tcW w:w="3520" w:type="dxa"/>
            <w:vAlign w:val="bottom"/>
          </w:tcPr>
          <w:p>
            <w:pPr>
              <w:spacing w:after="0"/>
              <w:rPr>
                <w:sz w:val="18"/>
                <w:szCs w:val="18"/>
                <w:color w:val="auto"/>
              </w:rPr>
            </w:pPr>
          </w:p>
        </w:tc>
        <w:tc>
          <w:tcPr>
            <w:tcW w:w="7720" w:type="dxa"/>
            <w:vAlign w:val="bottom"/>
          </w:tcPr>
          <w:p>
            <w:pPr>
              <w:jc w:val="center"/>
              <w:ind w:right="3412"/>
              <w:spacing w:after="0"/>
              <w:rPr>
                <w:sz w:val="20"/>
                <w:szCs w:val="20"/>
                <w:color w:val="auto"/>
              </w:rPr>
            </w:pPr>
            <w:r>
              <w:rPr>
                <w:rFonts w:ascii="Times New Roman" w:cs="Times New Roman" w:eastAsia="Times New Roman" w:hAnsi="Times New Roman"/>
                <w:sz w:val="18"/>
                <w:szCs w:val="18"/>
                <w:color w:val="auto"/>
                <w:w w:val="99"/>
              </w:rPr>
              <w:t>to</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7720" w:type="dxa"/>
            <w:vAlign w:val="bottom"/>
          </w:tcPr>
          <w:p>
            <w:pPr>
              <w:jc w:val="center"/>
              <w:ind w:right="3412"/>
              <w:spacing w:after="0"/>
              <w:rPr>
                <w:sz w:val="20"/>
                <w:szCs w:val="20"/>
                <w:color w:val="auto"/>
              </w:rPr>
            </w:pPr>
            <w:r>
              <w:rPr>
                <w:rFonts w:ascii="Times New Roman" w:cs="Times New Roman" w:eastAsia="Times New Roman" w:hAnsi="Times New Roman"/>
                <w:sz w:val="18"/>
                <w:szCs w:val="18"/>
                <w:b w:val="1"/>
                <w:bCs w:val="1"/>
                <w:color w:val="auto"/>
                <w:w w:val="96"/>
              </w:rPr>
              <w:t>SCHEDULE 13D</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19"/>
                <w:szCs w:val="19"/>
                <w:color w:val="auto"/>
              </w:rPr>
            </w:pPr>
          </w:p>
        </w:tc>
        <w:tc>
          <w:tcPr>
            <w:tcW w:w="7720" w:type="dxa"/>
            <w:vAlign w:val="bottom"/>
          </w:tcPr>
          <w:p>
            <w:pPr>
              <w:jc w:val="center"/>
              <w:ind w:right="3412"/>
              <w:spacing w:after="0"/>
              <w:rPr>
                <w:sz w:val="20"/>
                <w:szCs w:val="20"/>
                <w:color w:val="auto"/>
              </w:rPr>
            </w:pPr>
            <w:r>
              <w:rPr>
                <w:rFonts w:ascii="Times New Roman" w:cs="Times New Roman" w:eastAsia="Times New Roman" w:hAnsi="Times New Roman"/>
                <w:sz w:val="18"/>
                <w:szCs w:val="18"/>
                <w:i w:val="1"/>
                <w:iCs w:val="1"/>
                <w:color w:val="auto"/>
                <w:w w:val="97"/>
              </w:rPr>
              <w:t>Under the Securities Exchange Act of 1934</w:t>
            </w:r>
          </w:p>
        </w:tc>
        <w:tc>
          <w:tcPr>
            <w:tcW w:w="0" w:type="dxa"/>
            <w:vAlign w:val="bottom"/>
          </w:tcPr>
          <w:p>
            <w:pPr>
              <w:spacing w:after="0"/>
              <w:rPr>
                <w:sz w:val="1"/>
                <w:szCs w:val="1"/>
                <w:color w:val="auto"/>
              </w:rPr>
            </w:pPr>
          </w:p>
        </w:tc>
      </w:tr>
      <w:tr>
        <w:trPr>
          <w:trHeight w:val="211"/>
        </w:trPr>
        <w:tc>
          <w:tcPr>
            <w:tcW w:w="3520" w:type="dxa"/>
            <w:vAlign w:val="bottom"/>
            <w:tcBorders>
              <w:bottom w:val="single" w:sz="8" w:color="auto"/>
            </w:tcBorders>
          </w:tcPr>
          <w:p>
            <w:pPr>
              <w:spacing w:after="0"/>
              <w:rPr>
                <w:sz w:val="18"/>
                <w:szCs w:val="18"/>
                <w:color w:val="auto"/>
              </w:rPr>
            </w:pPr>
          </w:p>
        </w:tc>
        <w:tc>
          <w:tcPr>
            <w:tcW w:w="7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Dine Brands Global, Inc.</w:t>
            </w:r>
          </w:p>
        </w:tc>
        <w:tc>
          <w:tcPr>
            <w:tcW w:w="0" w:type="dxa"/>
            <w:vAlign w:val="bottom"/>
          </w:tcPr>
          <w:p>
            <w:pPr>
              <w:spacing w:after="0"/>
              <w:rPr>
                <w:sz w:val="1"/>
                <w:szCs w:val="1"/>
                <w:color w:val="auto"/>
              </w:rPr>
            </w:pP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0" w:type="dxa"/>
            <w:vAlign w:val="bottom"/>
          </w:tcPr>
          <w:p>
            <w:pPr>
              <w:spacing w:after="0"/>
              <w:rPr>
                <w:sz w:val="1"/>
                <w:szCs w:val="1"/>
                <w:color w:val="auto"/>
              </w:rPr>
            </w:pP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254423106</w:t>
            </w:r>
          </w:p>
        </w:tc>
        <w:tc>
          <w:tcPr>
            <w:tcW w:w="0" w:type="dxa"/>
            <w:vAlign w:val="bottom"/>
          </w:tcPr>
          <w:p>
            <w:pPr>
              <w:spacing w:after="0"/>
              <w:rPr>
                <w:sz w:val="1"/>
                <w:szCs w:val="1"/>
                <w:color w:val="auto"/>
              </w:rPr>
            </w:pP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Filed by (Reporting Person(s))</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Cobblers Cove Capital LP, Cobblers Cove Capital Management GP LLC, Matthew Perkal, Benjamin F.</w:t>
            </w:r>
          </w:p>
        </w:tc>
        <w:tc>
          <w:tcPr>
            <w:tcW w:w="0" w:type="dxa"/>
            <w:vAlign w:val="bottom"/>
          </w:tcPr>
          <w:p>
            <w:pPr>
              <w:spacing w:after="0"/>
              <w:rPr>
                <w:sz w:val="1"/>
                <w:szCs w:val="1"/>
                <w:color w:val="auto"/>
              </w:rPr>
            </w:pPr>
          </w:p>
        </w:tc>
      </w:tr>
      <w:tr>
        <w:trPr>
          <w:trHeight w:val="123"/>
        </w:trPr>
        <w:tc>
          <w:tcPr>
            <w:tcW w:w="3520" w:type="dxa"/>
            <w:vAlign w:val="bottom"/>
            <w:tcBorders>
              <w:left w:val="single" w:sz="8" w:color="auto"/>
              <w:right w:val="single" w:sz="8" w:color="auto"/>
            </w:tcBorders>
            <w:vMerge w:val="continue"/>
          </w:tcPr>
          <w:p>
            <w:pPr>
              <w:spacing w:after="0"/>
              <w:rPr>
                <w:sz w:val="10"/>
                <w:szCs w:val="10"/>
                <w:color w:val="auto"/>
              </w:rPr>
            </w:pPr>
          </w:p>
        </w:tc>
        <w:tc>
          <w:tcPr>
            <w:tcW w:w="77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Rattner</w:t>
            </w:r>
          </w:p>
        </w:tc>
        <w:tc>
          <w:tcPr>
            <w:tcW w:w="0" w:type="dxa"/>
            <w:vAlign w:val="bottom"/>
          </w:tcPr>
          <w:p>
            <w:pPr>
              <w:spacing w:after="0"/>
              <w:rPr>
                <w:sz w:val="1"/>
                <w:szCs w:val="1"/>
                <w:color w:val="auto"/>
              </w:rPr>
            </w:pPr>
          </w:p>
        </w:tc>
      </w:tr>
      <w:tr>
        <w:trPr>
          <w:trHeight w:val="105"/>
        </w:trPr>
        <w:tc>
          <w:tcPr>
            <w:tcW w:w="3520" w:type="dxa"/>
            <w:vAlign w:val="bottom"/>
            <w:tcBorders>
              <w:left w:val="single" w:sz="8" w:color="auto"/>
              <w:right w:val="single" w:sz="8" w:color="auto"/>
            </w:tcBorders>
          </w:tcPr>
          <w:p>
            <w:pPr>
              <w:spacing w:after="0"/>
              <w:rPr>
                <w:sz w:val="9"/>
                <w:szCs w:val="9"/>
                <w:color w:val="auto"/>
              </w:rPr>
            </w:pPr>
          </w:p>
        </w:tc>
        <w:tc>
          <w:tcPr>
            <w:tcW w:w="7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Item of Schedule 13D</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Item 7 (Material to Be Filed as Exhibits)</w:t>
            </w:r>
          </w:p>
        </w:tc>
        <w:tc>
          <w:tcPr>
            <w:tcW w:w="0" w:type="dxa"/>
            <w:vAlign w:val="bottom"/>
          </w:tcPr>
          <w:p>
            <w:pPr>
              <w:spacing w:after="0"/>
              <w:rPr>
                <w:sz w:val="1"/>
                <w:szCs w:val="1"/>
                <w:color w:val="auto"/>
              </w:rPr>
            </w:pP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Summary of Proposed Terms, dated as of October 26, 2026, by and among Cobblers Cove Capital LP and</w:t>
            </w:r>
          </w:p>
        </w:tc>
        <w:tc>
          <w:tcPr>
            <w:tcW w:w="0" w:type="dxa"/>
            <w:vAlign w:val="bottom"/>
          </w:tcPr>
          <w:p>
            <w:pPr>
              <w:spacing w:after="0"/>
              <w:rPr>
                <w:sz w:val="1"/>
                <w:szCs w:val="1"/>
                <w:color w:val="auto"/>
              </w:rPr>
            </w:pPr>
          </w:p>
        </w:tc>
      </w:tr>
      <w:tr>
        <w:trPr>
          <w:trHeight w:val="123"/>
        </w:trPr>
        <w:tc>
          <w:tcPr>
            <w:tcW w:w="3520" w:type="dxa"/>
            <w:vAlign w:val="bottom"/>
            <w:tcBorders>
              <w:left w:val="single" w:sz="8" w:color="auto"/>
              <w:right w:val="single" w:sz="8" w:color="auto"/>
            </w:tcBorders>
            <w:vMerge w:val="continue"/>
          </w:tcPr>
          <w:p>
            <w:pPr>
              <w:spacing w:after="0"/>
              <w:rPr>
                <w:sz w:val="10"/>
                <w:szCs w:val="10"/>
                <w:color w:val="auto"/>
              </w:rPr>
            </w:pPr>
          </w:p>
        </w:tc>
        <w:tc>
          <w:tcPr>
            <w:tcW w:w="77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Arkhouse Management Co. LP</w:t>
            </w:r>
          </w:p>
        </w:tc>
        <w:tc>
          <w:tcPr>
            <w:tcW w:w="0" w:type="dxa"/>
            <w:vAlign w:val="bottom"/>
          </w:tcPr>
          <w:p>
            <w:pPr>
              <w:spacing w:after="0"/>
              <w:rPr>
                <w:sz w:val="1"/>
                <w:szCs w:val="1"/>
                <w:color w:val="auto"/>
              </w:rPr>
            </w:pPr>
          </w:p>
        </w:tc>
      </w:tr>
      <w:tr>
        <w:trPr>
          <w:trHeight w:val="105"/>
        </w:trPr>
        <w:tc>
          <w:tcPr>
            <w:tcW w:w="3520" w:type="dxa"/>
            <w:vAlign w:val="bottom"/>
            <w:tcBorders>
              <w:left w:val="single" w:sz="8" w:color="auto"/>
              <w:right w:val="single" w:sz="8" w:color="auto"/>
            </w:tcBorders>
          </w:tcPr>
          <w:p>
            <w:pPr>
              <w:spacing w:after="0"/>
              <w:rPr>
                <w:sz w:val="9"/>
                <w:szCs w:val="9"/>
                <w:color w:val="auto"/>
              </w:rPr>
            </w:pPr>
          </w:p>
        </w:tc>
        <w:tc>
          <w:tcPr>
            <w:tcW w:w="7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1058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1058545"/>
                    </a:xfrm>
                    <a:prstGeom prst="rect">
                      <a:avLst/>
                    </a:prstGeom>
                    <a:noFill/>
                  </pic:spPr>
                </pic:pic>
              </a:graphicData>
            </a:graphic>
          </wp:anchor>
        </w:drawing>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OMITTED CONFIDENTIAL INFORMATION</w:t>
      </w:r>
    </w:p>
    <w:p>
      <w:pPr>
        <w:spacing w:after="0" w:line="110" w:lineRule="exact"/>
        <w:rPr>
          <w:sz w:val="20"/>
          <w:szCs w:val="20"/>
          <w:color w:val="auto"/>
        </w:rPr>
      </w:pPr>
    </w:p>
    <w:p>
      <w:pPr>
        <w:jc w:val="both"/>
        <w:ind w:left="100" w:right="100"/>
        <w:spacing w:after="0" w:line="255"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FROM THIS PUBLICLY FILED VERSION AND FILED SEPARATELY WITH THE SECURITIES AND EXCHANGE COMMISSION PURSUANT TO A REQUEST FOR CONFIDENTIAL TREATMENT UNDER RULE 24b-2 PROMULGATED UNDER THE SECURITIES EXCHANGE ACT OF 1934, AS AMENDED.</w:t>
      </w:r>
    </w:p>
    <w:p>
      <w:pPr>
        <w:spacing w:after="0" w:line="75" w:lineRule="exact"/>
        <w:rPr>
          <w:sz w:val="20"/>
          <w:szCs w:val="20"/>
          <w:color w:val="auto"/>
        </w:rPr>
      </w:pPr>
    </w:p>
    <w:p>
      <w:pPr>
        <w:jc w:val="both"/>
        <w:ind w:left="100" w:right="100"/>
        <w:spacing w:after="0" w:line="267" w:lineRule="auto"/>
        <w:rPr>
          <w:sz w:val="20"/>
          <w:szCs w:val="20"/>
          <w:color w:val="auto"/>
        </w:rPr>
      </w:pPr>
      <w:r>
        <w:rPr>
          <w:rFonts w:ascii="Times New Roman" w:cs="Times New Roman" w:eastAsia="Times New Roman" w:hAnsi="Times New Roman"/>
          <w:sz w:val="18"/>
          <w:szCs w:val="18"/>
          <w:color w:val="auto"/>
        </w:rPr>
        <w:t>EACH PLACE IN THIS EXHIBIT FROM WHICH CONFIDENTIAL INFORMATION HAS BEEN OMITTED IS MARKED WITH THREE ASTERISKS IN BRACKETS, “[***]”, AND THE OMITTED INFORMATION HAS BEEN FILED SEPARATELY WITH THE COMMISSION.</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361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3" w:name="page14"/>
    <w:bookmarkEnd w:id="13"/>
    <w:p>
      <w:pPr>
        <w:jc w:val="right"/>
        <w:ind w:left="10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572135</wp:posOffset>
            </wp:positionV>
            <wp:extent cx="71361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8255"/>
                    </a:xfrm>
                    <a:prstGeom prst="rect">
                      <a:avLst/>
                    </a:prstGeom>
                    <a:noFill/>
                  </pic:spPr>
                </pic:pic>
              </a:graphicData>
            </a:graphic>
          </wp:anchor>
        </w:drawing>
        <w:t>CONFIDENTIAL TREATMENT REQUESTED BY COBBLERS COVE CAPITAL LP, COBBLERS COVE CAPITAL MANAGEMENT GP LLC, MATTHEW PERKAL, AND BENJAMIN F. RATTNER PURSUANT TO RULE 24b-2 UNDER THE SECURITIES EXCHANGE ACT OF 1934, AS AMENDED</w:t>
      </w:r>
    </w:p>
    <w:p>
      <w:pPr>
        <w:spacing w:after="0" w:line="1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Marking used in this Exhibit: </w:t>
      </w:r>
      <w:r>
        <w:rPr>
          <w:rFonts w:ascii="Times New Roman" w:cs="Times New Roman" w:eastAsia="Times New Roman" w:hAnsi="Times New Roman"/>
          <w:sz w:val="18"/>
          <w:szCs w:val="18"/>
          <w:color w:val="auto"/>
        </w:rPr>
        <w:t>[***] = Confidential portion omitted and filed separately with the Securities and Exchange Commission pursuant to a request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confidential treatment under Rule 24b-2.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Pages containing omissions: </w:t>
      </w:r>
      <w:r>
        <w:rPr>
          <w:rFonts w:ascii="Times New Roman" w:cs="Times New Roman" w:eastAsia="Times New Roman" w:hAnsi="Times New Roman"/>
          <w:sz w:val="18"/>
          <w:szCs w:val="18"/>
          <w:color w:val="auto"/>
        </w:rPr>
        <w:t>3, 4, 5</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71361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14" w:name="page15"/>
    <w:bookmarkEnd w:id="14"/>
    <w:p>
      <w:pPr>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CONFIDENTIAL</w:t>
      </w:r>
      <w:r>
        <w:rPr>
          <w:sz w:val="20"/>
          <w:szCs w:val="20"/>
          <w:color w:val="auto"/>
        </w:rPr>
        <w:tab/>
      </w:r>
      <w:r>
        <w:rPr>
          <w:rFonts w:ascii="Times New Roman" w:cs="Times New Roman" w:eastAsia="Times New Roman" w:hAnsi="Times New Roman"/>
          <w:sz w:val="18"/>
          <w:szCs w:val="18"/>
          <w:color w:val="auto"/>
        </w:rPr>
        <w:t>PAUL, WEISS, RIFKIND, WHARTON &amp; GARRISON LLP</w:t>
      </w:r>
    </w:p>
    <w:p>
      <w:pPr>
        <w:spacing w:after="0" w:line="23" w:lineRule="exact"/>
        <w:rPr>
          <w:sz w:val="20"/>
          <w:szCs w:val="20"/>
          <w:color w:val="auto"/>
        </w:rPr>
      </w:pPr>
    </w:p>
    <w:p>
      <w:pPr>
        <w:jc w:val="right"/>
        <w:ind w:left="100"/>
        <w:spacing w:after="0" w:line="252" w:lineRule="auto"/>
        <w:rPr>
          <w:sz w:val="20"/>
          <w:szCs w:val="20"/>
          <w:color w:val="auto"/>
        </w:rPr>
      </w:pPr>
      <w:r>
        <w:rPr>
          <w:rFonts w:ascii="Times New Roman" w:cs="Times New Roman" w:eastAsia="Times New Roman" w:hAnsi="Times New Roman"/>
          <w:sz w:val="18"/>
          <w:szCs w:val="18"/>
          <w:b w:val="1"/>
          <w:bCs w:val="1"/>
          <w:color w:val="auto"/>
        </w:rPr>
        <w:t>CONFIDENTIAL TREATMENT REQUESTED BY COBBLERS COVE CAPITAL LP, COBBLERS COVE CAPITAL MANAGEMENT GP LLC, MATTHEW PERKAL, AND BENJAMIN F. RATTNER PURSUANT TO RULE 24b-2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-412750</wp:posOffset>
            </wp:positionV>
            <wp:extent cx="71361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 2.0 — CO-INVESTMENT PARTNERSHIP</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Summary of Proposed Terms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October 26, 2026</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term sheet is non-binding and is intended solely for discussion purposes. It does not constitute a commitment to invest, an obligation to negotiate definitive agreements, or a binding agreement of any kind. The terms set out herein are subject to completion of due diligence, negotiation and execution of mutually satisfactory definitive documentation, and receipt of all applicable regulatory approvals. Notwithstanding the foregoing, this paragraph and the section below labeled “Binding Provisions” shall be binding on the parties hereto.</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1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0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SUMMARY</w:t>
            </w:r>
          </w:p>
        </w:tc>
      </w:tr>
      <w:tr>
        <w:trPr>
          <w:trHeight w:val="53"/>
        </w:trPr>
        <w:tc>
          <w:tcPr>
            <w:tcW w:w="3180" w:type="dxa"/>
            <w:vAlign w:val="bottom"/>
            <w:tcBorders>
              <w:left w:val="single" w:sz="8" w:color="auto"/>
              <w:bottom w:val="single" w:sz="8" w:color="auto"/>
              <w:right w:val="single" w:sz="8" w:color="auto"/>
            </w:tcBorders>
          </w:tcPr>
          <w:p>
            <w:pPr>
              <w:spacing w:after="0"/>
              <w:rPr>
                <w:sz w:val="4"/>
                <w:szCs w:val="4"/>
                <w:color w:val="auto"/>
              </w:rPr>
            </w:pPr>
          </w:p>
        </w:tc>
        <w:tc>
          <w:tcPr>
            <w:tcW w:w="8060" w:type="dxa"/>
            <w:vAlign w:val="bottom"/>
            <w:tcBorders>
              <w:bottom w:val="single" w:sz="8" w:color="auto"/>
              <w:right w:val="single" w:sz="8" w:color="auto"/>
            </w:tcBorders>
          </w:tcPr>
          <w:p>
            <w:pPr>
              <w:spacing w:after="0"/>
              <w:rPr>
                <w:sz w:val="4"/>
                <w:szCs w:val="4"/>
                <w:color w:val="auto"/>
              </w:rPr>
            </w:pPr>
          </w:p>
        </w:tc>
      </w:tr>
      <w:tr>
        <w:trPr>
          <w:trHeight w:val="255"/>
        </w:trPr>
        <w:tc>
          <w:tcPr>
            <w:tcW w:w="31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8060" w:type="dxa"/>
            <w:vAlign w:val="bottom"/>
            <w:tcBorders>
              <w:right w:val="single" w:sz="8" w:color="auto"/>
            </w:tcBorders>
          </w:tcPr>
          <w:p>
            <w:pPr>
              <w:spacing w:after="0"/>
              <w:rPr>
                <w:sz w:val="22"/>
                <w:szCs w:val="22"/>
                <w:color w:val="auto"/>
              </w:rPr>
            </w:pPr>
          </w:p>
        </w:tc>
      </w:tr>
      <w:tr>
        <w:trPr>
          <w:trHeight w:val="53"/>
        </w:trPr>
        <w:tc>
          <w:tcPr>
            <w:tcW w:w="3180" w:type="dxa"/>
            <w:vAlign w:val="bottom"/>
            <w:tcBorders>
              <w:left w:val="single" w:sz="8" w:color="auto"/>
              <w:bottom w:val="single" w:sz="8" w:color="auto"/>
            </w:tcBorders>
          </w:tcPr>
          <w:p>
            <w:pPr>
              <w:spacing w:after="0"/>
              <w:rPr>
                <w:sz w:val="4"/>
                <w:szCs w:val="4"/>
                <w:color w:val="auto"/>
              </w:rPr>
            </w:pPr>
          </w:p>
        </w:tc>
        <w:tc>
          <w:tcPr>
            <w:tcW w:w="8060" w:type="dxa"/>
            <w:vAlign w:val="bottom"/>
            <w:tcBorders>
              <w:bottom w:val="single" w:sz="8" w:color="auto"/>
              <w:right w:val="single" w:sz="8" w:color="auto"/>
            </w:tcBorders>
          </w:tcPr>
          <w:p>
            <w:pPr>
              <w:spacing w:after="0"/>
              <w:rPr>
                <w:sz w:val="4"/>
                <w:szCs w:val="4"/>
                <w:color w:val="auto"/>
              </w:rPr>
            </w:pPr>
          </w:p>
        </w:tc>
      </w:tr>
      <w:tr>
        <w:trPr>
          <w:trHeight w:val="255"/>
        </w:trPr>
        <w:tc>
          <w:tcPr>
            <w:tcW w:w="3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Dine Brands Global, Inc. (NYSE: DIN) (the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w:t>
            </w:r>
          </w:p>
        </w:tc>
      </w:tr>
      <w:tr>
        <w:trPr>
          <w:trHeight w:val="53"/>
        </w:trPr>
        <w:tc>
          <w:tcPr>
            <w:tcW w:w="3180" w:type="dxa"/>
            <w:vAlign w:val="bottom"/>
            <w:tcBorders>
              <w:left w:val="single" w:sz="8" w:color="auto"/>
              <w:bottom w:val="single" w:sz="8" w:color="auto"/>
              <w:right w:val="single" w:sz="8" w:color="auto"/>
            </w:tcBorders>
          </w:tcPr>
          <w:p>
            <w:pPr>
              <w:spacing w:after="0"/>
              <w:rPr>
                <w:sz w:val="4"/>
                <w:szCs w:val="4"/>
                <w:color w:val="auto"/>
              </w:rPr>
            </w:pPr>
          </w:p>
        </w:tc>
        <w:tc>
          <w:tcPr>
            <w:tcW w:w="8060" w:type="dxa"/>
            <w:vAlign w:val="bottom"/>
            <w:tcBorders>
              <w:bottom w:val="single" w:sz="8" w:color="auto"/>
              <w:right w:val="single" w:sz="8" w:color="auto"/>
            </w:tcBorders>
          </w:tcPr>
          <w:p>
            <w:pPr>
              <w:spacing w:after="0"/>
              <w:rPr>
                <w:sz w:val="4"/>
                <w:szCs w:val="4"/>
                <w:color w:val="auto"/>
              </w:rPr>
            </w:pPr>
          </w:p>
        </w:tc>
      </w:tr>
      <w:tr>
        <w:trPr>
          <w:trHeight w:val="235"/>
        </w:trPr>
        <w:tc>
          <w:tcPr>
            <w:tcW w:w="3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Strategy</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Accumulation of publicly traded shares of the Target (the “</w:t>
            </w:r>
            <w:r>
              <w:rPr>
                <w:rFonts w:ascii="Times New Roman" w:cs="Times New Roman" w:eastAsia="Times New Roman" w:hAnsi="Times New Roman"/>
                <w:sz w:val="18"/>
                <w:szCs w:val="18"/>
                <w:b w:val="1"/>
                <w:bCs w:val="1"/>
                <w:color w:val="auto"/>
              </w:rPr>
              <w:t>Initial Share Accumulation</w:t>
            </w:r>
            <w:r>
              <w:rPr>
                <w:rFonts w:ascii="Times New Roman" w:cs="Times New Roman" w:eastAsia="Times New Roman" w:hAnsi="Times New Roman"/>
                <w:sz w:val="18"/>
                <w:szCs w:val="18"/>
                <w:color w:val="auto"/>
              </w:rPr>
              <w:t>”) followed by a take-</w:t>
            </w:r>
          </w:p>
        </w:tc>
      </w:tr>
      <w:tr>
        <w:trPr>
          <w:trHeight w:val="230"/>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private of the Target (the </w:t>
            </w:r>
            <w:r>
              <w:rPr>
                <w:rFonts w:ascii="Times New Roman" w:cs="Times New Roman" w:eastAsia="Times New Roman" w:hAnsi="Times New Roman"/>
                <w:sz w:val="18"/>
                <w:szCs w:val="18"/>
                <w:b w:val="1"/>
                <w:bCs w:val="1"/>
                <w:color w:val="auto"/>
              </w:rPr>
              <w:t>"Take-Private"</w:t>
            </w:r>
            <w:r>
              <w:rPr>
                <w:rFonts w:ascii="Times New Roman" w:cs="Times New Roman" w:eastAsia="Times New Roman" w:hAnsi="Times New Roman"/>
                <w:sz w:val="18"/>
                <w:szCs w:val="18"/>
                <w:color w:val="auto"/>
              </w:rPr>
              <w:t>).</w:t>
            </w:r>
          </w:p>
        </w:tc>
      </w:tr>
      <w:tr>
        <w:trPr>
          <w:trHeight w:val="53"/>
        </w:trPr>
        <w:tc>
          <w:tcPr>
            <w:tcW w:w="3180" w:type="dxa"/>
            <w:vAlign w:val="bottom"/>
            <w:tcBorders>
              <w:left w:val="single" w:sz="8" w:color="auto"/>
              <w:bottom w:val="single" w:sz="8" w:color="auto"/>
              <w:right w:val="single" w:sz="8" w:color="auto"/>
            </w:tcBorders>
          </w:tcPr>
          <w:p>
            <w:pPr>
              <w:spacing w:after="0"/>
              <w:rPr>
                <w:sz w:val="4"/>
                <w:szCs w:val="4"/>
                <w:color w:val="auto"/>
              </w:rPr>
            </w:pPr>
          </w:p>
        </w:tc>
        <w:tc>
          <w:tcPr>
            <w:tcW w:w="8060" w:type="dxa"/>
            <w:vAlign w:val="bottom"/>
            <w:tcBorders>
              <w:bottom w:val="single" w:sz="8" w:color="auto"/>
              <w:right w:val="single" w:sz="8" w:color="auto"/>
            </w:tcBorders>
          </w:tcPr>
          <w:p>
            <w:pPr>
              <w:spacing w:after="0"/>
              <w:rPr>
                <w:sz w:val="4"/>
                <w:szCs w:val="4"/>
                <w:color w:val="auto"/>
              </w:rPr>
            </w:pPr>
          </w:p>
        </w:tc>
      </w:tr>
      <w:tr>
        <w:trPr>
          <w:trHeight w:val="255"/>
        </w:trPr>
        <w:tc>
          <w:tcPr>
            <w:tcW w:w="31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PARTIES</w:t>
            </w:r>
          </w:p>
        </w:tc>
        <w:tc>
          <w:tcPr>
            <w:tcW w:w="8060" w:type="dxa"/>
            <w:vAlign w:val="bottom"/>
            <w:tcBorders>
              <w:right w:val="single" w:sz="8" w:color="auto"/>
            </w:tcBorders>
          </w:tcPr>
          <w:p>
            <w:pPr>
              <w:spacing w:after="0"/>
              <w:rPr>
                <w:sz w:val="22"/>
                <w:szCs w:val="22"/>
                <w:color w:val="auto"/>
              </w:rPr>
            </w:pPr>
          </w:p>
        </w:tc>
      </w:tr>
      <w:tr>
        <w:trPr>
          <w:trHeight w:val="53"/>
        </w:trPr>
        <w:tc>
          <w:tcPr>
            <w:tcW w:w="3180" w:type="dxa"/>
            <w:vAlign w:val="bottom"/>
            <w:tcBorders>
              <w:left w:val="single" w:sz="8" w:color="auto"/>
              <w:bottom w:val="single" w:sz="8" w:color="auto"/>
            </w:tcBorders>
          </w:tcPr>
          <w:p>
            <w:pPr>
              <w:spacing w:after="0"/>
              <w:rPr>
                <w:sz w:val="4"/>
                <w:szCs w:val="4"/>
                <w:color w:val="auto"/>
              </w:rPr>
            </w:pPr>
          </w:p>
        </w:tc>
        <w:tc>
          <w:tcPr>
            <w:tcW w:w="8060" w:type="dxa"/>
            <w:vAlign w:val="bottom"/>
            <w:tcBorders>
              <w:bottom w:val="single" w:sz="8" w:color="auto"/>
              <w:right w:val="single" w:sz="8" w:color="auto"/>
            </w:tcBorders>
          </w:tcPr>
          <w:p>
            <w:pPr>
              <w:spacing w:after="0"/>
              <w:rPr>
                <w:sz w:val="4"/>
                <w:szCs w:val="4"/>
                <w:color w:val="auto"/>
              </w:rPr>
            </w:pPr>
          </w:p>
        </w:tc>
      </w:tr>
      <w:tr>
        <w:trPr>
          <w:trHeight w:val="255"/>
        </w:trPr>
        <w:tc>
          <w:tcPr>
            <w:tcW w:w="3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Cobblers Cove</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Cobblers Cove Capital LP (together with its affiliated investment vehicles, </w:t>
            </w:r>
            <w:r>
              <w:rPr>
                <w:rFonts w:ascii="Times New Roman" w:cs="Times New Roman" w:eastAsia="Times New Roman" w:hAnsi="Times New Roman"/>
                <w:sz w:val="18"/>
                <w:szCs w:val="18"/>
                <w:b w:val="1"/>
                <w:bCs w:val="1"/>
                <w:color w:val="auto"/>
              </w:rPr>
              <w:t>"Cobblers Cove"</w:t>
            </w:r>
            <w:r>
              <w:rPr>
                <w:rFonts w:ascii="Times New Roman" w:cs="Times New Roman" w:eastAsia="Times New Roman" w:hAnsi="Times New Roman"/>
                <w:sz w:val="18"/>
                <w:szCs w:val="18"/>
                <w:color w:val="auto"/>
              </w:rPr>
              <w:t>).</w:t>
            </w:r>
          </w:p>
        </w:tc>
      </w:tr>
      <w:tr>
        <w:trPr>
          <w:trHeight w:val="53"/>
        </w:trPr>
        <w:tc>
          <w:tcPr>
            <w:tcW w:w="3180" w:type="dxa"/>
            <w:vAlign w:val="bottom"/>
            <w:tcBorders>
              <w:left w:val="single" w:sz="8" w:color="auto"/>
              <w:bottom w:val="single" w:sz="8" w:color="auto"/>
              <w:right w:val="single" w:sz="8" w:color="auto"/>
            </w:tcBorders>
          </w:tcPr>
          <w:p>
            <w:pPr>
              <w:spacing w:after="0"/>
              <w:rPr>
                <w:sz w:val="4"/>
                <w:szCs w:val="4"/>
                <w:color w:val="auto"/>
              </w:rPr>
            </w:pPr>
          </w:p>
        </w:tc>
        <w:tc>
          <w:tcPr>
            <w:tcW w:w="8060" w:type="dxa"/>
            <w:vAlign w:val="bottom"/>
            <w:tcBorders>
              <w:bottom w:val="single" w:sz="8" w:color="auto"/>
              <w:right w:val="single" w:sz="8" w:color="auto"/>
            </w:tcBorders>
          </w:tcPr>
          <w:p>
            <w:pPr>
              <w:spacing w:after="0"/>
              <w:rPr>
                <w:sz w:val="4"/>
                <w:szCs w:val="4"/>
                <w:color w:val="auto"/>
              </w:rPr>
            </w:pPr>
          </w:p>
        </w:tc>
      </w:tr>
      <w:tr>
        <w:trPr>
          <w:trHeight w:val="255"/>
        </w:trPr>
        <w:tc>
          <w:tcPr>
            <w:tcW w:w="3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Arkhouse</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Arkhouse Management Co. LP (together with its affiliated investment vehicles, </w:t>
            </w:r>
            <w:r>
              <w:rPr>
                <w:rFonts w:ascii="Times New Roman" w:cs="Times New Roman" w:eastAsia="Times New Roman" w:hAnsi="Times New Roman"/>
                <w:sz w:val="18"/>
                <w:szCs w:val="18"/>
                <w:b w:val="1"/>
                <w:bCs w:val="1"/>
                <w:color w:val="auto"/>
              </w:rPr>
              <w:t>"Arkhouse"</w:t>
            </w:r>
            <w:r>
              <w:rPr>
                <w:rFonts w:ascii="Times New Roman" w:cs="Times New Roman" w:eastAsia="Times New Roman" w:hAnsi="Times New Roman"/>
                <w:sz w:val="18"/>
                <w:szCs w:val="18"/>
                <w:color w:val="auto"/>
              </w:rPr>
              <w:t>).</w:t>
            </w:r>
          </w:p>
        </w:tc>
      </w:tr>
      <w:tr>
        <w:trPr>
          <w:trHeight w:val="53"/>
        </w:trPr>
        <w:tc>
          <w:tcPr>
            <w:tcW w:w="3180" w:type="dxa"/>
            <w:vAlign w:val="bottom"/>
            <w:tcBorders>
              <w:left w:val="single" w:sz="8" w:color="auto"/>
              <w:bottom w:val="single" w:sz="8" w:color="auto"/>
              <w:right w:val="single" w:sz="8" w:color="auto"/>
            </w:tcBorders>
          </w:tcPr>
          <w:p>
            <w:pPr>
              <w:spacing w:after="0"/>
              <w:rPr>
                <w:sz w:val="4"/>
                <w:szCs w:val="4"/>
                <w:color w:val="auto"/>
              </w:rPr>
            </w:pPr>
          </w:p>
        </w:tc>
        <w:tc>
          <w:tcPr>
            <w:tcW w:w="8060" w:type="dxa"/>
            <w:vAlign w:val="bottom"/>
            <w:tcBorders>
              <w:bottom w:val="single" w:sz="8" w:color="auto"/>
              <w:right w:val="single" w:sz="8" w:color="auto"/>
            </w:tcBorders>
          </w:tcPr>
          <w:p>
            <w:pPr>
              <w:spacing w:after="0"/>
              <w:rPr>
                <w:sz w:val="4"/>
                <w:szCs w:val="4"/>
                <w:color w:val="auto"/>
              </w:rPr>
            </w:pPr>
          </w:p>
        </w:tc>
      </w:tr>
      <w:tr>
        <w:trPr>
          <w:trHeight w:val="255"/>
        </w:trPr>
        <w:tc>
          <w:tcPr>
            <w:tcW w:w="31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INITIAL SHARE ACCUMULATION</w:t>
            </w:r>
          </w:p>
        </w:tc>
        <w:tc>
          <w:tcPr>
            <w:tcW w:w="8060" w:type="dxa"/>
            <w:vAlign w:val="bottom"/>
            <w:tcBorders>
              <w:right w:val="single" w:sz="8" w:color="auto"/>
            </w:tcBorders>
          </w:tcPr>
          <w:p>
            <w:pPr>
              <w:spacing w:after="0"/>
              <w:rPr>
                <w:sz w:val="22"/>
                <w:szCs w:val="22"/>
                <w:color w:val="auto"/>
              </w:rPr>
            </w:pPr>
          </w:p>
        </w:tc>
      </w:tr>
      <w:tr>
        <w:trPr>
          <w:trHeight w:val="53"/>
        </w:trPr>
        <w:tc>
          <w:tcPr>
            <w:tcW w:w="3180" w:type="dxa"/>
            <w:vAlign w:val="bottom"/>
            <w:tcBorders>
              <w:left w:val="single" w:sz="8" w:color="auto"/>
              <w:bottom w:val="single" w:sz="8" w:color="auto"/>
            </w:tcBorders>
          </w:tcPr>
          <w:p>
            <w:pPr>
              <w:spacing w:after="0"/>
              <w:rPr>
                <w:sz w:val="4"/>
                <w:szCs w:val="4"/>
                <w:color w:val="auto"/>
              </w:rPr>
            </w:pPr>
          </w:p>
        </w:tc>
        <w:tc>
          <w:tcPr>
            <w:tcW w:w="8060" w:type="dxa"/>
            <w:vAlign w:val="bottom"/>
            <w:tcBorders>
              <w:bottom w:val="single" w:sz="8" w:color="auto"/>
              <w:right w:val="single" w:sz="8" w:color="auto"/>
            </w:tcBorders>
          </w:tcPr>
          <w:p>
            <w:pPr>
              <w:spacing w:after="0"/>
              <w:rPr>
                <w:sz w:val="4"/>
                <w:szCs w:val="4"/>
                <w:color w:val="auto"/>
              </w:rPr>
            </w:pPr>
          </w:p>
        </w:tc>
      </w:tr>
      <w:tr>
        <w:trPr>
          <w:trHeight w:val="235"/>
        </w:trPr>
        <w:tc>
          <w:tcPr>
            <w:tcW w:w="3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Initial Share</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Arkhouse, through a Fund (the “</w:t>
            </w:r>
            <w:r>
              <w:rPr>
                <w:rFonts w:ascii="Times New Roman" w:cs="Times New Roman" w:eastAsia="Times New Roman" w:hAnsi="Times New Roman"/>
                <w:sz w:val="18"/>
                <w:szCs w:val="18"/>
                <w:b w:val="1"/>
                <w:bCs w:val="1"/>
                <w:color w:val="auto"/>
              </w:rPr>
              <w:t>Arkhouse Fund</w:t>
            </w:r>
            <w:r>
              <w:rPr>
                <w:rFonts w:ascii="Times New Roman" w:cs="Times New Roman" w:eastAsia="Times New Roman" w:hAnsi="Times New Roman"/>
                <w:sz w:val="18"/>
                <w:szCs w:val="18"/>
                <w:color w:val="auto"/>
              </w:rPr>
              <w:t>”), has acquired and may continue to acquire shares of the</w:t>
            </w:r>
          </w:p>
        </w:tc>
      </w:tr>
      <w:tr>
        <w:trPr>
          <w:trHeight w:val="230"/>
        </w:trPr>
        <w:tc>
          <w:tcPr>
            <w:tcW w:w="3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Accumulation</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Target via open market purchases.</w:t>
            </w:r>
          </w:p>
        </w:tc>
      </w:tr>
      <w:tr>
        <w:trPr>
          <w:trHeight w:val="53"/>
        </w:trPr>
        <w:tc>
          <w:tcPr>
            <w:tcW w:w="3180" w:type="dxa"/>
            <w:vAlign w:val="bottom"/>
            <w:tcBorders>
              <w:left w:val="single" w:sz="8" w:color="auto"/>
              <w:bottom w:val="single" w:sz="8" w:color="auto"/>
              <w:right w:val="single" w:sz="8" w:color="auto"/>
            </w:tcBorders>
          </w:tcPr>
          <w:p>
            <w:pPr>
              <w:spacing w:after="0"/>
              <w:rPr>
                <w:sz w:val="4"/>
                <w:szCs w:val="4"/>
                <w:color w:val="auto"/>
              </w:rPr>
            </w:pPr>
          </w:p>
        </w:tc>
        <w:tc>
          <w:tcPr>
            <w:tcW w:w="8060" w:type="dxa"/>
            <w:vAlign w:val="bottom"/>
            <w:tcBorders>
              <w:bottom w:val="single" w:sz="8" w:color="auto"/>
              <w:right w:val="single" w:sz="8" w:color="auto"/>
            </w:tcBorders>
          </w:tcPr>
          <w:p>
            <w:pPr>
              <w:spacing w:after="0"/>
              <w:rPr>
                <w:sz w:val="4"/>
                <w:szCs w:val="4"/>
                <w:color w:val="auto"/>
              </w:rPr>
            </w:pPr>
          </w:p>
        </w:tc>
      </w:tr>
      <w:tr>
        <w:trPr>
          <w:trHeight w:val="237"/>
        </w:trPr>
        <w:tc>
          <w:tcPr>
            <w:tcW w:w="3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Base Economic Split</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 xml:space="preserve">[***]% Arkhouse / [***]% Cobblers Cove. </w:t>
            </w:r>
            <w:r>
              <w:rPr>
                <w:rFonts w:ascii="Times New Roman" w:cs="Times New Roman" w:eastAsia="Times New Roman" w:hAnsi="Times New Roman"/>
                <w:sz w:val="18"/>
                <w:szCs w:val="18"/>
                <w:color w:val="auto"/>
                <w:w w:val="99"/>
              </w:rPr>
              <w:t>Applies to any fees (including carried interest) paid to Arkhouse</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in respect of the shares of Target held through the Arkhouse Fund if Cobblers Cove does not make or support a</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proposal to the Target for the Take-Private.</w:t>
            </w:r>
          </w:p>
        </w:tc>
      </w:tr>
      <w:tr>
        <w:trPr>
          <w:trHeight w:val="53"/>
        </w:trPr>
        <w:tc>
          <w:tcPr>
            <w:tcW w:w="3180" w:type="dxa"/>
            <w:vAlign w:val="bottom"/>
            <w:tcBorders>
              <w:left w:val="single" w:sz="8" w:color="auto"/>
              <w:bottom w:val="single" w:sz="8" w:color="auto"/>
              <w:right w:val="single" w:sz="8" w:color="auto"/>
            </w:tcBorders>
          </w:tcPr>
          <w:p>
            <w:pPr>
              <w:spacing w:after="0"/>
              <w:rPr>
                <w:sz w:val="4"/>
                <w:szCs w:val="4"/>
                <w:color w:val="auto"/>
              </w:rPr>
            </w:pPr>
          </w:p>
        </w:tc>
        <w:tc>
          <w:tcPr>
            <w:tcW w:w="8060" w:type="dxa"/>
            <w:vAlign w:val="bottom"/>
            <w:tcBorders>
              <w:bottom w:val="single" w:sz="8" w:color="auto"/>
              <w:right w:val="single" w:sz="8" w:color="auto"/>
            </w:tcBorders>
          </w:tcPr>
          <w:p>
            <w:pPr>
              <w:spacing w:after="0"/>
              <w:rPr>
                <w:sz w:val="4"/>
                <w:szCs w:val="4"/>
                <w:color w:val="auto"/>
              </w:rPr>
            </w:pPr>
          </w:p>
        </w:tc>
      </w:tr>
      <w:tr>
        <w:trPr>
          <w:trHeight w:val="235"/>
        </w:trPr>
        <w:tc>
          <w:tcPr>
            <w:tcW w:w="3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Adjusted Split (Take- Private Proposal</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 xml:space="preserve">[***]% Arkhouse / [***]% Cobblers Cove. </w:t>
            </w:r>
            <w:r>
              <w:rPr>
                <w:rFonts w:ascii="Times New Roman" w:cs="Times New Roman" w:eastAsia="Times New Roman" w:hAnsi="Times New Roman"/>
                <w:sz w:val="18"/>
                <w:szCs w:val="18"/>
                <w:color w:val="auto"/>
                <w:w w:val="98"/>
              </w:rPr>
              <w:t>Applies to any fees (including carried interest) paid or payable to</w:t>
            </w:r>
          </w:p>
        </w:tc>
      </w:tr>
      <w:tr>
        <w:trPr>
          <w:trHeight w:val="212"/>
        </w:trPr>
        <w:tc>
          <w:tcPr>
            <w:tcW w:w="3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Made)</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7"/>
              </w:rPr>
              <w:t>Arkhouse in respect of the shares of Target held through the Arkhouse Fund if Cobblers Cove makes or supports</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 proposal to the Target for the Take-Private with such amounts</w:t>
            </w:r>
          </w:p>
        </w:tc>
      </w:tr>
      <w:tr>
        <w:trPr>
          <w:trHeight w:val="53"/>
        </w:trPr>
        <w:tc>
          <w:tcPr>
            <w:tcW w:w="3180" w:type="dxa"/>
            <w:vAlign w:val="bottom"/>
            <w:tcBorders>
              <w:left w:val="single" w:sz="8" w:color="auto"/>
              <w:bottom w:val="single" w:sz="8" w:color="auto"/>
              <w:right w:val="single" w:sz="8" w:color="auto"/>
            </w:tcBorders>
          </w:tcPr>
          <w:p>
            <w:pPr>
              <w:spacing w:after="0"/>
              <w:rPr>
                <w:sz w:val="4"/>
                <w:szCs w:val="4"/>
                <w:color w:val="auto"/>
              </w:rPr>
            </w:pPr>
          </w:p>
        </w:tc>
        <w:tc>
          <w:tcPr>
            <w:tcW w:w="8060" w:type="dxa"/>
            <w:vAlign w:val="bottom"/>
            <w:tcBorders>
              <w:bottom w:val="single" w:sz="8" w:color="auto"/>
              <w:right w:val="single" w:sz="8" w:color="auto"/>
            </w:tcBorders>
          </w:tcPr>
          <w:p>
            <w:pPr>
              <w:spacing w:after="0"/>
              <w:rPr>
                <w:sz w:val="4"/>
                <w:szCs w:val="4"/>
                <w:color w:val="auto"/>
              </w:rPr>
            </w:pPr>
          </w:p>
        </w:tc>
      </w:tr>
      <w:tr>
        <w:trPr>
          <w:trHeight w:val="255"/>
        </w:trPr>
        <w:tc>
          <w:tcPr>
            <w:tcW w:w="1124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GOVERNANCE &amp; CONTROL — TAKE-PRIVATE PROPOSAL</w:t>
            </w:r>
          </w:p>
        </w:tc>
      </w:tr>
      <w:tr>
        <w:trPr>
          <w:trHeight w:val="53"/>
        </w:trPr>
        <w:tc>
          <w:tcPr>
            <w:tcW w:w="3180" w:type="dxa"/>
            <w:vAlign w:val="bottom"/>
            <w:tcBorders>
              <w:left w:val="single" w:sz="8" w:color="auto"/>
              <w:bottom w:val="single" w:sz="8" w:color="auto"/>
            </w:tcBorders>
          </w:tcPr>
          <w:p>
            <w:pPr>
              <w:spacing w:after="0"/>
              <w:rPr>
                <w:sz w:val="4"/>
                <w:szCs w:val="4"/>
                <w:color w:val="auto"/>
              </w:rPr>
            </w:pPr>
          </w:p>
        </w:tc>
        <w:tc>
          <w:tcPr>
            <w:tcW w:w="8060" w:type="dxa"/>
            <w:vAlign w:val="bottom"/>
            <w:tcBorders>
              <w:bottom w:val="single" w:sz="8" w:color="auto"/>
              <w:right w:val="single" w:sz="8" w:color="auto"/>
            </w:tcBorders>
          </w:tcPr>
          <w:p>
            <w:pPr>
              <w:spacing w:after="0"/>
              <w:rPr>
                <w:sz w:val="4"/>
                <w:szCs w:val="4"/>
                <w:color w:val="auto"/>
              </w:rPr>
            </w:pPr>
          </w:p>
        </w:tc>
      </w:tr>
      <w:tr>
        <w:trPr>
          <w:trHeight w:val="237"/>
        </w:trPr>
        <w:tc>
          <w:tcPr>
            <w:tcW w:w="3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Decision Authority</w:t>
            </w:r>
          </w:p>
        </w:tc>
        <w:tc>
          <w:tcPr>
            <w:tcW w:w="80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following matters relating to the Take-Private shall require the mutual agreement of Cobblers Cove and</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Arkhouse:</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(i)          determination and announcement of any offer price;</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(ii)         selection of advisors and financing arrangements;</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(iii)        engagement with the Target’s board and management.</w:t>
            </w:r>
          </w:p>
        </w:tc>
      </w:tr>
      <w:tr>
        <w:trPr>
          <w:trHeight w:val="53"/>
        </w:trPr>
        <w:tc>
          <w:tcPr>
            <w:tcW w:w="3180" w:type="dxa"/>
            <w:vAlign w:val="bottom"/>
            <w:tcBorders>
              <w:left w:val="single" w:sz="8" w:color="auto"/>
              <w:bottom w:val="single" w:sz="8" w:color="auto"/>
              <w:right w:val="single" w:sz="8" w:color="auto"/>
            </w:tcBorders>
          </w:tcPr>
          <w:p>
            <w:pPr>
              <w:spacing w:after="0"/>
              <w:rPr>
                <w:sz w:val="4"/>
                <w:szCs w:val="4"/>
                <w:color w:val="auto"/>
              </w:rPr>
            </w:pPr>
          </w:p>
        </w:tc>
        <w:tc>
          <w:tcPr>
            <w:tcW w:w="8060" w:type="dxa"/>
            <w:vAlign w:val="bottom"/>
            <w:tcBorders>
              <w:bottom w:val="single" w:sz="8" w:color="auto"/>
              <w:right w:val="single" w:sz="8" w:color="auto"/>
            </w:tcBorders>
          </w:tcPr>
          <w:p>
            <w:pPr>
              <w:spacing w:after="0"/>
              <w:rPr>
                <w:sz w:val="4"/>
                <w:szCs w:val="4"/>
                <w:color w:val="auto"/>
              </w:rPr>
            </w:pPr>
          </w:p>
        </w:tc>
      </w:tr>
      <w:tr>
        <w:trPr>
          <w:trHeight w:val="623"/>
        </w:trPr>
        <w:tc>
          <w:tcPr>
            <w:tcW w:w="31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7980"/>
              <w:spacing w:after="0"/>
              <w:rPr>
                <w:sz w:val="20"/>
                <w:szCs w:val="20"/>
                <w:color w:val="auto"/>
              </w:rPr>
            </w:pPr>
            <w:r>
              <w:rPr>
                <w:rFonts w:ascii="Times New Roman" w:cs="Times New Roman" w:eastAsia="Times New Roman" w:hAnsi="Times New Roman"/>
                <w:sz w:val="11"/>
                <w:szCs w:val="11"/>
                <w:color w:val="auto"/>
                <w:w w:val="71"/>
              </w:rPr>
              <w:t>3</w:t>
            </w:r>
          </w:p>
        </w:tc>
      </w:tr>
    </w:tbl>
    <w:p>
      <w:pPr>
        <w:sectPr>
          <w:pgSz w:w="11900" w:h="16838" w:orient="portrait"/>
          <w:cols w:equalWidth="0" w:num="1">
            <w:col w:w="11240"/>
          </w:cols>
          <w:pgMar w:left="320" w:top="881" w:right="339" w:bottom="1440" w:gutter="0" w:footer="0" w:header="0"/>
        </w:sectPr>
      </w:pPr>
    </w:p>
    <w:bookmarkStart w:id="15" w:name="page16"/>
    <w:bookmarkEnd w:id="15"/>
    <w:p>
      <w:pPr>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CONFIDENTIAL</w:t>
      </w:r>
      <w:r>
        <w:rPr>
          <w:sz w:val="20"/>
          <w:szCs w:val="20"/>
          <w:color w:val="auto"/>
        </w:rPr>
        <w:tab/>
      </w:r>
      <w:r>
        <w:rPr>
          <w:rFonts w:ascii="Times New Roman" w:cs="Times New Roman" w:eastAsia="Times New Roman" w:hAnsi="Times New Roman"/>
          <w:sz w:val="18"/>
          <w:szCs w:val="18"/>
          <w:color w:val="auto"/>
        </w:rPr>
        <w:t>PAUL, WEISS, RIFKIND, WHARTON &amp; GARRISON LLP</w:t>
      </w:r>
    </w:p>
    <w:p>
      <w:pPr>
        <w:spacing w:after="0" w:line="23" w:lineRule="exact"/>
        <w:rPr>
          <w:sz w:val="20"/>
          <w:szCs w:val="20"/>
          <w:color w:val="auto"/>
        </w:rPr>
      </w:pPr>
    </w:p>
    <w:p>
      <w:pPr>
        <w:jc w:val="right"/>
        <w:ind w:left="100"/>
        <w:spacing w:after="0" w:line="252" w:lineRule="auto"/>
        <w:rPr>
          <w:sz w:val="20"/>
          <w:szCs w:val="20"/>
          <w:color w:val="auto"/>
        </w:rPr>
      </w:pPr>
      <w:r>
        <w:rPr>
          <w:rFonts w:ascii="Times New Roman" w:cs="Times New Roman" w:eastAsia="Times New Roman" w:hAnsi="Times New Roman"/>
          <w:sz w:val="18"/>
          <w:szCs w:val="18"/>
          <w:b w:val="1"/>
          <w:bCs w:val="1"/>
          <w:color w:val="auto"/>
        </w:rPr>
        <w:t>CONFIDENTIAL TREATMENT REQUESTED BY COBBLERS COVE CAPITAL LP, COBBLERS COVE CAPITAL MANAGEMENT GP LLC, MATTHEW PERKAL, AND BENJAMIN F. RATTNER PURSUANT TO RULE 24b-2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-412750</wp:posOffset>
            </wp:positionV>
            <wp:extent cx="71361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31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0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SUMMARY</w:t>
            </w:r>
          </w:p>
        </w:tc>
      </w:tr>
      <w:tr>
        <w:trPr>
          <w:trHeight w:val="79"/>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r>
      <w:tr>
        <w:trPr>
          <w:trHeight w:val="264"/>
        </w:trPr>
        <w:tc>
          <w:tcPr>
            <w:tcW w:w="3180" w:type="dxa"/>
            <w:vAlign w:val="bottom"/>
            <w:tcBorders>
              <w:left w:val="single" w:sz="8" w:color="auto"/>
              <w:right w:val="single" w:sz="8" w:color="auto"/>
            </w:tcBorders>
          </w:tcPr>
          <w:p>
            <w:pPr>
              <w:spacing w:after="0"/>
              <w:rPr>
                <w:sz w:val="22"/>
                <w:szCs w:val="22"/>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Cobblers Cove shall have decision-making authority with respect to the structuring and terms of the definitive</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Take-Private documentation, after consulting with Arkhouse in good faith. Arkhouse shall receive copies of</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transaction documents in connection with the Take-Private.</w:t>
            </w:r>
          </w:p>
        </w:tc>
      </w:tr>
      <w:tr>
        <w:trPr>
          <w:trHeight w:val="402"/>
        </w:trPr>
        <w:tc>
          <w:tcPr>
            <w:tcW w:w="3180" w:type="dxa"/>
            <w:vAlign w:val="bottom"/>
            <w:tcBorders>
              <w:left w:val="single" w:sz="8" w:color="auto"/>
              <w:right w:val="single" w:sz="8" w:color="auto"/>
            </w:tcBorders>
          </w:tcPr>
          <w:p>
            <w:pPr>
              <w:spacing w:after="0"/>
              <w:rPr>
                <w:sz w:val="24"/>
                <w:szCs w:val="24"/>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If the parties are unable to agree on any of the matters described in clauses (i) through (iii) above, either party</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may proceed with its proposed approach (including the making of a proposal to the Target or a public offer)</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without the other party, and the other party shall have no obligation to participate in or fund the Take-Private on</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such terms.</w:t>
            </w:r>
          </w:p>
        </w:tc>
      </w:tr>
      <w:tr>
        <w:trPr>
          <w:trHeight w:val="402"/>
        </w:trPr>
        <w:tc>
          <w:tcPr>
            <w:tcW w:w="3180" w:type="dxa"/>
            <w:vAlign w:val="bottom"/>
            <w:tcBorders>
              <w:left w:val="single" w:sz="8" w:color="auto"/>
              <w:right w:val="single" w:sz="8" w:color="auto"/>
            </w:tcBorders>
          </w:tcPr>
          <w:p>
            <w:pPr>
              <w:spacing w:after="0"/>
              <w:rPr>
                <w:sz w:val="24"/>
                <w:szCs w:val="24"/>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Notwithstanding the foregoing, upon submission of an offer or proposal to the Target jointly approved by</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Cobblers Cove and Arkhouse, the parties shall work exclusively with each other in pursuing the Take-Private.</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Neither party shall, directly or indirectly, alone or with any third party, pursue, propose, participate in or finance</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an acquisition of the Target other than jointly with the other party. These obligations shall remain in effect until</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consummation of the Take-Private or the parties’ mutual written agreement to terminate such exclusivity,</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notwithstanding any subsequent disagreement between the parties or withdrawal of the offer or proposal.</w:t>
            </w:r>
          </w:p>
        </w:tc>
      </w:tr>
      <w:tr>
        <w:trPr>
          <w:trHeight w:val="79"/>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r>
      <w:tr>
        <w:trPr>
          <w:trHeight w:val="281"/>
        </w:trPr>
        <w:tc>
          <w:tcPr>
            <w:tcW w:w="1124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ECONOMICS — POST-TAKE-PRIVATE</w:t>
            </w:r>
          </w:p>
        </w:tc>
      </w:tr>
      <w:tr>
        <w:trPr>
          <w:trHeight w:val="79"/>
        </w:trPr>
        <w:tc>
          <w:tcPr>
            <w:tcW w:w="3180" w:type="dxa"/>
            <w:vAlign w:val="bottom"/>
            <w:tcBorders>
              <w:left w:val="single" w:sz="8" w:color="auto"/>
              <w:bottom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r>
      <w:tr>
        <w:trPr>
          <w:trHeight w:val="262"/>
        </w:trPr>
        <w:tc>
          <w:tcPr>
            <w:tcW w:w="3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Economic Split; Capitalization</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Immediately following the closing of the Take-Private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common equity of the Target as a</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private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will be held </w:t>
            </w:r>
            <w:r>
              <w:rPr>
                <w:rFonts w:ascii="Times New Roman" w:cs="Times New Roman" w:eastAsia="Times New Roman" w:hAnsi="Times New Roman"/>
                <w:sz w:val="18"/>
                <w:szCs w:val="18"/>
                <w:b w:val="1"/>
                <w:bCs w:val="1"/>
                <w:color w:val="auto"/>
              </w:rPr>
              <w:t>[***]% by Cobblers Cove / [***]% by Arkhouse</w:t>
            </w:r>
            <w:r>
              <w:rPr>
                <w:rFonts w:ascii="Times New Roman" w:cs="Times New Roman" w:eastAsia="Times New Roman" w:hAnsi="Times New Roman"/>
                <w:sz w:val="18"/>
                <w:szCs w:val="18"/>
                <w:color w:val="auto"/>
              </w:rPr>
              <w:t xml:space="preserve"> (such</w:t>
            </w:r>
          </w:p>
        </w:tc>
      </w:tr>
      <w:tr>
        <w:trPr>
          <w:trHeight w:val="212"/>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party’s respective percentage, its “</w:t>
            </w:r>
            <w:r>
              <w:rPr>
                <w:rFonts w:ascii="Times New Roman" w:cs="Times New Roman" w:eastAsia="Times New Roman" w:hAnsi="Times New Roman"/>
                <w:sz w:val="18"/>
                <w:szCs w:val="18"/>
                <w:b w:val="1"/>
                <w:bCs w:val="1"/>
                <w:color w:val="auto"/>
                <w:w w:val="99"/>
              </w:rPr>
              <w:t>Committed Percentage</w:t>
            </w:r>
            <w:r>
              <w:rPr>
                <w:rFonts w:ascii="Times New Roman" w:cs="Times New Roman" w:eastAsia="Times New Roman" w:hAnsi="Times New Roman"/>
                <w:sz w:val="18"/>
                <w:szCs w:val="18"/>
                <w:color w:val="auto"/>
                <w:w w:val="99"/>
              </w:rPr>
              <w:t>”), on the basis that each party funds its Committed</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Percentage of the equity capital required for the Take-Private, inclusive of the Initial Share Accumulation to the</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extent rolled over and valued at its fair market value at the time of the Take-Private.</w:t>
            </w:r>
          </w:p>
        </w:tc>
      </w:tr>
      <w:tr>
        <w:trPr>
          <w:trHeight w:val="400"/>
        </w:trPr>
        <w:tc>
          <w:tcPr>
            <w:tcW w:w="3180" w:type="dxa"/>
            <w:vAlign w:val="bottom"/>
            <w:tcBorders>
              <w:left w:val="single" w:sz="8" w:color="auto"/>
              <w:right w:val="single" w:sz="8" w:color="auto"/>
            </w:tcBorders>
          </w:tcPr>
          <w:p>
            <w:pPr>
              <w:spacing w:after="0"/>
              <w:rPr>
                <w:sz w:val="24"/>
                <w:szCs w:val="24"/>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foregoing percentages are subject to adjustment upon any subsequent capital contributions, issuances, or</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other events as provided in the definitive governance agreement for the Company (the </w:t>
            </w:r>
            <w:r>
              <w:rPr>
                <w:rFonts w:ascii="Times New Roman" w:cs="Times New Roman" w:eastAsia="Times New Roman" w:hAnsi="Times New Roman"/>
                <w:sz w:val="18"/>
                <w:szCs w:val="18"/>
                <w:b w:val="1"/>
                <w:bCs w:val="1"/>
                <w:color w:val="auto"/>
              </w:rPr>
              <w:t>"Definitive</w:t>
            </w:r>
          </w:p>
        </w:tc>
      </w:tr>
      <w:tr>
        <w:trPr>
          <w:trHeight w:val="230"/>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tc>
      </w:tr>
      <w:tr>
        <w:trPr>
          <w:trHeight w:val="79"/>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r>
      <w:tr>
        <w:trPr>
          <w:trHeight w:val="262"/>
        </w:trPr>
        <w:tc>
          <w:tcPr>
            <w:tcW w:w="3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Commitment Confirmation</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Not later than 15 business days prior to the submission of any definitive proposal for the Take-Private, Cobblers</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Cove shall deliver to Arkhouse a written notice (the “</w:t>
            </w:r>
            <w:r>
              <w:rPr>
                <w:rFonts w:ascii="Times New Roman" w:cs="Times New Roman" w:eastAsia="Times New Roman" w:hAnsi="Times New Roman"/>
                <w:sz w:val="18"/>
                <w:szCs w:val="18"/>
                <w:b w:val="1"/>
                <w:bCs w:val="1"/>
                <w:color w:val="auto"/>
                <w:w w:val="99"/>
              </w:rPr>
              <w:t>Funding Notice</w:t>
            </w:r>
            <w:r>
              <w:rPr>
                <w:rFonts w:ascii="Times New Roman" w:cs="Times New Roman" w:eastAsia="Times New Roman" w:hAnsi="Times New Roman"/>
                <w:sz w:val="18"/>
                <w:szCs w:val="18"/>
                <w:color w:val="auto"/>
                <w:w w:val="99"/>
              </w:rPr>
              <w:t>”) setting forth its good-faith estimate of</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aggregate equity capital required to fund the Take-Private (the “</w:t>
            </w:r>
            <w:r>
              <w:rPr>
                <w:rFonts w:ascii="Times New Roman" w:cs="Times New Roman" w:eastAsia="Times New Roman" w:hAnsi="Times New Roman"/>
                <w:sz w:val="18"/>
                <w:szCs w:val="18"/>
                <w:b w:val="1"/>
                <w:bCs w:val="1"/>
                <w:color w:val="auto"/>
              </w:rPr>
              <w:t>Required Equity</w:t>
            </w:r>
            <w:r>
              <w:rPr>
                <w:rFonts w:ascii="Times New Roman" w:cs="Times New Roman" w:eastAsia="Times New Roman" w:hAnsi="Times New Roman"/>
                <w:sz w:val="18"/>
                <w:szCs w:val="18"/>
                <w:color w:val="auto"/>
              </w:rPr>
              <w:t>”) and the anticipated</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timeline for funding. Within 10 business days following delivery of the Funding Notice (the “</w:t>
            </w:r>
            <w:r>
              <w:rPr>
                <w:rFonts w:ascii="Times New Roman" w:cs="Times New Roman" w:eastAsia="Times New Roman" w:hAnsi="Times New Roman"/>
                <w:sz w:val="18"/>
                <w:szCs w:val="18"/>
                <w:b w:val="1"/>
                <w:bCs w:val="1"/>
                <w:color w:val="auto"/>
              </w:rPr>
              <w:t>Commitment</w:t>
            </w:r>
          </w:p>
        </w:tc>
      </w:tr>
      <w:tr>
        <w:trPr>
          <w:trHeight w:val="212"/>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Period</w:t>
            </w:r>
            <w:r>
              <w:rPr>
                <w:rFonts w:ascii="Times New Roman" w:cs="Times New Roman" w:eastAsia="Times New Roman" w:hAnsi="Times New Roman"/>
                <w:sz w:val="18"/>
                <w:szCs w:val="18"/>
                <w:color w:val="auto"/>
                <w:w w:val="99"/>
              </w:rPr>
              <w:t>”), each party shall deliver to the other a written, irrevocable commitment (the “</w:t>
            </w:r>
            <w:r>
              <w:rPr>
                <w:rFonts w:ascii="Times New Roman" w:cs="Times New Roman" w:eastAsia="Times New Roman" w:hAnsi="Times New Roman"/>
                <w:sz w:val="18"/>
                <w:szCs w:val="18"/>
                <w:b w:val="1"/>
                <w:bCs w:val="1"/>
                <w:color w:val="auto"/>
                <w:w w:val="99"/>
              </w:rPr>
              <w:t>Equity Commitment</w:t>
            </w:r>
            <w:r>
              <w:rPr>
                <w:rFonts w:ascii="Times New Roman" w:cs="Times New Roman" w:eastAsia="Times New Roman" w:hAnsi="Times New Roman"/>
                <w:sz w:val="18"/>
                <w:szCs w:val="18"/>
                <w:color w:val="auto"/>
                <w:w w:val="99"/>
              </w:rPr>
              <w:t>”)</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7"/>
              </w:rPr>
              <w:t>confirming its election to fund its Committed Percentage of the Required Equity. Absent the consent of the other</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party, neither party shall have the right to participate in the Take-Private on the terms set forth herein other than</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 such party’s Committed Percentage. If a party fails to deliver its Equity Commitment reflecting its full</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Committed Percentage prior to the expiration of the Commitment Period, such party will lose the right to</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participate in the Take-Private.</w:t>
            </w:r>
          </w:p>
        </w:tc>
      </w:tr>
      <w:tr>
        <w:trPr>
          <w:trHeight w:val="79"/>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r>
      <w:tr>
        <w:trPr>
          <w:trHeight w:val="623"/>
        </w:trPr>
        <w:tc>
          <w:tcPr>
            <w:tcW w:w="31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7980"/>
              <w:spacing w:after="0"/>
              <w:rPr>
                <w:sz w:val="20"/>
                <w:szCs w:val="20"/>
                <w:color w:val="auto"/>
              </w:rPr>
            </w:pPr>
            <w:r>
              <w:rPr>
                <w:rFonts w:ascii="Times New Roman" w:cs="Times New Roman" w:eastAsia="Times New Roman" w:hAnsi="Times New Roman"/>
                <w:sz w:val="11"/>
                <w:szCs w:val="11"/>
                <w:color w:val="auto"/>
                <w:w w:val="71"/>
              </w:rPr>
              <w:t>4</w:t>
            </w:r>
          </w:p>
        </w:tc>
      </w:tr>
    </w:tbl>
    <w:p>
      <w:pPr>
        <w:sectPr>
          <w:pgSz w:w="11900" w:h="16838" w:orient="portrait"/>
          <w:cols w:equalWidth="0" w:num="1">
            <w:col w:w="11240"/>
          </w:cols>
          <w:pgMar w:left="320" w:top="881" w:right="339" w:bottom="1440" w:gutter="0" w:footer="0" w:header="0"/>
        </w:sectPr>
      </w:pPr>
    </w:p>
    <w:bookmarkStart w:id="16" w:name="page17"/>
    <w:bookmarkEnd w:id="16"/>
    <w:p>
      <w:pPr>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CONFIDENTIAL</w:t>
      </w:r>
      <w:r>
        <w:rPr>
          <w:sz w:val="20"/>
          <w:szCs w:val="20"/>
          <w:color w:val="auto"/>
        </w:rPr>
        <w:tab/>
      </w:r>
      <w:r>
        <w:rPr>
          <w:rFonts w:ascii="Times New Roman" w:cs="Times New Roman" w:eastAsia="Times New Roman" w:hAnsi="Times New Roman"/>
          <w:sz w:val="18"/>
          <w:szCs w:val="18"/>
          <w:color w:val="auto"/>
        </w:rPr>
        <w:t>PAUL, WEISS, RIFKIND, WHARTON &amp; GARRISON LLP</w:t>
      </w:r>
    </w:p>
    <w:p>
      <w:pPr>
        <w:spacing w:after="0" w:line="23" w:lineRule="exact"/>
        <w:rPr>
          <w:sz w:val="20"/>
          <w:szCs w:val="20"/>
          <w:color w:val="auto"/>
        </w:rPr>
      </w:pPr>
    </w:p>
    <w:p>
      <w:pPr>
        <w:jc w:val="right"/>
        <w:ind w:left="100"/>
        <w:spacing w:after="0" w:line="252" w:lineRule="auto"/>
        <w:rPr>
          <w:sz w:val="20"/>
          <w:szCs w:val="20"/>
          <w:color w:val="auto"/>
        </w:rPr>
      </w:pPr>
      <w:r>
        <w:rPr>
          <w:rFonts w:ascii="Times New Roman" w:cs="Times New Roman" w:eastAsia="Times New Roman" w:hAnsi="Times New Roman"/>
          <w:sz w:val="18"/>
          <w:szCs w:val="18"/>
          <w:b w:val="1"/>
          <w:bCs w:val="1"/>
          <w:color w:val="auto"/>
        </w:rPr>
        <w:t>CONFIDENTIAL TREATMENT REQUESTED BY COBBLERS COVE CAPITAL LP, COBBLERS COVE CAPITAL MANAGEMENT GP LLC, MATTHEW PERKAL, AND BENJAMIN F. RATTNER PURSUANT TO RULE 24b-2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-412750</wp:posOffset>
            </wp:positionV>
            <wp:extent cx="71361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31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0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SUMMARY</w:t>
            </w:r>
          </w:p>
        </w:tc>
      </w:tr>
      <w:tr>
        <w:trPr>
          <w:trHeight w:val="79"/>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r>
      <w:tr>
        <w:trPr>
          <w:trHeight w:val="264"/>
        </w:trPr>
        <w:tc>
          <w:tcPr>
            <w:tcW w:w="3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Pursuit Costs</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All pre-closing pursuit costs incurred in connection with the Take-Private (including, without limitation, due</w:t>
            </w: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diligence expenses, legal, accounting and advisory fees, financing costs and other transaction-related costs,</w:t>
            </w:r>
          </w:p>
        </w:tc>
      </w:tr>
      <w:tr>
        <w:trPr>
          <w:trHeight w:val="212"/>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collectively, “</w:t>
            </w:r>
            <w:r>
              <w:rPr>
                <w:rFonts w:ascii="Times New Roman" w:cs="Times New Roman" w:eastAsia="Times New Roman" w:hAnsi="Times New Roman"/>
                <w:sz w:val="18"/>
                <w:szCs w:val="18"/>
                <w:b w:val="1"/>
                <w:bCs w:val="1"/>
                <w:color w:val="auto"/>
                <w:w w:val="98"/>
              </w:rPr>
              <w:t>Pursuit Costs</w:t>
            </w:r>
            <w:r>
              <w:rPr>
                <w:rFonts w:ascii="Times New Roman" w:cs="Times New Roman" w:eastAsia="Times New Roman" w:hAnsi="Times New Roman"/>
                <w:sz w:val="18"/>
                <w:szCs w:val="18"/>
                <w:color w:val="auto"/>
                <w:w w:val="98"/>
              </w:rPr>
              <w:t>”) shall be borne by each party in proportion to its Committed Percentage. If, at any</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time prior to delivery of such party’s Equity Commitment, a party delivers written notice to the other party that</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it no longer desires to pursue the Take-Private, such party will not be responsible for any Pursuit Costs incurred</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after the date of delivery of such notice.</w:t>
            </w:r>
          </w:p>
        </w:tc>
      </w:tr>
      <w:tr>
        <w:trPr>
          <w:trHeight w:val="79"/>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r>
      <w:tr>
        <w:trPr>
          <w:trHeight w:val="281"/>
        </w:trPr>
        <w:tc>
          <w:tcPr>
            <w:tcW w:w="1124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BOARD OF MANAGERS — COMPOSITION &amp; VOTING</w:t>
            </w:r>
          </w:p>
        </w:tc>
      </w:tr>
      <w:tr>
        <w:trPr>
          <w:trHeight w:val="79"/>
        </w:trPr>
        <w:tc>
          <w:tcPr>
            <w:tcW w:w="3180" w:type="dxa"/>
            <w:vAlign w:val="bottom"/>
            <w:tcBorders>
              <w:left w:val="single" w:sz="8" w:color="auto"/>
              <w:bottom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r>
      <w:tr>
        <w:trPr>
          <w:trHeight w:val="281"/>
        </w:trPr>
        <w:tc>
          <w:tcPr>
            <w:tcW w:w="3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Board Size &amp; Composition</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The board of managers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consist of 5 members, initially as follows:</w:t>
            </w:r>
          </w:p>
        </w:tc>
      </w:tr>
      <w:tr>
        <w:trPr>
          <w:trHeight w:val="400"/>
        </w:trPr>
        <w:tc>
          <w:tcPr>
            <w:tcW w:w="3180" w:type="dxa"/>
            <w:vAlign w:val="bottom"/>
            <w:tcBorders>
              <w:left w:val="single" w:sz="8" w:color="auto"/>
              <w:right w:val="single" w:sz="8" w:color="auto"/>
            </w:tcBorders>
          </w:tcPr>
          <w:p>
            <w:pPr>
              <w:spacing w:after="0"/>
              <w:rPr>
                <w:sz w:val="24"/>
                <w:szCs w:val="24"/>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 xml:space="preserve">Cobblers Cove Designation Rights: </w:t>
            </w:r>
            <w:r>
              <w:rPr>
                <w:rFonts w:ascii="Times New Roman" w:cs="Times New Roman" w:eastAsia="Times New Roman" w:hAnsi="Times New Roman"/>
                <w:sz w:val="18"/>
                <w:szCs w:val="18"/>
                <w:color w:val="auto"/>
                <w:w w:val="97"/>
              </w:rPr>
              <w:t>Cobblers Cove shall have the right to appoint (any managers so appointed,</w:t>
            </w:r>
          </w:p>
        </w:tc>
      </w:tr>
      <w:tr>
        <w:trPr>
          <w:trHeight w:val="230"/>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"Cobblers Cove Designees"</w:t>
            </w:r>
            <w:r>
              <w:rPr>
                <w:rFonts w:ascii="Times New Roman" w:cs="Times New Roman" w:eastAsia="Times New Roman" w:hAnsi="Times New Roman"/>
                <w:sz w:val="18"/>
                <w:szCs w:val="18"/>
                <w:color w:val="auto"/>
              </w:rPr>
              <w:t>):</w:t>
            </w:r>
          </w:p>
        </w:tc>
      </w:tr>
      <w:tr>
        <w:trPr>
          <w:trHeight w:val="402"/>
        </w:trPr>
        <w:tc>
          <w:tcPr>
            <w:tcW w:w="3180" w:type="dxa"/>
            <w:vAlign w:val="bottom"/>
            <w:tcBorders>
              <w:left w:val="single" w:sz="8" w:color="auto"/>
              <w:right w:val="single" w:sz="8" w:color="auto"/>
            </w:tcBorders>
          </w:tcPr>
          <w:p>
            <w:pPr>
              <w:spacing w:after="0"/>
              <w:rPr>
                <w:sz w:val="24"/>
                <w:szCs w:val="24"/>
                <w:color w:val="auto"/>
              </w:rPr>
            </w:pPr>
          </w:p>
        </w:tc>
        <w:tc>
          <w:tcPr>
            <w:tcW w:w="806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 xml:space="preserve">(i)            A majority of the managers to the Board for so long as it owns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of the equity</w:t>
            </w: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interests it acquired at Closing;</w:t>
            </w:r>
          </w:p>
        </w:tc>
      </w:tr>
      <w:tr>
        <w:trPr>
          <w:trHeight w:val="212"/>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9"/>
              </w:rPr>
              <w:t xml:space="preserve">(ii)           2 manager(s) for so long as it owns at least </w:t>
            </w: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 of the equity interests it acquired at Closing;</w:t>
            </w: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and</w:t>
            </w:r>
          </w:p>
        </w:tc>
      </w:tr>
      <w:tr>
        <w:trPr>
          <w:trHeight w:val="212"/>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9"/>
              </w:rPr>
              <w:t xml:space="preserve">(iii)          1 manager for so long as it owns at least </w:t>
            </w: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 of the equity interests it acquired at Closing (in</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each case, as appropriately adjusted for splits, dividends or similar events).</w:t>
            </w:r>
          </w:p>
        </w:tc>
      </w:tr>
      <w:tr>
        <w:trPr>
          <w:trHeight w:val="400"/>
        </w:trPr>
        <w:tc>
          <w:tcPr>
            <w:tcW w:w="3180" w:type="dxa"/>
            <w:vAlign w:val="bottom"/>
            <w:tcBorders>
              <w:left w:val="single" w:sz="8" w:color="auto"/>
              <w:right w:val="single" w:sz="8" w:color="auto"/>
            </w:tcBorders>
          </w:tcPr>
          <w:p>
            <w:pPr>
              <w:spacing w:after="0"/>
              <w:rPr>
                <w:sz w:val="24"/>
                <w:szCs w:val="24"/>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Arkhouse Designation Rights: </w:t>
            </w:r>
            <w:r>
              <w:rPr>
                <w:rFonts w:ascii="Times New Roman" w:cs="Times New Roman" w:eastAsia="Times New Roman" w:hAnsi="Times New Roman"/>
                <w:sz w:val="18"/>
                <w:szCs w:val="18"/>
                <w:color w:val="auto"/>
              </w:rPr>
              <w:t>Arkhouse shall have the right to appoint (any managers so appointed, the</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"Arkhouse Designees"</w:t>
            </w:r>
            <w:r>
              <w:rPr>
                <w:rFonts w:ascii="Times New Roman" w:cs="Times New Roman" w:eastAsia="Times New Roman" w:hAnsi="Times New Roman"/>
                <w:sz w:val="18"/>
                <w:szCs w:val="18"/>
                <w:color w:val="auto"/>
                <w:w w:val="98"/>
              </w:rPr>
              <w:t>): (i) 2 managers for so long as it owns at least</w:t>
            </w:r>
            <w:r>
              <w:rPr>
                <w:rFonts w:ascii="Times New Roman" w:cs="Times New Roman" w:eastAsia="Times New Roman" w:hAnsi="Times New Roman"/>
                <w:sz w:val="18"/>
                <w:szCs w:val="18"/>
                <w:b w:val="1"/>
                <w:bCs w:val="1"/>
                <w:color w:val="auto"/>
                <w:w w:val="98"/>
              </w:rPr>
              <w:t xml:space="preserve"> [***]</w:t>
            </w:r>
            <w:r>
              <w:rPr>
                <w:rFonts w:ascii="Times New Roman" w:cs="Times New Roman" w:eastAsia="Times New Roman" w:hAnsi="Times New Roman"/>
                <w:sz w:val="18"/>
                <w:szCs w:val="18"/>
                <w:color w:val="auto"/>
                <w:w w:val="98"/>
              </w:rPr>
              <w:t>% of the equity interests it acquired</w:t>
            </w:r>
          </w:p>
        </w:tc>
      </w:tr>
      <w:tr>
        <w:trPr>
          <w:trHeight w:val="212"/>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 xml:space="preserve">at Closing; and (ii) 1 manager for so long as it owns at least </w:t>
            </w: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 of the equity interests it acquired at Closing</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 each case, as appropriately adjusted for splits, dividends or similar events).</w:t>
            </w:r>
          </w:p>
        </w:tc>
      </w:tr>
      <w:tr>
        <w:trPr>
          <w:trHeight w:val="79"/>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r>
      <w:tr>
        <w:trPr>
          <w:trHeight w:val="262"/>
        </w:trPr>
        <w:tc>
          <w:tcPr>
            <w:tcW w:w="318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Company shall reimburse each Cobblers Cove Designee and Arkhouse Designee for their reasonable,</w:t>
            </w:r>
          </w:p>
        </w:tc>
      </w:tr>
      <w:tr>
        <w:trPr>
          <w:trHeight w:val="212"/>
        </w:trPr>
        <w:tc>
          <w:tcPr>
            <w:tcW w:w="318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Reimbursement</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documented out-of-pocket fees, costs and expenses (including reasonable travel and lodging expenses) incurred</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in attending Board and committee meetings or in the performance of services for the Company at the request of</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Board.</w:t>
            </w:r>
          </w:p>
        </w:tc>
      </w:tr>
      <w:tr>
        <w:trPr>
          <w:trHeight w:val="79"/>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r>
      <w:tr>
        <w:trPr>
          <w:trHeight w:val="264"/>
        </w:trPr>
        <w:tc>
          <w:tcPr>
            <w:tcW w:w="3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Corporate Opportunity Waiver</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The Definitive Agreement shall contain a customary waiver of the corporate opportunity doctrine and waiver of</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fiduciary duties for each of Cobblers Cove and Arkhouse and their respective designated managers and</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observers.</w:t>
            </w:r>
          </w:p>
        </w:tc>
      </w:tr>
      <w:tr>
        <w:trPr>
          <w:trHeight w:val="79"/>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r>
      <w:tr>
        <w:trPr>
          <w:trHeight w:val="281"/>
        </w:trPr>
        <w:tc>
          <w:tcPr>
            <w:tcW w:w="1124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INVESTOR CONSENT RIGHTS — POST-CLOSING</w:t>
            </w:r>
          </w:p>
        </w:tc>
      </w:tr>
      <w:tr>
        <w:trPr>
          <w:trHeight w:val="79"/>
        </w:trPr>
        <w:tc>
          <w:tcPr>
            <w:tcW w:w="3180" w:type="dxa"/>
            <w:vAlign w:val="bottom"/>
            <w:tcBorders>
              <w:left w:val="single" w:sz="8" w:color="auto"/>
              <w:bottom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r>
      <w:tr>
        <w:trPr>
          <w:trHeight w:val="623"/>
        </w:trPr>
        <w:tc>
          <w:tcPr>
            <w:tcW w:w="31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7980"/>
              <w:spacing w:after="0"/>
              <w:rPr>
                <w:sz w:val="20"/>
                <w:szCs w:val="20"/>
                <w:color w:val="auto"/>
              </w:rPr>
            </w:pPr>
            <w:r>
              <w:rPr>
                <w:rFonts w:ascii="Times New Roman" w:cs="Times New Roman" w:eastAsia="Times New Roman" w:hAnsi="Times New Roman"/>
                <w:sz w:val="11"/>
                <w:szCs w:val="11"/>
                <w:color w:val="auto"/>
                <w:w w:val="71"/>
              </w:rPr>
              <w:t>5</w:t>
            </w:r>
          </w:p>
        </w:tc>
      </w:tr>
    </w:tbl>
    <w:p>
      <w:pPr>
        <w:sectPr>
          <w:pgSz w:w="11900" w:h="16838" w:orient="portrait"/>
          <w:cols w:equalWidth="0" w:num="1">
            <w:col w:w="11240"/>
          </w:cols>
          <w:pgMar w:left="320" w:top="881" w:right="339" w:bottom="1440" w:gutter="0" w:footer="0" w:header="0"/>
        </w:sectPr>
      </w:pPr>
    </w:p>
    <w:bookmarkStart w:id="17" w:name="page18"/>
    <w:bookmarkEnd w:id="17"/>
    <w:p>
      <w:pPr>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CONFIDENTIAL</w:t>
      </w:r>
      <w:r>
        <w:rPr>
          <w:sz w:val="20"/>
          <w:szCs w:val="20"/>
          <w:color w:val="auto"/>
        </w:rPr>
        <w:tab/>
      </w:r>
      <w:r>
        <w:rPr>
          <w:rFonts w:ascii="Times New Roman" w:cs="Times New Roman" w:eastAsia="Times New Roman" w:hAnsi="Times New Roman"/>
          <w:sz w:val="18"/>
          <w:szCs w:val="18"/>
          <w:color w:val="auto"/>
        </w:rPr>
        <w:t>PAUL, WEISS, RIFKIND, WHARTON &amp; GARRISON LLP</w:t>
      </w:r>
    </w:p>
    <w:p>
      <w:pPr>
        <w:spacing w:after="0" w:line="23" w:lineRule="exact"/>
        <w:rPr>
          <w:sz w:val="20"/>
          <w:szCs w:val="20"/>
          <w:color w:val="auto"/>
        </w:rPr>
      </w:pPr>
    </w:p>
    <w:p>
      <w:pPr>
        <w:jc w:val="right"/>
        <w:ind w:left="100"/>
        <w:spacing w:after="0" w:line="252" w:lineRule="auto"/>
        <w:rPr>
          <w:sz w:val="20"/>
          <w:szCs w:val="20"/>
          <w:color w:val="auto"/>
        </w:rPr>
      </w:pPr>
      <w:r>
        <w:rPr>
          <w:rFonts w:ascii="Times New Roman" w:cs="Times New Roman" w:eastAsia="Times New Roman" w:hAnsi="Times New Roman"/>
          <w:sz w:val="18"/>
          <w:szCs w:val="18"/>
          <w:b w:val="1"/>
          <w:bCs w:val="1"/>
          <w:color w:val="auto"/>
        </w:rPr>
        <w:t>CONFIDENTIAL TREATMENT REQUESTED BY COBBLERS COVE CAPITAL LP, COBBLERS COVE CAPITAL MANAGEMENT GP LLC, MATTHEW PERKAL, AND BENJAMIN F. RATTNER PURSUANT TO RULE 24b-2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-412750</wp:posOffset>
            </wp:positionV>
            <wp:extent cx="71361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31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0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SUMMARY</w:t>
            </w:r>
          </w:p>
        </w:tc>
      </w:tr>
      <w:tr>
        <w:trPr>
          <w:trHeight w:val="79"/>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r>
      <w:tr>
        <w:trPr>
          <w:trHeight w:val="262"/>
        </w:trPr>
        <w:tc>
          <w:tcPr>
            <w:tcW w:w="3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All-Investor Consent Rights</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Without the prior written approval of each of Cobblers Cove and Arkhouse (in each case, for so long as it owns</w:t>
            </w:r>
          </w:p>
        </w:tc>
      </w:tr>
      <w:tr>
        <w:trPr>
          <w:trHeight w:val="212"/>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 xml:space="preserve">at least </w:t>
            </w: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 of the equity interests it acquired at Closing), the Company (or any subsidiary) may not take any</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the following actions:</w:t>
            </w:r>
          </w:p>
        </w:tc>
      </w:tr>
      <w:tr>
        <w:trPr>
          <w:trHeight w:val="402"/>
        </w:trPr>
        <w:tc>
          <w:tcPr>
            <w:tcW w:w="3180" w:type="dxa"/>
            <w:vAlign w:val="bottom"/>
            <w:tcBorders>
              <w:left w:val="single" w:sz="8" w:color="auto"/>
              <w:right w:val="single" w:sz="8" w:color="auto"/>
            </w:tcBorders>
          </w:tcPr>
          <w:p>
            <w:pPr>
              <w:spacing w:after="0"/>
              <w:rPr>
                <w:sz w:val="24"/>
                <w:szCs w:val="24"/>
                <w:color w:val="auto"/>
              </w:rPr>
            </w:pPr>
          </w:p>
        </w:tc>
        <w:tc>
          <w:tcPr>
            <w:tcW w:w="8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color w:val="auto"/>
              </w:rPr>
              <w:t>Amend  the  operative  documents  of  the  Company  in  a  manner  that  would  adversely  and</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disproportionately affect such investor;</w:t>
            </w:r>
          </w:p>
        </w:tc>
      </w:tr>
      <w:tr>
        <w:trPr>
          <w:trHeight w:val="402"/>
        </w:trPr>
        <w:tc>
          <w:tcPr>
            <w:tcW w:w="3180" w:type="dxa"/>
            <w:vAlign w:val="bottom"/>
            <w:tcBorders>
              <w:left w:val="single" w:sz="8" w:color="auto"/>
              <w:right w:val="single" w:sz="8" w:color="auto"/>
            </w:tcBorders>
          </w:tcPr>
          <w:p>
            <w:pPr>
              <w:spacing w:after="0"/>
              <w:rPr>
                <w:sz w:val="24"/>
                <w:szCs w:val="24"/>
                <w:color w:val="auto"/>
              </w:rPr>
            </w:pPr>
          </w:p>
        </w:tc>
        <w:tc>
          <w:tcPr>
            <w:tcW w:w="8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w w:val="97"/>
              </w:rPr>
              <w:t>(b)       </w:t>
            </w:r>
            <w:r>
              <w:rPr>
                <w:rFonts w:ascii="Times New Roman" w:cs="Times New Roman" w:eastAsia="Times New Roman" w:hAnsi="Times New Roman"/>
                <w:sz w:val="18"/>
                <w:szCs w:val="18"/>
                <w:color w:val="auto"/>
                <w:w w:val="97"/>
              </w:rPr>
              <w:t>Repurchase or redeem any equity interests, or declare or pay any dividends or distributions, in each case</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other than on a pro rata basis or pursuant to the distribution preferences in the Company's governing</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documents (subject to customary exceptions for employee equity repurchases);</w:t>
            </w:r>
          </w:p>
        </w:tc>
      </w:tr>
      <w:tr>
        <w:trPr>
          <w:trHeight w:val="402"/>
        </w:trPr>
        <w:tc>
          <w:tcPr>
            <w:tcW w:w="3180" w:type="dxa"/>
            <w:vAlign w:val="bottom"/>
            <w:tcBorders>
              <w:left w:val="single" w:sz="8" w:color="auto"/>
              <w:right w:val="single" w:sz="8" w:color="auto"/>
            </w:tcBorders>
          </w:tcPr>
          <w:p>
            <w:pPr>
              <w:spacing w:after="0"/>
              <w:rPr>
                <w:sz w:val="24"/>
                <w:szCs w:val="24"/>
                <w:color w:val="auto"/>
              </w:rPr>
            </w:pPr>
          </w:p>
        </w:tc>
        <w:tc>
          <w:tcPr>
            <w:tcW w:w="8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color w:val="auto"/>
              </w:rPr>
              <w:t>Enter into any agreement or transaction with Cobblers Cove or Arkhouse or any of their respective</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affiliates, other than:</w:t>
            </w:r>
          </w:p>
        </w:tc>
      </w:tr>
      <w:tr>
        <w:trPr>
          <w:trHeight w:val="402"/>
        </w:trPr>
        <w:tc>
          <w:tcPr>
            <w:tcW w:w="3180" w:type="dxa"/>
            <w:vAlign w:val="bottom"/>
            <w:tcBorders>
              <w:left w:val="single" w:sz="8" w:color="auto"/>
              <w:right w:val="single" w:sz="8" w:color="auto"/>
            </w:tcBorders>
          </w:tcPr>
          <w:p>
            <w:pPr>
              <w:spacing w:after="0"/>
              <w:rPr>
                <w:sz w:val="24"/>
                <w:szCs w:val="24"/>
                <w:color w:val="auto"/>
              </w:rPr>
            </w:pPr>
          </w:p>
        </w:tc>
        <w:tc>
          <w:tcPr>
            <w:tcW w:w="80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(i)      equity issuances in accordance with preemptive rights provisions,</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(ii)     transactions between the Company and its wholly-owned subsidiaries,</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(iii)    management services agreements in compliance with the fees and expenses provisions, and</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(iv)    ordinary-course commercial transactions on arm's-length terms no less favorable than would be</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obtained with an unaffiliated third party;</w:t>
            </w:r>
          </w:p>
        </w:tc>
      </w:tr>
      <w:tr>
        <w:trPr>
          <w:trHeight w:val="402"/>
        </w:trPr>
        <w:tc>
          <w:tcPr>
            <w:tcW w:w="3180" w:type="dxa"/>
            <w:vAlign w:val="bottom"/>
            <w:tcBorders>
              <w:left w:val="single" w:sz="8" w:color="auto"/>
              <w:right w:val="single" w:sz="8" w:color="auto"/>
            </w:tcBorders>
          </w:tcPr>
          <w:p>
            <w:pPr>
              <w:spacing w:after="0"/>
              <w:rPr>
                <w:sz w:val="24"/>
                <w:szCs w:val="24"/>
                <w:color w:val="auto"/>
              </w:rPr>
            </w:pPr>
          </w:p>
        </w:tc>
        <w:tc>
          <w:tcPr>
            <w:tcW w:w="8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color w:val="auto"/>
              </w:rPr>
              <w:t>Make any change in tax structure that would be disproportionate and adverse to such investor or its</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affiliates; or</w:t>
            </w:r>
          </w:p>
        </w:tc>
      </w:tr>
      <w:tr>
        <w:trPr>
          <w:trHeight w:val="420"/>
        </w:trPr>
        <w:tc>
          <w:tcPr>
            <w:tcW w:w="3180" w:type="dxa"/>
            <w:vAlign w:val="bottom"/>
            <w:tcBorders>
              <w:left w:val="single" w:sz="8" w:color="auto"/>
              <w:right w:val="single" w:sz="8" w:color="auto"/>
            </w:tcBorders>
          </w:tcPr>
          <w:p>
            <w:pPr>
              <w:spacing w:after="0"/>
              <w:rPr>
                <w:sz w:val="24"/>
                <w:szCs w:val="24"/>
                <w:color w:val="auto"/>
              </w:rPr>
            </w:pPr>
          </w:p>
        </w:tc>
        <w:tc>
          <w:tcPr>
            <w:tcW w:w="8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Make any material change to the business and operations of the Company.</w:t>
            </w:r>
          </w:p>
        </w:tc>
      </w:tr>
      <w:tr>
        <w:trPr>
          <w:trHeight w:val="402"/>
        </w:trPr>
        <w:tc>
          <w:tcPr>
            <w:tcW w:w="3180" w:type="dxa"/>
            <w:vAlign w:val="bottom"/>
            <w:tcBorders>
              <w:left w:val="single" w:sz="8" w:color="auto"/>
              <w:right w:val="single" w:sz="8" w:color="auto"/>
            </w:tcBorders>
          </w:tcPr>
          <w:p>
            <w:pPr>
              <w:spacing w:after="0"/>
              <w:rPr>
                <w:sz w:val="24"/>
                <w:szCs w:val="24"/>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Cobblers Cove shall consult with, and consider in good faith, the comments of, Arkhouse with respect to any</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tax election or decision that would reasonably be expected to have a disproportionate and adverse impact on</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Arkhouse.</w:t>
            </w:r>
          </w:p>
        </w:tc>
      </w:tr>
      <w:tr>
        <w:trPr>
          <w:trHeight w:val="79"/>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r>
      <w:tr>
        <w:trPr>
          <w:trHeight w:val="281"/>
        </w:trPr>
        <w:tc>
          <w:tcPr>
            <w:tcW w:w="1124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TRANSFER RESTRICTIONS, TAG-ALONG &amp; DRAG-ALONG</w:t>
            </w:r>
          </w:p>
        </w:tc>
      </w:tr>
      <w:tr>
        <w:trPr>
          <w:trHeight w:val="79"/>
        </w:trPr>
        <w:tc>
          <w:tcPr>
            <w:tcW w:w="3180" w:type="dxa"/>
            <w:vAlign w:val="bottom"/>
            <w:tcBorders>
              <w:left w:val="single" w:sz="8" w:color="auto"/>
              <w:bottom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r>
      <w:tr>
        <w:trPr>
          <w:trHeight w:val="264"/>
        </w:trPr>
        <w:tc>
          <w:tcPr>
            <w:tcW w:w="3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Limitations on Transfer</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Each investor shall not, without the prior written consent of the Board (which, in the case of a transfer by</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Cobblers Cove, shall include the Arkhouse Designees but not the Cobblers Cove Designees), sell, transfer</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(directly or indirectly), assign or encumber its equity interest, except for sales, transfers and assignments to</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affiliates who are not competitors of the Company or any of its subsidiaries.</w:t>
            </w:r>
          </w:p>
        </w:tc>
      </w:tr>
      <w:tr>
        <w:trPr>
          <w:trHeight w:val="79"/>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r>
      <w:tr>
        <w:trPr>
          <w:trHeight w:val="264"/>
        </w:trPr>
        <w:tc>
          <w:tcPr>
            <w:tcW w:w="3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Preemptive Rights</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Subject to customary exceptions, in the event of any issuance of (i) additional equity interests by the Company</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(or any subsidiary), each investor, and (ii) debt interests in which any equityholder (or any affiliate) participates,</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each investor, shall have the right to purchase its respective pro rata share of such interests. Customary</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exceptions shall apply (e.g., initial management equity issuances).</w:t>
            </w:r>
          </w:p>
        </w:tc>
      </w:tr>
      <w:tr>
        <w:trPr>
          <w:trHeight w:val="79"/>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361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p>
      <w:pPr>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CONFIDENTIAL</w:t>
      </w:r>
      <w:r>
        <w:rPr>
          <w:sz w:val="20"/>
          <w:szCs w:val="20"/>
          <w:color w:val="auto"/>
        </w:rPr>
        <w:tab/>
      </w:r>
      <w:r>
        <w:rPr>
          <w:rFonts w:ascii="Times New Roman" w:cs="Times New Roman" w:eastAsia="Times New Roman" w:hAnsi="Times New Roman"/>
          <w:sz w:val="18"/>
          <w:szCs w:val="18"/>
          <w:color w:val="auto"/>
        </w:rPr>
        <w:t>PAUL, WEISS, RIFKIND, WHARTON &amp; GARRISON LLP</w:t>
      </w:r>
    </w:p>
    <w:p>
      <w:pPr>
        <w:spacing w:after="0" w:line="23" w:lineRule="exact"/>
        <w:rPr>
          <w:sz w:val="20"/>
          <w:szCs w:val="20"/>
          <w:color w:val="auto"/>
        </w:rPr>
      </w:pPr>
    </w:p>
    <w:p>
      <w:pPr>
        <w:jc w:val="right"/>
        <w:ind w:left="100"/>
        <w:spacing w:after="0" w:line="252" w:lineRule="auto"/>
        <w:rPr>
          <w:sz w:val="20"/>
          <w:szCs w:val="20"/>
          <w:color w:val="auto"/>
        </w:rPr>
      </w:pPr>
      <w:r>
        <w:rPr>
          <w:rFonts w:ascii="Times New Roman" w:cs="Times New Roman" w:eastAsia="Times New Roman" w:hAnsi="Times New Roman"/>
          <w:sz w:val="18"/>
          <w:szCs w:val="18"/>
          <w:b w:val="1"/>
          <w:bCs w:val="1"/>
          <w:color w:val="auto"/>
        </w:rPr>
        <w:t>CONFIDENTIAL TREATMENT REQUESTED BY COBBLERS COVE CAPITAL LP, COBBLERS COVE CAPITAL MANAGEMENT GP LLC, MATTHEW PERKAL, AND BENJAMIN F. RATTNER PURSUANT TO RULE 24b-2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-412750</wp:posOffset>
            </wp:positionV>
            <wp:extent cx="71361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32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TERM</w:t>
            </w:r>
          </w:p>
        </w:tc>
        <w:tc>
          <w:tcPr>
            <w:tcW w:w="60" w:type="dxa"/>
            <w:vAlign w:val="bottom"/>
            <w:tcBorders>
              <w:top w:val="single" w:sz="8" w:color="auto"/>
            </w:tcBorders>
          </w:tcPr>
          <w:p>
            <w:pPr>
              <w:spacing w:after="0"/>
              <w:rPr>
                <w:sz w:val="24"/>
                <w:szCs w:val="24"/>
                <w:color w:val="auto"/>
              </w:rPr>
            </w:pPr>
          </w:p>
        </w:tc>
        <w:tc>
          <w:tcPr>
            <w:tcW w:w="79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SUMMARY</w:t>
            </w:r>
          </w:p>
        </w:tc>
      </w:tr>
      <w:tr>
        <w:trPr>
          <w:trHeight w:val="79"/>
        </w:trPr>
        <w:tc>
          <w:tcPr>
            <w:tcW w:w="3200" w:type="dxa"/>
            <w:vAlign w:val="bottom"/>
            <w:tcBorders>
              <w:left w:val="single" w:sz="8" w:color="auto"/>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980" w:type="dxa"/>
            <w:vAlign w:val="bottom"/>
            <w:tcBorders>
              <w:bottom w:val="single" w:sz="8" w:color="auto"/>
              <w:right w:val="single" w:sz="8" w:color="auto"/>
            </w:tcBorders>
          </w:tcPr>
          <w:p>
            <w:pPr>
              <w:spacing w:after="0"/>
              <w:rPr>
                <w:sz w:val="6"/>
                <w:szCs w:val="6"/>
                <w:color w:val="auto"/>
              </w:rPr>
            </w:pPr>
          </w:p>
        </w:tc>
      </w:tr>
      <w:tr>
        <w:trPr>
          <w:trHeight w:val="264"/>
        </w:trPr>
        <w:tc>
          <w:tcPr>
            <w:tcW w:w="32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Tag-Along Rights</w:t>
            </w:r>
          </w:p>
        </w:tc>
        <w:tc>
          <w:tcPr>
            <w:tcW w:w="60" w:type="dxa"/>
            <w:vAlign w:val="bottom"/>
          </w:tcPr>
          <w:p>
            <w:pPr>
              <w:spacing w:after="0"/>
              <w:rPr>
                <w:sz w:val="22"/>
                <w:szCs w:val="22"/>
                <w:color w:val="auto"/>
              </w:rPr>
            </w:pPr>
          </w:p>
        </w:tc>
        <w:tc>
          <w:tcPr>
            <w:tcW w:w="7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If either party (the </w:t>
            </w:r>
            <w:r>
              <w:rPr>
                <w:rFonts w:ascii="Times New Roman" w:cs="Times New Roman" w:eastAsia="Times New Roman" w:hAnsi="Times New Roman"/>
                <w:sz w:val="18"/>
                <w:szCs w:val="18"/>
                <w:b w:val="1"/>
                <w:bCs w:val="1"/>
                <w:color w:val="auto"/>
              </w:rPr>
              <w:t>"Selling Party"</w:t>
            </w:r>
            <w:r>
              <w:rPr>
                <w:rFonts w:ascii="Times New Roman" w:cs="Times New Roman" w:eastAsia="Times New Roman" w:hAnsi="Times New Roman"/>
                <w:sz w:val="18"/>
                <w:szCs w:val="18"/>
                <w:color w:val="auto"/>
              </w:rPr>
              <w:t>) proposes to sell any equity interest to any third party (other than pursuant</w:t>
            </w:r>
          </w:p>
        </w:tc>
      </w:tr>
      <w:tr>
        <w:trPr>
          <w:trHeight w:val="210"/>
        </w:trPr>
        <w:tc>
          <w:tcPr>
            <w:tcW w:w="320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to drag-along rights or a transfer to an affiliate), the other party shall have the right to include a pro rata portion</w:t>
            </w:r>
          </w:p>
        </w:tc>
      </w:tr>
      <w:tr>
        <w:trPr>
          <w:trHeight w:val="210"/>
        </w:trPr>
        <w:tc>
          <w:tcPr>
            <w:tcW w:w="320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 its equity interest in such sale on the same terms (including price and form of consideration) and subject to</w:t>
            </w:r>
          </w:p>
        </w:tc>
      </w:tr>
      <w:tr>
        <w:trPr>
          <w:trHeight w:val="228"/>
        </w:trPr>
        <w:tc>
          <w:tcPr>
            <w:tcW w:w="320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same conditions as the Selling Party.</w:t>
            </w:r>
          </w:p>
        </w:tc>
      </w:tr>
      <w:tr>
        <w:trPr>
          <w:trHeight w:val="79"/>
        </w:trPr>
        <w:tc>
          <w:tcPr>
            <w:tcW w:w="3200" w:type="dxa"/>
            <w:vAlign w:val="bottom"/>
            <w:tcBorders>
              <w:left w:val="single" w:sz="8" w:color="auto"/>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980" w:type="dxa"/>
            <w:vAlign w:val="bottom"/>
            <w:tcBorders>
              <w:bottom w:val="single" w:sz="8" w:color="auto"/>
              <w:right w:val="single" w:sz="8" w:color="auto"/>
            </w:tcBorders>
          </w:tcPr>
          <w:p>
            <w:pPr>
              <w:spacing w:after="0"/>
              <w:rPr>
                <w:sz w:val="6"/>
                <w:szCs w:val="6"/>
                <w:color w:val="auto"/>
              </w:rPr>
            </w:pPr>
          </w:p>
        </w:tc>
      </w:tr>
      <w:tr>
        <w:trPr>
          <w:trHeight w:val="281"/>
        </w:trPr>
        <w:tc>
          <w:tcPr>
            <w:tcW w:w="32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Drag-Along Rights</w:t>
            </w:r>
          </w:p>
        </w:tc>
        <w:tc>
          <w:tcPr>
            <w:tcW w:w="60" w:type="dxa"/>
            <w:vAlign w:val="bottom"/>
          </w:tcPr>
          <w:p>
            <w:pPr>
              <w:spacing w:after="0"/>
              <w:rPr>
                <w:sz w:val="24"/>
                <w:szCs w:val="24"/>
                <w:color w:val="auto"/>
              </w:rPr>
            </w:pPr>
          </w:p>
        </w:tc>
        <w:tc>
          <w:tcPr>
            <w:tcW w:w="7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If Cobblers Cove desires to:</w:t>
            </w:r>
          </w:p>
        </w:tc>
      </w:tr>
      <w:tr>
        <w:trPr>
          <w:trHeight w:val="402"/>
        </w:trPr>
        <w:tc>
          <w:tcPr>
            <w:tcW w:w="32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98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8"/>
              </w:rPr>
              <w:t>(i)            engage in a transaction involving the sale or transfer of equity the result of which is that Cobblers</w:t>
            </w:r>
          </w:p>
        </w:tc>
      </w:tr>
      <w:tr>
        <w:trPr>
          <w:trHeight w:val="228"/>
        </w:trPr>
        <w:tc>
          <w:tcPr>
            <w:tcW w:w="320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98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Cove would no longer have majority voting control of the Board;</w:t>
            </w:r>
          </w:p>
        </w:tc>
      </w:tr>
      <w:tr>
        <w:trPr>
          <w:trHeight w:val="420"/>
        </w:trPr>
        <w:tc>
          <w:tcPr>
            <w:tcW w:w="32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98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(ii)           effect a merger or consolidation of the Company; or</w:t>
            </w:r>
          </w:p>
        </w:tc>
      </w:tr>
      <w:tr>
        <w:trPr>
          <w:trHeight w:val="402"/>
        </w:trPr>
        <w:tc>
          <w:tcPr>
            <w:tcW w:w="32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98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9"/>
              </w:rPr>
              <w:t>(iii)          sell all or substantially all of the assets of the Company — in each case to a third party Cobblers</w:t>
            </w:r>
          </w:p>
        </w:tc>
      </w:tr>
      <w:tr>
        <w:trPr>
          <w:trHeight w:val="210"/>
        </w:trPr>
        <w:tc>
          <w:tcPr>
            <w:tcW w:w="320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98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Cove shall have the right to cause Arkhouse to vote in favor of and/or sell the same pro rata</w:t>
            </w:r>
          </w:p>
        </w:tc>
      </w:tr>
      <w:tr>
        <w:trPr>
          <w:trHeight w:val="210"/>
        </w:trPr>
        <w:tc>
          <w:tcPr>
            <w:tcW w:w="320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98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portion of their respective equity interests on the same terms and subject to the same conditions</w:t>
            </w:r>
          </w:p>
        </w:tc>
      </w:tr>
      <w:tr>
        <w:trPr>
          <w:trHeight w:val="228"/>
        </w:trPr>
        <w:tc>
          <w:tcPr>
            <w:tcW w:w="320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98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as Cobblers Cove.</w:t>
            </w:r>
          </w:p>
        </w:tc>
      </w:tr>
      <w:tr>
        <w:trPr>
          <w:trHeight w:val="79"/>
        </w:trPr>
        <w:tc>
          <w:tcPr>
            <w:tcW w:w="3200" w:type="dxa"/>
            <w:vAlign w:val="bottom"/>
            <w:tcBorders>
              <w:left w:val="single" w:sz="8" w:color="auto"/>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980" w:type="dxa"/>
            <w:vAlign w:val="bottom"/>
            <w:tcBorders>
              <w:bottom w:val="single" w:sz="8" w:color="auto"/>
              <w:right w:val="single" w:sz="8" w:color="auto"/>
            </w:tcBorders>
          </w:tcPr>
          <w:p>
            <w:pPr>
              <w:spacing w:after="0"/>
              <w:rPr>
                <w:sz w:val="6"/>
                <w:szCs w:val="6"/>
                <w:color w:val="auto"/>
              </w:rPr>
            </w:pPr>
          </w:p>
        </w:tc>
      </w:tr>
      <w:tr>
        <w:trPr>
          <w:trHeight w:val="281"/>
        </w:trPr>
        <w:tc>
          <w:tcPr>
            <w:tcW w:w="326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IPO</w:t>
            </w:r>
          </w:p>
        </w:tc>
        <w:tc>
          <w:tcPr>
            <w:tcW w:w="7980" w:type="dxa"/>
            <w:vAlign w:val="bottom"/>
            <w:tcBorders>
              <w:right w:val="single" w:sz="8" w:color="auto"/>
            </w:tcBorders>
          </w:tcPr>
          <w:p>
            <w:pPr>
              <w:spacing w:after="0"/>
              <w:rPr>
                <w:sz w:val="24"/>
                <w:szCs w:val="24"/>
                <w:color w:val="auto"/>
              </w:rPr>
            </w:pPr>
          </w:p>
        </w:tc>
      </w:tr>
      <w:tr>
        <w:trPr>
          <w:trHeight w:val="79"/>
        </w:trPr>
        <w:tc>
          <w:tcPr>
            <w:tcW w:w="3260" w:type="dxa"/>
            <w:vAlign w:val="bottom"/>
            <w:tcBorders>
              <w:left w:val="single" w:sz="8" w:color="auto"/>
              <w:bottom w:val="single" w:sz="8" w:color="auto"/>
            </w:tcBorders>
            <w:gridSpan w:val="2"/>
          </w:tcPr>
          <w:p>
            <w:pPr>
              <w:spacing w:after="0"/>
              <w:rPr>
                <w:sz w:val="6"/>
                <w:szCs w:val="6"/>
                <w:color w:val="auto"/>
              </w:rPr>
            </w:pPr>
          </w:p>
        </w:tc>
        <w:tc>
          <w:tcPr>
            <w:tcW w:w="7980" w:type="dxa"/>
            <w:vAlign w:val="bottom"/>
            <w:tcBorders>
              <w:bottom w:val="single" w:sz="8" w:color="auto"/>
              <w:right w:val="single" w:sz="8" w:color="auto"/>
            </w:tcBorders>
          </w:tcPr>
          <w:p>
            <w:pPr>
              <w:spacing w:after="0"/>
              <w:rPr>
                <w:sz w:val="6"/>
                <w:szCs w:val="6"/>
                <w:color w:val="auto"/>
              </w:rPr>
            </w:pPr>
          </w:p>
        </w:tc>
      </w:tr>
      <w:tr>
        <w:trPr>
          <w:trHeight w:val="264"/>
        </w:trPr>
        <w:tc>
          <w:tcPr>
            <w:tcW w:w="32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IPO Rights</w:t>
            </w:r>
          </w:p>
        </w:tc>
        <w:tc>
          <w:tcPr>
            <w:tcW w:w="60" w:type="dxa"/>
            <w:vAlign w:val="bottom"/>
          </w:tcPr>
          <w:p>
            <w:pPr>
              <w:spacing w:after="0"/>
              <w:rPr>
                <w:sz w:val="22"/>
                <w:szCs w:val="22"/>
                <w:color w:val="auto"/>
              </w:rPr>
            </w:pPr>
          </w:p>
        </w:tc>
        <w:tc>
          <w:tcPr>
            <w:tcW w:w="7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The Definitive Agreement shall contain customary cooperation provisions with respect to an IPO (including any</w:t>
            </w:r>
          </w:p>
        </w:tc>
      </w:tr>
      <w:tr>
        <w:trPr>
          <w:trHeight w:val="210"/>
        </w:trPr>
        <w:tc>
          <w:tcPr>
            <w:tcW w:w="320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applicable pre-IPO reorganization). Cobblers Cove shall have the sole right to cause an IPO; provided that</w:t>
            </w:r>
          </w:p>
        </w:tc>
      </w:tr>
      <w:tr>
        <w:trPr>
          <w:trHeight w:val="228"/>
        </w:trPr>
        <w:tc>
          <w:tcPr>
            <w:tcW w:w="320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Arkhouse shall not be obligated to sell any of its equity in such public offering without its consent.</w:t>
            </w:r>
          </w:p>
        </w:tc>
      </w:tr>
      <w:tr>
        <w:trPr>
          <w:trHeight w:val="79"/>
        </w:trPr>
        <w:tc>
          <w:tcPr>
            <w:tcW w:w="3200" w:type="dxa"/>
            <w:vAlign w:val="bottom"/>
            <w:tcBorders>
              <w:left w:val="single" w:sz="8" w:color="auto"/>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980" w:type="dxa"/>
            <w:vAlign w:val="bottom"/>
            <w:tcBorders>
              <w:bottom w:val="single" w:sz="8" w:color="auto"/>
              <w:right w:val="single" w:sz="8" w:color="auto"/>
            </w:tcBorders>
          </w:tcPr>
          <w:p>
            <w:pPr>
              <w:spacing w:after="0"/>
              <w:rPr>
                <w:sz w:val="6"/>
                <w:szCs w:val="6"/>
                <w:color w:val="auto"/>
              </w:rPr>
            </w:pPr>
          </w:p>
        </w:tc>
      </w:tr>
      <w:tr>
        <w:trPr>
          <w:trHeight w:val="281"/>
        </w:trPr>
        <w:tc>
          <w:tcPr>
            <w:tcW w:w="326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6"/>
              </w:rPr>
              <w:t>FEES &amp; EXPENSES — POST-CLOSING</w:t>
            </w:r>
          </w:p>
        </w:tc>
        <w:tc>
          <w:tcPr>
            <w:tcW w:w="7980" w:type="dxa"/>
            <w:vAlign w:val="bottom"/>
            <w:tcBorders>
              <w:right w:val="single" w:sz="8" w:color="auto"/>
            </w:tcBorders>
          </w:tcPr>
          <w:p>
            <w:pPr>
              <w:spacing w:after="0"/>
              <w:rPr>
                <w:sz w:val="24"/>
                <w:szCs w:val="24"/>
                <w:color w:val="auto"/>
              </w:rPr>
            </w:pPr>
          </w:p>
        </w:tc>
      </w:tr>
      <w:tr>
        <w:trPr>
          <w:trHeight w:val="79"/>
        </w:trPr>
        <w:tc>
          <w:tcPr>
            <w:tcW w:w="3200" w:type="dxa"/>
            <w:vAlign w:val="bottom"/>
            <w:tcBorders>
              <w:left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980" w:type="dxa"/>
            <w:vAlign w:val="bottom"/>
            <w:tcBorders>
              <w:bottom w:val="single" w:sz="8" w:color="auto"/>
              <w:right w:val="single" w:sz="8" w:color="auto"/>
            </w:tcBorders>
          </w:tcPr>
          <w:p>
            <w:pPr>
              <w:spacing w:after="0"/>
              <w:rPr>
                <w:sz w:val="6"/>
                <w:szCs w:val="6"/>
                <w:color w:val="auto"/>
              </w:rPr>
            </w:pPr>
          </w:p>
        </w:tc>
      </w:tr>
      <w:tr>
        <w:trPr>
          <w:trHeight w:val="264"/>
        </w:trPr>
        <w:tc>
          <w:tcPr>
            <w:tcW w:w="32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Transaction Fee &amp; Management Fee</w:t>
            </w:r>
          </w:p>
        </w:tc>
        <w:tc>
          <w:tcPr>
            <w:tcW w:w="60" w:type="dxa"/>
            <w:vAlign w:val="bottom"/>
          </w:tcPr>
          <w:p>
            <w:pPr>
              <w:spacing w:after="0"/>
              <w:rPr>
                <w:sz w:val="22"/>
                <w:szCs w:val="22"/>
                <w:color w:val="auto"/>
              </w:rPr>
            </w:pPr>
          </w:p>
        </w:tc>
        <w:tc>
          <w:tcPr>
            <w:tcW w:w="7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Upon Closing, the Company shall pay Cobblers Cove a transaction fee of [ ]% of total sources for the Take-</w:t>
            </w:r>
          </w:p>
        </w:tc>
      </w:tr>
      <w:tr>
        <w:trPr>
          <w:trHeight w:val="210"/>
        </w:trPr>
        <w:tc>
          <w:tcPr>
            <w:tcW w:w="320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Private at Closing. The Company shall from time to time pay a management fee on a schedule to be determined</w:t>
            </w:r>
          </w:p>
        </w:tc>
      </w:tr>
      <w:tr>
        <w:trPr>
          <w:trHeight w:val="228"/>
        </w:trPr>
        <w:tc>
          <w:tcPr>
            <w:tcW w:w="320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by Cobblers Cove, up to an annual cap of the greater of [ ]% of LTM EBITDA and $[ ] million.</w:t>
            </w:r>
          </w:p>
        </w:tc>
      </w:tr>
      <w:tr>
        <w:trPr>
          <w:trHeight w:val="402"/>
        </w:trPr>
        <w:tc>
          <w:tcPr>
            <w:tcW w:w="32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Arkhouse shall participate pro rata in each of the foregoing fees (based on the number of equity interests held by</w:t>
            </w:r>
          </w:p>
        </w:tc>
      </w:tr>
      <w:tr>
        <w:trPr>
          <w:trHeight w:val="228"/>
        </w:trPr>
        <w:tc>
          <w:tcPr>
            <w:tcW w:w="320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Arkhouse relative to the total number of equity interests held by Cobblers Cove and Arkhouse).</w:t>
            </w:r>
          </w:p>
        </w:tc>
      </w:tr>
      <w:tr>
        <w:trPr>
          <w:trHeight w:val="79"/>
        </w:trPr>
        <w:tc>
          <w:tcPr>
            <w:tcW w:w="3200" w:type="dxa"/>
            <w:vAlign w:val="bottom"/>
            <w:tcBorders>
              <w:left w:val="single" w:sz="8" w:color="auto"/>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980" w:type="dxa"/>
            <w:vAlign w:val="bottom"/>
            <w:tcBorders>
              <w:bottom w:val="single" w:sz="8" w:color="auto"/>
              <w:right w:val="single" w:sz="8" w:color="auto"/>
            </w:tcBorders>
          </w:tcPr>
          <w:p>
            <w:pPr>
              <w:spacing w:after="0"/>
              <w:rPr>
                <w:sz w:val="6"/>
                <w:szCs w:val="6"/>
                <w:color w:val="auto"/>
              </w:rPr>
            </w:pPr>
          </w:p>
        </w:tc>
      </w:tr>
      <w:tr>
        <w:trPr>
          <w:trHeight w:val="262"/>
        </w:trPr>
        <w:tc>
          <w:tcPr>
            <w:tcW w:w="32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Expense Reimbursement — Post-</w:t>
            </w:r>
          </w:p>
        </w:tc>
        <w:tc>
          <w:tcPr>
            <w:tcW w:w="60" w:type="dxa"/>
            <w:vAlign w:val="bottom"/>
          </w:tcPr>
          <w:p>
            <w:pPr>
              <w:spacing w:after="0"/>
              <w:rPr>
                <w:sz w:val="22"/>
                <w:szCs w:val="22"/>
                <w:color w:val="auto"/>
              </w:rPr>
            </w:pPr>
          </w:p>
        </w:tc>
        <w:tc>
          <w:tcPr>
            <w:tcW w:w="7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Company shall reimburse Cobblers Cove's reasonable out-of-pocket costs and expenses in connection</w:t>
            </w:r>
          </w:p>
        </w:tc>
      </w:tr>
      <w:tr>
        <w:trPr>
          <w:trHeight w:val="230"/>
        </w:trPr>
        <w:tc>
          <w:tcPr>
            <w:tcW w:w="32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Closing</w:t>
            </w:r>
          </w:p>
        </w:tc>
        <w:tc>
          <w:tcPr>
            <w:tcW w:w="60" w:type="dxa"/>
            <w:vAlign w:val="bottom"/>
          </w:tcPr>
          <w:p>
            <w:pPr>
              <w:spacing w:after="0"/>
              <w:rPr>
                <w:sz w:val="19"/>
                <w:szCs w:val="19"/>
                <w:color w:val="auto"/>
              </w:rPr>
            </w:pPr>
          </w:p>
        </w:tc>
        <w:tc>
          <w:tcPr>
            <w:tcW w:w="7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with</w:t>
            </w:r>
          </w:p>
        </w:tc>
      </w:tr>
      <w:tr>
        <w:trPr>
          <w:trHeight w:val="402"/>
        </w:trPr>
        <w:tc>
          <w:tcPr>
            <w:tcW w:w="32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98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           monitoring of the Company;</w:t>
            </w:r>
          </w:p>
        </w:tc>
      </w:tr>
      <w:tr>
        <w:trPr>
          <w:trHeight w:val="228"/>
        </w:trPr>
        <w:tc>
          <w:tcPr>
            <w:tcW w:w="320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98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(ii)          providing management, advisory and similar services at the request of the Board; and</w:t>
            </w:r>
          </w:p>
        </w:tc>
      </w:tr>
      <w:tr>
        <w:trPr>
          <w:trHeight w:val="79"/>
        </w:trPr>
        <w:tc>
          <w:tcPr>
            <w:tcW w:w="3200" w:type="dxa"/>
            <w:vAlign w:val="bottom"/>
            <w:tcBorders>
              <w:left w:val="single" w:sz="8" w:color="auto"/>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980" w:type="dxa"/>
            <w:vAlign w:val="bottom"/>
            <w:tcBorders>
              <w:bottom w:val="single" w:sz="8" w:color="auto"/>
              <w:right w:val="single" w:sz="8" w:color="auto"/>
            </w:tcBorders>
          </w:tcPr>
          <w:p>
            <w:pPr>
              <w:spacing w:after="0"/>
              <w:rPr>
                <w:sz w:val="6"/>
                <w:szCs w:val="6"/>
                <w:color w:val="auto"/>
              </w:rPr>
            </w:pPr>
          </w:p>
        </w:tc>
      </w:tr>
      <w:tr>
        <w:trPr>
          <w:trHeight w:val="623"/>
        </w:trPr>
        <w:tc>
          <w:tcPr>
            <w:tcW w:w="3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ind w:left="7900"/>
              <w:spacing w:after="0"/>
              <w:rPr>
                <w:sz w:val="20"/>
                <w:szCs w:val="20"/>
                <w:color w:val="auto"/>
              </w:rPr>
            </w:pPr>
            <w:r>
              <w:rPr>
                <w:rFonts w:ascii="Times New Roman" w:cs="Times New Roman" w:eastAsia="Times New Roman" w:hAnsi="Times New Roman"/>
                <w:sz w:val="11"/>
                <w:szCs w:val="11"/>
                <w:color w:val="auto"/>
                <w:w w:val="71"/>
              </w:rPr>
              <w:t>7</w:t>
            </w:r>
          </w:p>
        </w:tc>
      </w:tr>
    </w:tbl>
    <w:p>
      <w:pPr>
        <w:sectPr>
          <w:pgSz w:w="11900" w:h="16838" w:orient="portrait"/>
          <w:cols w:equalWidth="0" w:num="1">
            <w:col w:w="11240"/>
          </w:cols>
          <w:pgMar w:left="320" w:top="881" w:right="339" w:bottom="1440" w:gutter="0" w:footer="0" w:header="0"/>
        </w:sectPr>
      </w:pPr>
    </w:p>
    <w:bookmarkStart w:id="19" w:name="page20"/>
    <w:bookmarkEnd w:id="19"/>
    <w:p>
      <w:pPr>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CONFIDENTIAL</w:t>
      </w:r>
      <w:r>
        <w:rPr>
          <w:sz w:val="20"/>
          <w:szCs w:val="20"/>
          <w:color w:val="auto"/>
        </w:rPr>
        <w:tab/>
      </w:r>
      <w:r>
        <w:rPr>
          <w:rFonts w:ascii="Times New Roman" w:cs="Times New Roman" w:eastAsia="Times New Roman" w:hAnsi="Times New Roman"/>
          <w:sz w:val="18"/>
          <w:szCs w:val="18"/>
          <w:color w:val="auto"/>
        </w:rPr>
        <w:t>PAUL, WEISS, RIFKIND, WHARTON &amp; GARRISON LLP</w:t>
      </w:r>
    </w:p>
    <w:p>
      <w:pPr>
        <w:spacing w:after="0" w:line="23" w:lineRule="exact"/>
        <w:rPr>
          <w:sz w:val="20"/>
          <w:szCs w:val="20"/>
          <w:color w:val="auto"/>
        </w:rPr>
      </w:pPr>
    </w:p>
    <w:p>
      <w:pPr>
        <w:jc w:val="right"/>
        <w:ind w:left="100"/>
        <w:spacing w:after="0" w:line="252" w:lineRule="auto"/>
        <w:rPr>
          <w:sz w:val="20"/>
          <w:szCs w:val="20"/>
          <w:color w:val="auto"/>
        </w:rPr>
      </w:pPr>
      <w:r>
        <w:rPr>
          <w:rFonts w:ascii="Times New Roman" w:cs="Times New Roman" w:eastAsia="Times New Roman" w:hAnsi="Times New Roman"/>
          <w:sz w:val="18"/>
          <w:szCs w:val="18"/>
          <w:b w:val="1"/>
          <w:bCs w:val="1"/>
          <w:color w:val="auto"/>
        </w:rPr>
        <w:t>CONFIDENTIAL TREATMENT REQUESTED BY COBBLERS COVE CAPITAL LP, COBBLERS COVE CAPITAL MANAGEMENT GP LLC, MATTHEW PERKAL, AND BENJAMIN F. RATTNER PURSUANT TO RULE 24b-2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-412750</wp:posOffset>
            </wp:positionV>
            <wp:extent cx="71361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31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0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SUMMARY</w:t>
            </w:r>
          </w:p>
        </w:tc>
      </w:tr>
      <w:tr>
        <w:trPr>
          <w:trHeight w:val="79"/>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r>
      <w:tr>
        <w:trPr>
          <w:trHeight w:val="264"/>
        </w:trPr>
        <w:tc>
          <w:tcPr>
            <w:tcW w:w="3180" w:type="dxa"/>
            <w:vAlign w:val="bottom"/>
            <w:tcBorders>
              <w:left w:val="single" w:sz="8" w:color="auto"/>
              <w:right w:val="single" w:sz="8" w:color="auto"/>
            </w:tcBorders>
          </w:tcPr>
          <w:p>
            <w:pPr>
              <w:spacing w:after="0"/>
              <w:rPr>
                <w:sz w:val="22"/>
                <w:szCs w:val="22"/>
                <w:color w:val="auto"/>
              </w:rPr>
            </w:pPr>
          </w:p>
        </w:tc>
        <w:tc>
          <w:tcPr>
            <w:tcW w:w="806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(iii)          matters relating to the investment for which Cobblers Cove reasonably requires the advice of</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outside counsel.</w:t>
            </w:r>
          </w:p>
        </w:tc>
      </w:tr>
      <w:tr>
        <w:trPr>
          <w:trHeight w:val="402"/>
        </w:trPr>
        <w:tc>
          <w:tcPr>
            <w:tcW w:w="3180" w:type="dxa"/>
            <w:vAlign w:val="bottom"/>
            <w:tcBorders>
              <w:left w:val="single" w:sz="8" w:color="auto"/>
              <w:right w:val="single" w:sz="8" w:color="auto"/>
            </w:tcBorders>
          </w:tcPr>
          <w:p>
            <w:pPr>
              <w:spacing w:after="0"/>
              <w:rPr>
                <w:sz w:val="24"/>
                <w:szCs w:val="24"/>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The Company shall reimburse Arkhouse for reasonable out-of-pocket costs and expenses incurred in connection</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with the provision of services to the Company at the request of the Board or pursuant to a definitive agreement</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 the Company.</w:t>
            </w:r>
          </w:p>
        </w:tc>
      </w:tr>
      <w:tr>
        <w:trPr>
          <w:trHeight w:val="79"/>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r>
      <w:tr>
        <w:trPr>
          <w:trHeight w:val="281"/>
        </w:trPr>
        <w:tc>
          <w:tcPr>
            <w:tcW w:w="31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INFORMATION RIGHTS</w:t>
            </w:r>
          </w:p>
        </w:tc>
        <w:tc>
          <w:tcPr>
            <w:tcW w:w="8060" w:type="dxa"/>
            <w:vAlign w:val="bottom"/>
            <w:tcBorders>
              <w:right w:val="single" w:sz="8" w:color="auto"/>
            </w:tcBorders>
          </w:tcPr>
          <w:p>
            <w:pPr>
              <w:spacing w:after="0"/>
              <w:rPr>
                <w:sz w:val="24"/>
                <w:szCs w:val="24"/>
                <w:color w:val="auto"/>
              </w:rPr>
            </w:pPr>
          </w:p>
        </w:tc>
      </w:tr>
      <w:tr>
        <w:trPr>
          <w:trHeight w:val="79"/>
        </w:trPr>
        <w:tc>
          <w:tcPr>
            <w:tcW w:w="3180" w:type="dxa"/>
            <w:vAlign w:val="bottom"/>
            <w:tcBorders>
              <w:left w:val="single" w:sz="8" w:color="auto"/>
              <w:bottom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r>
      <w:tr>
        <w:trPr>
          <w:trHeight w:val="264"/>
        </w:trPr>
        <w:tc>
          <w:tcPr>
            <w:tcW w:w="3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Information Rights</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Subject to customary confidentiality undertakings, for so long as each investor holds any equity interest in the</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Company or any subsidiary, each investor shall receive:</w:t>
            </w:r>
          </w:p>
        </w:tc>
      </w:tr>
      <w:tr>
        <w:trPr>
          <w:trHeight w:val="402"/>
        </w:trPr>
        <w:tc>
          <w:tcPr>
            <w:tcW w:w="3180" w:type="dxa"/>
            <w:vAlign w:val="bottom"/>
            <w:tcBorders>
              <w:left w:val="single" w:sz="8" w:color="auto"/>
              <w:right w:val="single" w:sz="8" w:color="auto"/>
            </w:tcBorders>
          </w:tcPr>
          <w:p>
            <w:pPr>
              <w:spacing w:after="0"/>
              <w:rPr>
                <w:sz w:val="24"/>
                <w:szCs w:val="24"/>
                <w:color w:val="auto"/>
              </w:rPr>
            </w:pPr>
          </w:p>
        </w:tc>
        <w:tc>
          <w:tcPr>
            <w:tcW w:w="80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8"/>
              </w:rPr>
              <w:t>(i) Consolidated annual (audited), quarterly and monthly financial statements of the Company (in each case,</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for so long as such reports are prepared and provided to the other investors);</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(ii) Any information with respect to the Company and its subsidiaries delivered to the lenders pursuant to</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applicable credit agreement requirements;</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(iii) Books and records inspection rights; and</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(iv) The right to reasonably request additional information and discuss affairs with senior management.</w:t>
            </w:r>
          </w:p>
        </w:tc>
      </w:tr>
      <w:tr>
        <w:trPr>
          <w:trHeight w:val="79"/>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r>
      <w:tr>
        <w:trPr>
          <w:trHeight w:val="281"/>
        </w:trPr>
        <w:tc>
          <w:tcPr>
            <w:tcW w:w="31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BINDING PROVISIONS</w:t>
            </w:r>
          </w:p>
        </w:tc>
        <w:tc>
          <w:tcPr>
            <w:tcW w:w="8060" w:type="dxa"/>
            <w:vAlign w:val="bottom"/>
            <w:tcBorders>
              <w:right w:val="single" w:sz="8" w:color="auto"/>
            </w:tcBorders>
          </w:tcPr>
          <w:p>
            <w:pPr>
              <w:spacing w:after="0"/>
              <w:rPr>
                <w:sz w:val="24"/>
                <w:szCs w:val="24"/>
                <w:color w:val="auto"/>
              </w:rPr>
            </w:pPr>
          </w:p>
        </w:tc>
      </w:tr>
      <w:tr>
        <w:trPr>
          <w:trHeight w:val="79"/>
        </w:trPr>
        <w:tc>
          <w:tcPr>
            <w:tcW w:w="3180" w:type="dxa"/>
            <w:vAlign w:val="bottom"/>
            <w:tcBorders>
              <w:left w:val="single" w:sz="8" w:color="auto"/>
              <w:bottom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r>
      <w:tr>
        <w:trPr>
          <w:trHeight w:val="264"/>
        </w:trPr>
        <w:tc>
          <w:tcPr>
            <w:tcW w:w="3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Confidentiality</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Each party agrees that, without the prior written consent of the other party, it will not disclose to any third party</w:t>
            </w: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existence or terms of this term sheet or any of the transactions contemplated hereby (collectively,</w:t>
            </w:r>
          </w:p>
        </w:tc>
      </w:tr>
      <w:tr>
        <w:trPr>
          <w:trHeight w:val="212"/>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except to such party's affiliates and its and their respective directors, officers,</w:t>
            </w: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employees, attorneys, accountants, financial advisors, prospective investors and financing sources, and other</w:t>
            </w:r>
          </w:p>
        </w:tc>
      </w:tr>
      <w:tr>
        <w:trPr>
          <w:trHeight w:val="212"/>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representatives (collectively, "</w:t>
            </w:r>
            <w:r>
              <w:rPr>
                <w:rFonts w:ascii="Times New Roman" w:cs="Times New Roman" w:eastAsia="Times New Roman" w:hAnsi="Times New Roman"/>
                <w:sz w:val="18"/>
                <w:szCs w:val="18"/>
                <w:b w:val="1"/>
                <w:bCs w:val="1"/>
                <w:color w:val="auto"/>
                <w:w w:val="98"/>
              </w:rPr>
              <w:t>Representatives</w:t>
            </w:r>
            <w:r>
              <w:rPr>
                <w:rFonts w:ascii="Times New Roman" w:cs="Times New Roman" w:eastAsia="Times New Roman" w:hAnsi="Times New Roman"/>
                <w:sz w:val="18"/>
                <w:szCs w:val="18"/>
                <w:color w:val="auto"/>
                <w:w w:val="98"/>
              </w:rPr>
              <w:t>") who have a need to know such information in connection with</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the evaluation and negotiation of the proposed transaction, provided that such Representatives are informed of</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confidential nature of such information and are directed to treat it in accordance with the terms of this</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provision.</w:t>
            </w:r>
          </w:p>
        </w:tc>
      </w:tr>
      <w:tr>
        <w:trPr>
          <w:trHeight w:val="402"/>
        </w:trPr>
        <w:tc>
          <w:tcPr>
            <w:tcW w:w="3180" w:type="dxa"/>
            <w:vAlign w:val="bottom"/>
            <w:tcBorders>
              <w:left w:val="single" w:sz="8" w:color="auto"/>
              <w:right w:val="single" w:sz="8" w:color="auto"/>
            </w:tcBorders>
          </w:tcPr>
          <w:p>
            <w:pPr>
              <w:spacing w:after="0"/>
              <w:rPr>
                <w:sz w:val="24"/>
                <w:szCs w:val="24"/>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Notwithstanding the foregoing, either party may disclose Confidential Information to the extent required by</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applicable law, regulation, or legal process, provided that the disclosing party shall, to the extent legally</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permitted, provide prompt written notice to the other party of such requirement so that the other party may seek</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 appropriate protective order or other remedy.</w:t>
            </w:r>
          </w:p>
        </w:tc>
      </w:tr>
      <w:tr>
        <w:trPr>
          <w:trHeight w:val="402"/>
        </w:trPr>
        <w:tc>
          <w:tcPr>
            <w:tcW w:w="3180" w:type="dxa"/>
            <w:vAlign w:val="bottom"/>
            <w:tcBorders>
              <w:left w:val="single" w:sz="8" w:color="auto"/>
              <w:right w:val="single" w:sz="8" w:color="auto"/>
            </w:tcBorders>
          </w:tcPr>
          <w:p>
            <w:pPr>
              <w:spacing w:after="0"/>
              <w:rPr>
                <w:sz w:val="24"/>
                <w:szCs w:val="24"/>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obligations set forth in this section shall survive any termination of discussions between the parties with</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respect to the proposed transaction and shall remain in effect for a period of 12 months following the date</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hereof, regardless of whether the proposed transaction is consummated. Each party acknowledges that a breach</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this provision would cause irreparable harm to the other party, and that, in addition to any other remedies</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available at law or in equity, the non-breaching party shall be entitled to equitable relief, including injunction</w:t>
            </w: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 specific performance, without the necessity of proving actual damages or posting any bond or other</w:t>
            </w: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security.</w:t>
            </w:r>
          </w:p>
        </w:tc>
      </w:tr>
      <w:tr>
        <w:trPr>
          <w:trHeight w:val="79"/>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r>
      <w:tr>
        <w:trPr>
          <w:trHeight w:val="623"/>
        </w:trPr>
        <w:tc>
          <w:tcPr>
            <w:tcW w:w="31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7980"/>
              <w:spacing w:after="0"/>
              <w:rPr>
                <w:sz w:val="20"/>
                <w:szCs w:val="20"/>
                <w:color w:val="auto"/>
              </w:rPr>
            </w:pPr>
            <w:r>
              <w:rPr>
                <w:rFonts w:ascii="Times New Roman" w:cs="Times New Roman" w:eastAsia="Times New Roman" w:hAnsi="Times New Roman"/>
                <w:sz w:val="11"/>
                <w:szCs w:val="11"/>
                <w:color w:val="auto"/>
                <w:w w:val="71"/>
              </w:rPr>
              <w:t>8</w:t>
            </w:r>
          </w:p>
        </w:tc>
      </w:tr>
    </w:tbl>
    <w:p>
      <w:pPr>
        <w:sectPr>
          <w:pgSz w:w="11900" w:h="16838" w:orient="portrait"/>
          <w:cols w:equalWidth="0" w:num="1">
            <w:col w:w="11240"/>
          </w:cols>
          <w:pgMar w:left="320" w:top="881" w:right="339" w:bottom="1440" w:gutter="0" w:footer="0" w:header="0"/>
        </w:sectPr>
      </w:pPr>
    </w:p>
    <w:bookmarkStart w:id="20" w:name="page21"/>
    <w:bookmarkEnd w:id="20"/>
    <w:p>
      <w:pPr>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CONFIDENTIAL</w:t>
      </w:r>
      <w:r>
        <w:rPr>
          <w:sz w:val="20"/>
          <w:szCs w:val="20"/>
          <w:color w:val="auto"/>
        </w:rPr>
        <w:tab/>
      </w:r>
      <w:r>
        <w:rPr>
          <w:rFonts w:ascii="Times New Roman" w:cs="Times New Roman" w:eastAsia="Times New Roman" w:hAnsi="Times New Roman"/>
          <w:sz w:val="18"/>
          <w:szCs w:val="18"/>
          <w:color w:val="auto"/>
        </w:rPr>
        <w:t>PAUL, WEISS, RIFKIND, WHARTON &amp; GARRISON LLP</w:t>
      </w:r>
    </w:p>
    <w:p>
      <w:pPr>
        <w:spacing w:after="0" w:line="23" w:lineRule="exact"/>
        <w:rPr>
          <w:sz w:val="20"/>
          <w:szCs w:val="20"/>
          <w:color w:val="auto"/>
        </w:rPr>
      </w:pPr>
    </w:p>
    <w:p>
      <w:pPr>
        <w:jc w:val="right"/>
        <w:ind w:left="100"/>
        <w:spacing w:after="0" w:line="252" w:lineRule="auto"/>
        <w:rPr>
          <w:sz w:val="20"/>
          <w:szCs w:val="20"/>
          <w:color w:val="auto"/>
        </w:rPr>
      </w:pPr>
      <w:r>
        <w:rPr>
          <w:rFonts w:ascii="Times New Roman" w:cs="Times New Roman" w:eastAsia="Times New Roman" w:hAnsi="Times New Roman"/>
          <w:sz w:val="18"/>
          <w:szCs w:val="18"/>
          <w:b w:val="1"/>
          <w:bCs w:val="1"/>
          <w:color w:val="auto"/>
        </w:rPr>
        <w:t>CONFIDENTIAL TREATMENT REQUESTED BY COBBLERS COVE CAPITAL LP, COBBLERS COVE CAPITAL MANAGEMENT GP LLC, MATTHEW PERKAL, AND BENJAMIN F. RATTNER PURSUANT TO RULE 24b-2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-412750</wp:posOffset>
            </wp:positionV>
            <wp:extent cx="71361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31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0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0" w:type="dxa"/>
            <w:vAlign w:val="bottom"/>
          </w:tcPr>
          <w:p>
            <w:pPr>
              <w:spacing w:after="0"/>
              <w:rPr>
                <w:sz w:val="1"/>
                <w:szCs w:val="1"/>
                <w:color w:val="auto"/>
              </w:rPr>
            </w:pPr>
          </w:p>
        </w:tc>
      </w:tr>
      <w:tr>
        <w:trPr>
          <w:trHeight w:val="79"/>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3180" w:type="dxa"/>
            <w:vAlign w:val="bottom"/>
            <w:tcBorders>
              <w:left w:val="single" w:sz="8" w:color="auto"/>
              <w:right w:val="single" w:sz="8" w:color="auto"/>
            </w:tcBorders>
          </w:tcPr>
          <w:p>
            <w:pPr>
              <w:spacing w:after="0"/>
              <w:rPr>
                <w:sz w:val="22"/>
                <w:szCs w:val="22"/>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If a party materially breaches the foregoing confidentiality provision and fails to cure such breach within 30</w:t>
            </w:r>
          </w:p>
        </w:tc>
        <w:tc>
          <w:tcPr>
            <w:tcW w:w="0" w:type="dxa"/>
            <w:vAlign w:val="bottom"/>
          </w:tcPr>
          <w:p>
            <w:pPr>
              <w:spacing w:after="0"/>
              <w:rPr>
                <w:sz w:val="1"/>
                <w:szCs w:val="1"/>
                <w:color w:val="auto"/>
              </w:rPr>
            </w:pP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days of receiving written notice of such breach from the non-breaching party, such breaching party shall owe</w:t>
            </w:r>
          </w:p>
        </w:tc>
        <w:tc>
          <w:tcPr>
            <w:tcW w:w="0" w:type="dxa"/>
            <w:vAlign w:val="bottom"/>
          </w:tcPr>
          <w:p>
            <w:pPr>
              <w:spacing w:after="0"/>
              <w:rPr>
                <w:sz w:val="1"/>
                <w:szCs w:val="1"/>
                <w:color w:val="auto"/>
              </w:rPr>
            </w:pP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liquidated damages to the non-breaching party in the amount of $500,000 (the “</w:t>
            </w:r>
            <w:r>
              <w:rPr>
                <w:rFonts w:ascii="Times New Roman" w:cs="Times New Roman" w:eastAsia="Times New Roman" w:hAnsi="Times New Roman"/>
                <w:sz w:val="18"/>
                <w:szCs w:val="18"/>
                <w:b w:val="1"/>
                <w:bCs w:val="1"/>
                <w:color w:val="auto"/>
              </w:rPr>
              <w:t>Liquidated Damages</w:t>
            </w:r>
          </w:p>
        </w:tc>
        <w:tc>
          <w:tcPr>
            <w:tcW w:w="0" w:type="dxa"/>
            <w:vAlign w:val="bottom"/>
          </w:tcPr>
          <w:p>
            <w:pPr>
              <w:spacing w:after="0"/>
              <w:rPr>
                <w:sz w:val="1"/>
                <w:szCs w:val="1"/>
                <w:color w:val="auto"/>
              </w:rPr>
            </w:pPr>
          </w:p>
        </w:tc>
      </w:tr>
      <w:tr>
        <w:trPr>
          <w:trHeight w:val="212"/>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Amount</w:t>
            </w:r>
            <w:r>
              <w:rPr>
                <w:rFonts w:ascii="Times New Roman" w:cs="Times New Roman" w:eastAsia="Times New Roman" w:hAnsi="Times New Roman"/>
                <w:sz w:val="18"/>
                <w:szCs w:val="18"/>
                <w:color w:val="auto"/>
                <w:w w:val="99"/>
              </w:rPr>
              <w:t>”). The parties acknowledge that the Liquidated Damages Amount represents a reasonable estimate of</w:t>
            </w:r>
          </w:p>
        </w:tc>
        <w:tc>
          <w:tcPr>
            <w:tcW w:w="0" w:type="dxa"/>
            <w:vAlign w:val="bottom"/>
          </w:tcPr>
          <w:p>
            <w:pPr>
              <w:spacing w:after="0"/>
              <w:rPr>
                <w:sz w:val="1"/>
                <w:szCs w:val="1"/>
                <w:color w:val="auto"/>
              </w:rPr>
            </w:pP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losses that would be suffered by the parties in the event of a breach described in this paragraph, and the</w:t>
            </w:r>
          </w:p>
        </w:tc>
        <w:tc>
          <w:tcPr>
            <w:tcW w:w="0" w:type="dxa"/>
            <w:vAlign w:val="bottom"/>
          </w:tcPr>
          <w:p>
            <w:pPr>
              <w:spacing w:after="0"/>
              <w:rPr>
                <w:sz w:val="1"/>
                <w:szCs w:val="1"/>
                <w:color w:val="auto"/>
              </w:rPr>
            </w:pP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payment of such amount is not a penalty but rather constitutes liquidated damages in a reasonable amount that</w:t>
            </w:r>
          </w:p>
        </w:tc>
        <w:tc>
          <w:tcPr>
            <w:tcW w:w="0" w:type="dxa"/>
            <w:vAlign w:val="bottom"/>
          </w:tcPr>
          <w:p>
            <w:pPr>
              <w:spacing w:after="0"/>
              <w:rPr>
                <w:sz w:val="1"/>
                <w:szCs w:val="1"/>
                <w:color w:val="auto"/>
              </w:rPr>
            </w:pPr>
          </w:p>
        </w:tc>
      </w:tr>
      <w:tr>
        <w:trPr>
          <w:trHeight w:val="210"/>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will compensate the parties for the efforts and resources expended and opportunities forgone while negotiating</w:t>
            </w:r>
          </w:p>
        </w:tc>
        <w:tc>
          <w:tcPr>
            <w:tcW w:w="0" w:type="dxa"/>
            <w:vAlign w:val="bottom"/>
          </w:tcPr>
          <w:p>
            <w:pPr>
              <w:spacing w:after="0"/>
              <w:rPr>
                <w:sz w:val="1"/>
                <w:szCs w:val="1"/>
                <w:color w:val="auto"/>
              </w:rPr>
            </w:pP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this term sheet and pursuing the transactions contemplated hereby.</w:t>
            </w:r>
          </w:p>
        </w:tc>
        <w:tc>
          <w:tcPr>
            <w:tcW w:w="0" w:type="dxa"/>
            <w:vAlign w:val="bottom"/>
          </w:tcPr>
          <w:p>
            <w:pPr>
              <w:spacing w:after="0"/>
              <w:rPr>
                <w:sz w:val="1"/>
                <w:szCs w:val="1"/>
                <w:color w:val="auto"/>
              </w:rPr>
            </w:pPr>
          </w:p>
        </w:tc>
      </w:tr>
      <w:tr>
        <w:trPr>
          <w:trHeight w:val="350"/>
        </w:trPr>
        <w:tc>
          <w:tcPr>
            <w:tcW w:w="3180" w:type="dxa"/>
            <w:vAlign w:val="bottom"/>
            <w:tcBorders>
              <w:left w:val="single" w:sz="8" w:color="auto"/>
              <w:right w:val="single" w:sz="8" w:color="auto"/>
            </w:tcBorders>
          </w:tcPr>
          <w:p>
            <w:pPr>
              <w:spacing w:after="0"/>
              <w:rPr>
                <w:sz w:val="24"/>
                <w:szCs w:val="24"/>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This term sheet shall be governed by the laws of the State of Delaware, without regard to conflicts of law</w:t>
            </w:r>
          </w:p>
        </w:tc>
        <w:tc>
          <w:tcPr>
            <w:tcW w:w="0" w:type="dxa"/>
            <w:vAlign w:val="bottom"/>
          </w:tcPr>
          <w:p>
            <w:pPr>
              <w:spacing w:after="0"/>
              <w:rPr>
                <w:sz w:val="1"/>
                <w:szCs w:val="1"/>
                <w:color w:val="auto"/>
              </w:rPr>
            </w:pPr>
          </w:p>
        </w:tc>
      </w:tr>
      <w:tr>
        <w:trPr>
          <w:trHeight w:val="210"/>
        </w:trPr>
        <w:tc>
          <w:tcPr>
            <w:tcW w:w="31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Governing Law; Venue; Jury Trial</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principles. Each party submits to the exclusive jurisdiction of the Court of Chancery of the State of Delaware or,</w:t>
            </w:r>
          </w:p>
        </w:tc>
        <w:tc>
          <w:tcPr>
            <w:tcW w:w="0" w:type="dxa"/>
            <w:vAlign w:val="bottom"/>
          </w:tcPr>
          <w:p>
            <w:pPr>
              <w:spacing w:after="0"/>
              <w:rPr>
                <w:sz w:val="1"/>
                <w:szCs w:val="1"/>
                <w:color w:val="auto"/>
              </w:rPr>
            </w:pPr>
          </w:p>
        </w:tc>
      </w:tr>
      <w:tr>
        <w:trPr>
          <w:trHeight w:val="123"/>
        </w:trPr>
        <w:tc>
          <w:tcPr>
            <w:tcW w:w="3180" w:type="dxa"/>
            <w:vAlign w:val="bottom"/>
            <w:tcBorders>
              <w:left w:val="single" w:sz="8" w:color="auto"/>
              <w:right w:val="single" w:sz="8" w:color="auto"/>
            </w:tcBorders>
            <w:vMerge w:val="continue"/>
          </w:tcPr>
          <w:p>
            <w:pPr>
              <w:spacing w:after="0"/>
              <w:rPr>
                <w:sz w:val="10"/>
                <w:szCs w:val="10"/>
                <w:color w:val="auto"/>
              </w:rPr>
            </w:pPr>
          </w:p>
        </w:tc>
        <w:tc>
          <w:tcPr>
            <w:tcW w:w="80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w w:val="99"/>
              </w:rPr>
              <w:t>if such court lacks jurisdiction, any other state or federal court in the State of Delaware. Each party irrevocably</w:t>
            </w:r>
          </w:p>
        </w:tc>
        <w:tc>
          <w:tcPr>
            <w:tcW w:w="0" w:type="dxa"/>
            <w:vAlign w:val="bottom"/>
          </w:tcPr>
          <w:p>
            <w:pPr>
              <w:spacing w:after="0"/>
              <w:rPr>
                <w:sz w:val="1"/>
                <w:szCs w:val="1"/>
                <w:color w:val="auto"/>
              </w:rPr>
            </w:pPr>
          </w:p>
        </w:tc>
      </w:tr>
      <w:tr>
        <w:trPr>
          <w:trHeight w:val="87"/>
        </w:trPr>
        <w:tc>
          <w:tcPr>
            <w:tcW w:w="3180" w:type="dxa"/>
            <w:vAlign w:val="bottom"/>
            <w:tcBorders>
              <w:left w:val="single" w:sz="8" w:color="auto"/>
              <w:right w:val="single" w:sz="8" w:color="auto"/>
            </w:tcBorders>
          </w:tcPr>
          <w:p>
            <w:pPr>
              <w:spacing w:after="0"/>
              <w:rPr>
                <w:sz w:val="7"/>
                <w:szCs w:val="7"/>
                <w:color w:val="auto"/>
              </w:rPr>
            </w:pPr>
          </w:p>
        </w:tc>
        <w:tc>
          <w:tcPr>
            <w:tcW w:w="80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waives trial by jury.</w:t>
            </w:r>
          </w:p>
        </w:tc>
        <w:tc>
          <w:tcPr>
            <w:tcW w:w="0" w:type="dxa"/>
            <w:vAlign w:val="bottom"/>
          </w:tcPr>
          <w:p>
            <w:pPr>
              <w:spacing w:after="0"/>
              <w:rPr>
                <w:sz w:val="1"/>
                <w:szCs w:val="1"/>
                <w:color w:val="auto"/>
              </w:rPr>
            </w:pPr>
          </w:p>
        </w:tc>
      </w:tr>
      <w:tr>
        <w:trPr>
          <w:trHeight w:val="79"/>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0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13"/>
        </w:trPr>
        <w:tc>
          <w:tcPr>
            <w:tcW w:w="3180" w:type="dxa"/>
            <w:vAlign w:val="bottom"/>
          </w:tcPr>
          <w:p>
            <w:pPr>
              <w:spacing w:after="0"/>
              <w:rPr>
                <w:sz w:val="24"/>
                <w:szCs w:val="24"/>
                <w:color w:val="auto"/>
              </w:rPr>
            </w:pPr>
          </w:p>
        </w:tc>
        <w:tc>
          <w:tcPr>
            <w:tcW w:w="8060" w:type="dxa"/>
            <w:vAlign w:val="bottom"/>
          </w:tcPr>
          <w:p>
            <w:pPr>
              <w:ind w:left="2260"/>
              <w:spacing w:after="0"/>
              <w:rPr>
                <w:sz w:val="20"/>
                <w:szCs w:val="20"/>
                <w:color w:val="auto"/>
              </w:rPr>
            </w:pPr>
            <w:r>
              <w:rPr>
                <w:rFonts w:ascii="Times New Roman" w:cs="Times New Roman" w:eastAsia="Times New Roman" w:hAnsi="Times New Roman"/>
                <w:sz w:val="18"/>
                <w:szCs w:val="18"/>
                <w:b w:val="1"/>
                <w:bCs w:val="1"/>
                <w:color w:val="auto"/>
              </w:rPr>
              <w:t>* * *</w:t>
            </w:r>
          </w:p>
        </w:tc>
        <w:tc>
          <w:tcPr>
            <w:tcW w:w="0" w:type="dxa"/>
            <w:vAlign w:val="bottom"/>
          </w:tcPr>
          <w:p>
            <w:pPr>
              <w:spacing w:after="0"/>
              <w:rPr>
                <w:sz w:val="1"/>
                <w:szCs w:val="1"/>
                <w:color w:val="auto"/>
              </w:rPr>
            </w:pPr>
          </w:p>
        </w:tc>
      </w:tr>
      <w:tr>
        <w:trPr>
          <w:trHeight w:val="630"/>
        </w:trPr>
        <w:tc>
          <w:tcPr>
            <w:tcW w:w="31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7980"/>
              <w:spacing w:after="0"/>
              <w:rPr>
                <w:sz w:val="20"/>
                <w:szCs w:val="20"/>
                <w:color w:val="auto"/>
              </w:rPr>
            </w:pPr>
            <w:r>
              <w:rPr>
                <w:rFonts w:ascii="Times New Roman" w:cs="Times New Roman" w:eastAsia="Times New Roman" w:hAnsi="Times New Roman"/>
                <w:sz w:val="11"/>
                <w:szCs w:val="11"/>
                <w:color w:val="auto"/>
                <w:w w:val="71"/>
              </w:rPr>
              <w:t>9</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21" w:name="page22"/>
    <w:bookmarkEnd w:id="21"/>
    <w:p>
      <w:pPr>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CONFIDENTIAL</w:t>
      </w:r>
      <w:r>
        <w:rPr>
          <w:sz w:val="20"/>
          <w:szCs w:val="20"/>
          <w:color w:val="auto"/>
        </w:rPr>
        <w:tab/>
      </w:r>
      <w:r>
        <w:rPr>
          <w:rFonts w:ascii="Times New Roman" w:cs="Times New Roman" w:eastAsia="Times New Roman" w:hAnsi="Times New Roman"/>
          <w:sz w:val="18"/>
          <w:szCs w:val="18"/>
          <w:color w:val="auto"/>
        </w:rPr>
        <w:t>PAUL, WEISS, RIFKIND, WHARTON &amp; GARRISON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by the undersigned as of the date first written above.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COBBLERS COVE CAPITAL LP</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Matthew Perkal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Matthew Perkal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35680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ARKHOUSE MANAGEMENT CO. LP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Gavriel Kahane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Gavriel Kahane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35680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3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361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7720" w:type="dxa"/>
            <w:vAlign w:val="bottom"/>
          </w:tcPr>
          <w:p>
            <w:pPr>
              <w:jc w:val="center"/>
              <w:ind w:right="3412"/>
              <w:spacing w:after="0"/>
              <w:rPr>
                <w:sz w:val="20"/>
                <w:szCs w:val="20"/>
                <w:color w:val="auto"/>
              </w:rPr>
            </w:pPr>
            <w:r>
              <w:rPr>
                <w:rFonts w:ascii="Times New Roman" w:cs="Times New Roman" w:eastAsia="Times New Roman" w:hAnsi="Times New Roman"/>
                <w:sz w:val="18"/>
                <w:szCs w:val="18"/>
                <w:b w:val="1"/>
                <w:bCs w:val="1"/>
                <w:color w:val="auto"/>
                <w:w w:val="96"/>
              </w:rPr>
              <w:t>Exhibit 99.3</w:t>
            </w:r>
          </w:p>
        </w:tc>
      </w:tr>
      <w:tr>
        <w:trPr>
          <w:trHeight w:val="420"/>
        </w:trPr>
        <w:tc>
          <w:tcPr>
            <w:tcW w:w="3520" w:type="dxa"/>
            <w:vAlign w:val="bottom"/>
          </w:tcPr>
          <w:p>
            <w:pPr>
              <w:spacing w:after="0"/>
              <w:rPr>
                <w:sz w:val="24"/>
                <w:szCs w:val="24"/>
                <w:color w:val="auto"/>
              </w:rPr>
            </w:pPr>
          </w:p>
        </w:tc>
        <w:tc>
          <w:tcPr>
            <w:tcW w:w="7720" w:type="dxa"/>
            <w:vAlign w:val="bottom"/>
          </w:tcPr>
          <w:p>
            <w:pPr>
              <w:jc w:val="center"/>
              <w:ind w:right="3412"/>
              <w:spacing w:after="0"/>
              <w:rPr>
                <w:sz w:val="20"/>
                <w:szCs w:val="20"/>
                <w:color w:val="auto"/>
              </w:rPr>
            </w:pPr>
            <w:r>
              <w:rPr>
                <w:rFonts w:ascii="Times New Roman" w:cs="Times New Roman" w:eastAsia="Times New Roman" w:hAnsi="Times New Roman"/>
                <w:sz w:val="18"/>
                <w:szCs w:val="18"/>
                <w:color w:val="auto"/>
                <w:w w:val="99"/>
              </w:rPr>
              <w:t>to</w:t>
            </w:r>
          </w:p>
        </w:tc>
      </w:tr>
      <w:tr>
        <w:trPr>
          <w:trHeight w:val="420"/>
        </w:trPr>
        <w:tc>
          <w:tcPr>
            <w:tcW w:w="3520" w:type="dxa"/>
            <w:vAlign w:val="bottom"/>
          </w:tcPr>
          <w:p>
            <w:pPr>
              <w:spacing w:after="0"/>
              <w:rPr>
                <w:sz w:val="24"/>
                <w:szCs w:val="24"/>
                <w:color w:val="auto"/>
              </w:rPr>
            </w:pPr>
          </w:p>
        </w:tc>
        <w:tc>
          <w:tcPr>
            <w:tcW w:w="7720" w:type="dxa"/>
            <w:vAlign w:val="bottom"/>
          </w:tcPr>
          <w:p>
            <w:pPr>
              <w:jc w:val="center"/>
              <w:ind w:right="3412"/>
              <w:spacing w:after="0"/>
              <w:rPr>
                <w:sz w:val="20"/>
                <w:szCs w:val="20"/>
                <w:color w:val="auto"/>
              </w:rPr>
            </w:pPr>
            <w:r>
              <w:rPr>
                <w:rFonts w:ascii="Times New Roman" w:cs="Times New Roman" w:eastAsia="Times New Roman" w:hAnsi="Times New Roman"/>
                <w:sz w:val="18"/>
                <w:szCs w:val="18"/>
                <w:b w:val="1"/>
                <w:bCs w:val="1"/>
                <w:color w:val="auto"/>
                <w:w w:val="96"/>
              </w:rPr>
              <w:t>SCHEDULE 13D</w:t>
            </w:r>
          </w:p>
        </w:tc>
      </w:tr>
      <w:tr>
        <w:trPr>
          <w:trHeight w:val="420"/>
        </w:trPr>
        <w:tc>
          <w:tcPr>
            <w:tcW w:w="3520" w:type="dxa"/>
            <w:vAlign w:val="bottom"/>
          </w:tcPr>
          <w:p>
            <w:pPr>
              <w:spacing w:after="0"/>
              <w:rPr>
                <w:sz w:val="24"/>
                <w:szCs w:val="24"/>
                <w:color w:val="auto"/>
              </w:rPr>
            </w:pPr>
          </w:p>
        </w:tc>
        <w:tc>
          <w:tcPr>
            <w:tcW w:w="7720" w:type="dxa"/>
            <w:vAlign w:val="bottom"/>
          </w:tcPr>
          <w:p>
            <w:pPr>
              <w:jc w:val="center"/>
              <w:ind w:right="3412"/>
              <w:spacing w:after="0"/>
              <w:rPr>
                <w:sz w:val="20"/>
                <w:szCs w:val="20"/>
                <w:color w:val="auto"/>
              </w:rPr>
            </w:pPr>
            <w:r>
              <w:rPr>
                <w:rFonts w:ascii="Times New Roman" w:cs="Times New Roman" w:eastAsia="Times New Roman" w:hAnsi="Times New Roman"/>
                <w:sz w:val="18"/>
                <w:szCs w:val="18"/>
                <w:i w:val="1"/>
                <w:iCs w:val="1"/>
                <w:color w:val="auto"/>
                <w:w w:val="97"/>
              </w:rPr>
              <w:t>Under the Securities Exchange Act of 1934</w:t>
            </w:r>
          </w:p>
        </w:tc>
      </w:tr>
      <w:tr>
        <w:trPr>
          <w:trHeight w:val="211"/>
        </w:trPr>
        <w:tc>
          <w:tcPr>
            <w:tcW w:w="3520" w:type="dxa"/>
            <w:vAlign w:val="bottom"/>
            <w:tcBorders>
              <w:bottom w:val="single" w:sz="8" w:color="auto"/>
            </w:tcBorders>
          </w:tcPr>
          <w:p>
            <w:pPr>
              <w:spacing w:after="0"/>
              <w:rPr>
                <w:sz w:val="18"/>
                <w:szCs w:val="18"/>
                <w:color w:val="auto"/>
              </w:rPr>
            </w:pPr>
          </w:p>
        </w:tc>
        <w:tc>
          <w:tcPr>
            <w:tcW w:w="7720" w:type="dxa"/>
            <w:vAlign w:val="bottom"/>
            <w:tcBorders>
              <w:bottom w:val="single" w:sz="8" w:color="auto"/>
            </w:tcBorders>
          </w:tcPr>
          <w:p>
            <w:pPr>
              <w:spacing w:after="0"/>
              <w:rPr>
                <w:sz w:val="18"/>
                <w:szCs w:val="18"/>
                <w:color w:val="auto"/>
              </w:rPr>
            </w:pPr>
          </w:p>
        </w:tc>
      </w:tr>
      <w:tr>
        <w:trPr>
          <w:trHeight w:val="229"/>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Dine Brands Global, Inc.</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229"/>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 Stock, par value $0.01 per share</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229"/>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254423106</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211"/>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Filed by (Reporting Person(s))</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Cobblers Cove Capital LP, Cobblers Cove Capital Management GP LLC, Matthew Perkal, Benjamin F.</w:t>
            </w:r>
          </w:p>
        </w:tc>
      </w:tr>
      <w:tr>
        <w:trPr>
          <w:trHeight w:val="228"/>
        </w:trPr>
        <w:tc>
          <w:tcPr>
            <w:tcW w:w="352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Rattner</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229"/>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Item of Schedule 13D</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Item 7 (Material to Be Filed as Exhibits)</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229"/>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Dine Brands Response Letter, dated October 29, 2026.</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650"/>
        </w:trPr>
        <w:tc>
          <w:tcPr>
            <w:tcW w:w="352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3107690</wp:posOffset>
            </wp:positionH>
            <wp:positionV relativeFrom="page">
              <wp:posOffset>438785</wp:posOffset>
            </wp:positionV>
            <wp:extent cx="1334135" cy="1025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334135" cy="1025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2026</w:t>
      </w:r>
    </w:p>
    <w:p>
      <w:pPr>
        <w:spacing w:after="0" w:line="21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Via email:</w:t>
      </w:r>
      <w:r>
        <w:rPr>
          <w:sz w:val="20"/>
          <w:szCs w:val="20"/>
          <w:color w:val="auto"/>
        </w:rPr>
        <w:tab/>
      </w:r>
      <w:r>
        <w:rPr>
          <w:rFonts w:ascii="Times New Roman" w:cs="Times New Roman" w:eastAsia="Times New Roman" w:hAnsi="Times New Roman"/>
          <w:sz w:val="16"/>
          <w:szCs w:val="16"/>
          <w:u w:val="single" w:color="auto"/>
          <w:color w:val="auto"/>
        </w:rPr>
        <w:t>mp@cobblerscovecapital.com</w:t>
      </w:r>
    </w:p>
    <w:p>
      <w:pPr>
        <w:spacing w:after="0" w:line="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auto"/>
        </w:rPr>
        <w:t>gavriel@arkhousefund.com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Perkal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Partner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Cobblers Cove Capital LP</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 Rutledge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Charleston, SC 29401</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Gavriel Kahane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Partner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Arkhouse Management Co. LP</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 West 56th Street, 17th Floor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19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Non-Binding Proposal to Acquire Dine Brands Global, Inc.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Matthew &amp; Gavriel: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am writing on behalf of the Board of Directors (the "Board") of Dine Brands Global, Inc. (the "Company") in response to your letter dated October 26, 2026.</w:t>
      </w:r>
    </w:p>
    <w:p>
      <w:pPr>
        <w:spacing w:after="0" w:line="23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Your letter has been reviewed by the Company and the Board. While we appreciate your interest, the Board has determined that the proposed transaction would not be in the best interests of the Company and its stockholders. We therefore decline to proceed with the proposed transaction.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is committed to and focused on creating shareholder value.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Peyton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35680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5" w:lineRule="exact"/>
        <w:rPr>
          <w:sz w:val="20"/>
          <w:szCs w:val="20"/>
          <w:color w:val="auto"/>
        </w:rPr>
      </w:pPr>
    </w:p>
    <w:p>
      <w:pPr>
        <w:ind w:left="320" w:right="6400" w:hanging="315"/>
        <w:spacing w:after="0" w:line="250" w:lineRule="auto"/>
        <w:tabs>
          <w:tab w:leader="none" w:pos="3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 Marell, Paul, Weiss, Rifkind, Wharton &amp; Garrison LLP Cullen Sinclair, Paul, Weiss, Rifkind, Wharton &amp; Garrison LLP Kai Liekefett, Sidley Austin LLP</w:t>
      </w:r>
    </w:p>
    <w:p>
      <w:pPr>
        <w:spacing w:after="0" w:line="1" w:lineRule="exact"/>
        <w:rPr>
          <w:rFonts w:ascii="Times New Roman" w:cs="Times New Roman" w:eastAsia="Times New Roman" w:hAnsi="Times New Roman"/>
          <w:sz w:val="18"/>
          <w:szCs w:val="18"/>
          <w:color w:val="auto"/>
        </w:rPr>
      </w:pPr>
    </w:p>
    <w:p>
      <w:pPr>
        <w:ind w:left="320" w:right="8220"/>
        <w:spacing w:after="0" w:line="3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David Grubman, Sidley Austin LLP Reuben Zaramian, Sidley Austin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1361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7720" w:type="dxa"/>
            <w:vAlign w:val="bottom"/>
          </w:tcPr>
          <w:p>
            <w:pPr>
              <w:jc w:val="center"/>
              <w:ind w:right="3412"/>
              <w:spacing w:after="0"/>
              <w:rPr>
                <w:sz w:val="20"/>
                <w:szCs w:val="20"/>
                <w:color w:val="auto"/>
              </w:rPr>
            </w:pPr>
            <w:r>
              <w:rPr>
                <w:rFonts w:ascii="Times New Roman" w:cs="Times New Roman" w:eastAsia="Times New Roman" w:hAnsi="Times New Roman"/>
                <w:sz w:val="18"/>
                <w:szCs w:val="18"/>
                <w:b w:val="1"/>
                <w:bCs w:val="1"/>
                <w:color w:val="auto"/>
                <w:w w:val="96"/>
              </w:rPr>
              <w:t>Exhibit 99.4</w:t>
            </w:r>
          </w:p>
        </w:tc>
      </w:tr>
      <w:tr>
        <w:trPr>
          <w:trHeight w:val="420"/>
        </w:trPr>
        <w:tc>
          <w:tcPr>
            <w:tcW w:w="3520" w:type="dxa"/>
            <w:vAlign w:val="bottom"/>
          </w:tcPr>
          <w:p>
            <w:pPr>
              <w:spacing w:after="0"/>
              <w:rPr>
                <w:sz w:val="24"/>
                <w:szCs w:val="24"/>
                <w:color w:val="auto"/>
              </w:rPr>
            </w:pPr>
          </w:p>
        </w:tc>
        <w:tc>
          <w:tcPr>
            <w:tcW w:w="7720" w:type="dxa"/>
            <w:vAlign w:val="bottom"/>
          </w:tcPr>
          <w:p>
            <w:pPr>
              <w:jc w:val="center"/>
              <w:ind w:right="3412"/>
              <w:spacing w:after="0"/>
              <w:rPr>
                <w:sz w:val="20"/>
                <w:szCs w:val="20"/>
                <w:color w:val="auto"/>
              </w:rPr>
            </w:pPr>
            <w:r>
              <w:rPr>
                <w:rFonts w:ascii="Times New Roman" w:cs="Times New Roman" w:eastAsia="Times New Roman" w:hAnsi="Times New Roman"/>
                <w:sz w:val="18"/>
                <w:szCs w:val="18"/>
                <w:color w:val="auto"/>
                <w:w w:val="99"/>
              </w:rPr>
              <w:t>to</w:t>
            </w:r>
          </w:p>
        </w:tc>
      </w:tr>
      <w:tr>
        <w:trPr>
          <w:trHeight w:val="420"/>
        </w:trPr>
        <w:tc>
          <w:tcPr>
            <w:tcW w:w="3520" w:type="dxa"/>
            <w:vAlign w:val="bottom"/>
          </w:tcPr>
          <w:p>
            <w:pPr>
              <w:spacing w:after="0"/>
              <w:rPr>
                <w:sz w:val="24"/>
                <w:szCs w:val="24"/>
                <w:color w:val="auto"/>
              </w:rPr>
            </w:pPr>
          </w:p>
        </w:tc>
        <w:tc>
          <w:tcPr>
            <w:tcW w:w="7720" w:type="dxa"/>
            <w:vAlign w:val="bottom"/>
          </w:tcPr>
          <w:p>
            <w:pPr>
              <w:jc w:val="center"/>
              <w:ind w:right="3412"/>
              <w:spacing w:after="0"/>
              <w:rPr>
                <w:sz w:val="20"/>
                <w:szCs w:val="20"/>
                <w:color w:val="auto"/>
              </w:rPr>
            </w:pPr>
            <w:r>
              <w:rPr>
                <w:rFonts w:ascii="Times New Roman" w:cs="Times New Roman" w:eastAsia="Times New Roman" w:hAnsi="Times New Roman"/>
                <w:sz w:val="18"/>
                <w:szCs w:val="18"/>
                <w:b w:val="1"/>
                <w:bCs w:val="1"/>
                <w:color w:val="auto"/>
                <w:w w:val="96"/>
              </w:rPr>
              <w:t>SCHEDULE 13D</w:t>
            </w:r>
          </w:p>
        </w:tc>
      </w:tr>
      <w:tr>
        <w:trPr>
          <w:trHeight w:val="420"/>
        </w:trPr>
        <w:tc>
          <w:tcPr>
            <w:tcW w:w="3520" w:type="dxa"/>
            <w:vAlign w:val="bottom"/>
          </w:tcPr>
          <w:p>
            <w:pPr>
              <w:spacing w:after="0"/>
              <w:rPr>
                <w:sz w:val="24"/>
                <w:szCs w:val="24"/>
                <w:color w:val="auto"/>
              </w:rPr>
            </w:pPr>
          </w:p>
        </w:tc>
        <w:tc>
          <w:tcPr>
            <w:tcW w:w="7720" w:type="dxa"/>
            <w:vAlign w:val="bottom"/>
          </w:tcPr>
          <w:p>
            <w:pPr>
              <w:jc w:val="center"/>
              <w:ind w:right="3412"/>
              <w:spacing w:after="0"/>
              <w:rPr>
                <w:sz w:val="20"/>
                <w:szCs w:val="20"/>
                <w:color w:val="auto"/>
              </w:rPr>
            </w:pPr>
            <w:r>
              <w:rPr>
                <w:rFonts w:ascii="Times New Roman" w:cs="Times New Roman" w:eastAsia="Times New Roman" w:hAnsi="Times New Roman"/>
                <w:sz w:val="18"/>
                <w:szCs w:val="18"/>
                <w:i w:val="1"/>
                <w:iCs w:val="1"/>
                <w:color w:val="auto"/>
                <w:w w:val="97"/>
              </w:rPr>
              <w:t>Under the Securities Exchange Act of 1934</w:t>
            </w:r>
          </w:p>
        </w:tc>
      </w:tr>
      <w:tr>
        <w:trPr>
          <w:trHeight w:val="211"/>
        </w:trPr>
        <w:tc>
          <w:tcPr>
            <w:tcW w:w="3520" w:type="dxa"/>
            <w:vAlign w:val="bottom"/>
            <w:tcBorders>
              <w:bottom w:val="single" w:sz="8" w:color="auto"/>
            </w:tcBorders>
          </w:tcPr>
          <w:p>
            <w:pPr>
              <w:spacing w:after="0"/>
              <w:rPr>
                <w:sz w:val="18"/>
                <w:szCs w:val="18"/>
                <w:color w:val="auto"/>
              </w:rPr>
            </w:pPr>
          </w:p>
        </w:tc>
        <w:tc>
          <w:tcPr>
            <w:tcW w:w="7720" w:type="dxa"/>
            <w:vAlign w:val="bottom"/>
            <w:tcBorders>
              <w:bottom w:val="single" w:sz="8" w:color="auto"/>
            </w:tcBorders>
          </w:tcPr>
          <w:p>
            <w:pPr>
              <w:spacing w:after="0"/>
              <w:rPr>
                <w:sz w:val="18"/>
                <w:szCs w:val="18"/>
                <w:color w:val="auto"/>
              </w:rPr>
            </w:pPr>
          </w:p>
        </w:tc>
      </w:tr>
      <w:tr>
        <w:trPr>
          <w:trHeight w:val="229"/>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Dine Brands Global, Inc.</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229"/>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 Stock, par value $0.01 per share</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229"/>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254423106</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211"/>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Filed by (Reporting Person(s))</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Cobblers Cove Capital LP, Cobblers Cove Capital Management GP LLC, Matthew Perkal, Benjamin F.</w:t>
            </w:r>
          </w:p>
        </w:tc>
      </w:tr>
      <w:tr>
        <w:trPr>
          <w:trHeight w:val="228"/>
        </w:trPr>
        <w:tc>
          <w:tcPr>
            <w:tcW w:w="352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Rattner</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229"/>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Item of Schedule 13D</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Item 7 (Material to Be Filed as Exhibits)</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229"/>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Letter to Dine Brands, dated November 2, 2026</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650"/>
        </w:trPr>
        <w:tc>
          <w:tcPr>
            <w:tcW w:w="352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color w:val="auto"/>
        </w:rPr>
        <w:t>November 2, 2026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Email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Dine Brands Global,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West Walnut Street, 5th Floor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Pasadena, California 91103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Non-Binding Proposal to Acquire Dine Brands Global, Inc.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Members of the Board: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received the response letter from John Peyton dated October 29, 2026 stating that the Board has declined to proceed with our proposed transaction.</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disappointed that the Board rejected our proposal without engaging with us. We understand that the Company only noticed it had received a proposal from us on the afternoon of October 28, less than 24 hours before Mr. Peyton communicated the Board’s decision. Given the substantial premium offered and our stated willingness to explore a higher price, we believe our proposal warrants further consideration.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offer price represented a 32.8% premium to the Company’s 30-day VWAP and 25.4% to its closing price of $31.10 on October 23, 2026. We also stated in our proposal that we were optimistic that access to management and confirmatory due diligence would allow us to identify additional value that could support an increase in our proposed price.</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We believe the interests of the Company and its stockholders would be best served by a substantive evaluation of our proposal and engagement with us to assess both the merits of our premium offer and our ability to improve it.</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have heard from franchisees representing a meaningful portion of the company's units that current investment and support is inadequate. We would be prepared to increase franchisee support as appropriate, and believe our proposal presents an opportunity to strengthen the franchise system while delivering compelling value to stockholders.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We remain eager to work with you toward the Proposed Transaction. Once you have announced your third quarter earnings on November 4, we welcome the opportunity to engage in a discussion of our proposal and the access we would need to potentially increase our offer price.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respectfully request that this letter be shared with all members of the Board. Sincerely,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Matthew Perkal</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 Gavriel Kahane</w:t>
            </w:r>
          </w:p>
        </w:tc>
      </w:tr>
      <w:tr>
        <w:trPr>
          <w:trHeight w:val="185"/>
        </w:trPr>
        <w:tc>
          <w:tcPr>
            <w:tcW w:w="20" w:type="dxa"/>
            <w:vAlign w:val="bottom"/>
          </w:tcPr>
          <w:p>
            <w:pPr>
              <w:spacing w:after="0"/>
              <w:rPr>
                <w:sz w:val="16"/>
                <w:szCs w:val="16"/>
                <w:color w:val="auto"/>
              </w:rPr>
            </w:pPr>
          </w:p>
        </w:tc>
        <w:tc>
          <w:tcPr>
            <w:tcW w:w="55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Matthew Perkal</w:t>
            </w:r>
          </w:p>
        </w:tc>
        <w:tc>
          <w:tcPr>
            <w:tcW w:w="220" w:type="dxa"/>
            <w:vAlign w:val="bottom"/>
          </w:tcPr>
          <w:p>
            <w:pPr>
              <w:spacing w:after="0"/>
              <w:rPr>
                <w:sz w:val="16"/>
                <w:szCs w:val="16"/>
                <w:color w:val="auto"/>
              </w:rPr>
            </w:pPr>
          </w:p>
        </w:tc>
        <w:tc>
          <w:tcPr>
            <w:tcW w:w="55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Gavriel Kahane</w:t>
            </w:r>
          </w:p>
        </w:tc>
      </w:tr>
      <w:tr>
        <w:trPr>
          <w:trHeight w:val="210"/>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Managing Partner</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r>
        <w:trPr>
          <w:trHeight w:val="228"/>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Cobblers Cove Capital LP</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Arkhouse Management Co. LP</w:t>
            </w:r>
          </w:p>
        </w:tc>
      </w:tr>
      <w:tr>
        <w:trPr>
          <w:trHeight w:val="657"/>
        </w:trPr>
        <w:tc>
          <w:tcPr>
            <w:tcW w:w="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cc:</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Jeff Marell</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Partner</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Paul, Weiss, Rifkind, Wharton &amp; Garrison LLP</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Cullen Sinclair</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Partner</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Paul, Weiss, Rifkind, Wharton &amp; Garrison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450215</wp:posOffset>
            </wp:positionV>
            <wp:extent cx="71361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139"/>
          </w:cols>
          <w:pgMar w:left="320" w:top="672" w:right="1440" w:bottom="1440" w:gutter="0" w:footer="0" w:header="0"/>
        </w:sectPr>
      </w:pPr>
    </w:p>
    <w:bookmarkStart w:id="27" w:name="page28"/>
    <w:bookmarkEnd w:id="27"/>
    <w:tbl>
      <w:tblPr>
        <w:tblLayout w:type="fixed"/>
        <w:tblInd w:w="1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7720" w:type="dxa"/>
            <w:vAlign w:val="bottom"/>
          </w:tcPr>
          <w:p>
            <w:pPr>
              <w:jc w:val="center"/>
              <w:ind w:right="3412"/>
              <w:spacing w:after="0"/>
              <w:rPr>
                <w:sz w:val="20"/>
                <w:szCs w:val="20"/>
                <w:color w:val="auto"/>
              </w:rPr>
            </w:pPr>
            <w:r>
              <w:rPr>
                <w:rFonts w:ascii="Times New Roman" w:cs="Times New Roman" w:eastAsia="Times New Roman" w:hAnsi="Times New Roman"/>
                <w:sz w:val="18"/>
                <w:szCs w:val="18"/>
                <w:b w:val="1"/>
                <w:bCs w:val="1"/>
                <w:color w:val="auto"/>
                <w:w w:val="96"/>
              </w:rPr>
              <w:t>Exhibit 99.5</w:t>
            </w:r>
          </w:p>
        </w:tc>
      </w:tr>
      <w:tr>
        <w:trPr>
          <w:trHeight w:val="420"/>
        </w:trPr>
        <w:tc>
          <w:tcPr>
            <w:tcW w:w="3520" w:type="dxa"/>
            <w:vAlign w:val="bottom"/>
          </w:tcPr>
          <w:p>
            <w:pPr>
              <w:spacing w:after="0"/>
              <w:rPr>
                <w:sz w:val="24"/>
                <w:szCs w:val="24"/>
                <w:color w:val="auto"/>
              </w:rPr>
            </w:pPr>
          </w:p>
        </w:tc>
        <w:tc>
          <w:tcPr>
            <w:tcW w:w="7720" w:type="dxa"/>
            <w:vAlign w:val="bottom"/>
          </w:tcPr>
          <w:p>
            <w:pPr>
              <w:jc w:val="center"/>
              <w:ind w:right="3412"/>
              <w:spacing w:after="0"/>
              <w:rPr>
                <w:sz w:val="20"/>
                <w:szCs w:val="20"/>
                <w:color w:val="auto"/>
              </w:rPr>
            </w:pPr>
            <w:r>
              <w:rPr>
                <w:rFonts w:ascii="Times New Roman" w:cs="Times New Roman" w:eastAsia="Times New Roman" w:hAnsi="Times New Roman"/>
                <w:sz w:val="18"/>
                <w:szCs w:val="18"/>
                <w:color w:val="auto"/>
                <w:w w:val="99"/>
              </w:rPr>
              <w:t>to</w:t>
            </w:r>
          </w:p>
        </w:tc>
      </w:tr>
      <w:tr>
        <w:trPr>
          <w:trHeight w:val="420"/>
        </w:trPr>
        <w:tc>
          <w:tcPr>
            <w:tcW w:w="3520" w:type="dxa"/>
            <w:vAlign w:val="bottom"/>
          </w:tcPr>
          <w:p>
            <w:pPr>
              <w:spacing w:after="0"/>
              <w:rPr>
                <w:sz w:val="24"/>
                <w:szCs w:val="24"/>
                <w:color w:val="auto"/>
              </w:rPr>
            </w:pPr>
          </w:p>
        </w:tc>
        <w:tc>
          <w:tcPr>
            <w:tcW w:w="7720" w:type="dxa"/>
            <w:vAlign w:val="bottom"/>
          </w:tcPr>
          <w:p>
            <w:pPr>
              <w:jc w:val="center"/>
              <w:ind w:right="3412"/>
              <w:spacing w:after="0"/>
              <w:rPr>
                <w:sz w:val="20"/>
                <w:szCs w:val="20"/>
                <w:color w:val="auto"/>
              </w:rPr>
            </w:pPr>
            <w:r>
              <w:rPr>
                <w:rFonts w:ascii="Times New Roman" w:cs="Times New Roman" w:eastAsia="Times New Roman" w:hAnsi="Times New Roman"/>
                <w:sz w:val="18"/>
                <w:szCs w:val="18"/>
                <w:b w:val="1"/>
                <w:bCs w:val="1"/>
                <w:color w:val="auto"/>
                <w:w w:val="96"/>
              </w:rPr>
              <w:t>SCHEDULE 13D</w:t>
            </w:r>
          </w:p>
        </w:tc>
      </w:tr>
      <w:tr>
        <w:trPr>
          <w:trHeight w:val="420"/>
        </w:trPr>
        <w:tc>
          <w:tcPr>
            <w:tcW w:w="3520" w:type="dxa"/>
            <w:vAlign w:val="bottom"/>
          </w:tcPr>
          <w:p>
            <w:pPr>
              <w:spacing w:after="0"/>
              <w:rPr>
                <w:sz w:val="24"/>
                <w:szCs w:val="24"/>
                <w:color w:val="auto"/>
              </w:rPr>
            </w:pPr>
          </w:p>
        </w:tc>
        <w:tc>
          <w:tcPr>
            <w:tcW w:w="7720" w:type="dxa"/>
            <w:vAlign w:val="bottom"/>
          </w:tcPr>
          <w:p>
            <w:pPr>
              <w:jc w:val="center"/>
              <w:ind w:right="3412"/>
              <w:spacing w:after="0"/>
              <w:rPr>
                <w:sz w:val="20"/>
                <w:szCs w:val="20"/>
                <w:color w:val="auto"/>
              </w:rPr>
            </w:pPr>
            <w:r>
              <w:rPr>
                <w:rFonts w:ascii="Times New Roman" w:cs="Times New Roman" w:eastAsia="Times New Roman" w:hAnsi="Times New Roman"/>
                <w:sz w:val="18"/>
                <w:szCs w:val="18"/>
                <w:i w:val="1"/>
                <w:iCs w:val="1"/>
                <w:color w:val="auto"/>
                <w:w w:val="97"/>
              </w:rPr>
              <w:t>Under the Securities Exchange Act of 1934</w:t>
            </w:r>
          </w:p>
        </w:tc>
      </w:tr>
      <w:tr>
        <w:trPr>
          <w:trHeight w:val="211"/>
        </w:trPr>
        <w:tc>
          <w:tcPr>
            <w:tcW w:w="3520" w:type="dxa"/>
            <w:vAlign w:val="bottom"/>
            <w:tcBorders>
              <w:bottom w:val="single" w:sz="8" w:color="auto"/>
            </w:tcBorders>
          </w:tcPr>
          <w:p>
            <w:pPr>
              <w:spacing w:after="0"/>
              <w:rPr>
                <w:sz w:val="18"/>
                <w:szCs w:val="18"/>
                <w:color w:val="auto"/>
              </w:rPr>
            </w:pPr>
          </w:p>
        </w:tc>
        <w:tc>
          <w:tcPr>
            <w:tcW w:w="7720" w:type="dxa"/>
            <w:vAlign w:val="bottom"/>
            <w:tcBorders>
              <w:bottom w:val="single" w:sz="8" w:color="auto"/>
            </w:tcBorders>
          </w:tcPr>
          <w:p>
            <w:pPr>
              <w:spacing w:after="0"/>
              <w:rPr>
                <w:sz w:val="18"/>
                <w:szCs w:val="18"/>
                <w:color w:val="auto"/>
              </w:rPr>
            </w:pPr>
          </w:p>
        </w:tc>
      </w:tr>
      <w:tr>
        <w:trPr>
          <w:trHeight w:val="229"/>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Dine Brands Global, Inc.</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229"/>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 Stock, par value $0.01 per share</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229"/>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254423106</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211"/>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Filed by (Reporting Person(s))</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Cobblers Cove Capital LP, Cobblers Cove Capital Management GP LLC, Matthew Perkal, Benjamin F.</w:t>
            </w:r>
          </w:p>
        </w:tc>
      </w:tr>
      <w:tr>
        <w:trPr>
          <w:trHeight w:val="228"/>
        </w:trPr>
        <w:tc>
          <w:tcPr>
            <w:tcW w:w="352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Rattner</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229"/>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Item of Schedule 13D</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Item 7 (Material to Be Filed as Exhibits)</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211"/>
        </w:trPr>
        <w:tc>
          <w:tcPr>
            <w:tcW w:w="3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Joint Filing Agreement by and among Cobblers Cove Capital LP, Cobblers Cove Capital Management GP</w:t>
            </w:r>
          </w:p>
        </w:tc>
      </w:tr>
      <w:tr>
        <w:trPr>
          <w:trHeight w:val="228"/>
        </w:trPr>
        <w:tc>
          <w:tcPr>
            <w:tcW w:w="352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LLC, Matthew Perkal, Benjamin F. Rattner</w:t>
            </w:r>
          </w:p>
        </w:tc>
      </w:tr>
      <w:tr>
        <w:trPr>
          <w:trHeight w:val="171"/>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650"/>
        </w:trPr>
        <w:tc>
          <w:tcPr>
            <w:tcW w:w="352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agree as follows:</w:t>
      </w:r>
    </w:p>
    <w:p>
      <w:pPr>
        <w:spacing w:after="0" w:line="213" w:lineRule="exact"/>
        <w:rPr>
          <w:sz w:val="20"/>
          <w:szCs w:val="20"/>
          <w:color w:val="auto"/>
        </w:rPr>
      </w:pPr>
    </w:p>
    <w:p>
      <w:pPr>
        <w:ind w:left="640" w:hanging="320"/>
        <w:spacing w:after="0" w:line="267"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them is individually eligible to use the Schedule 13D to which this Exhibit is attached, and such Schedule 13D is filed on behalf each of them; and</w:t>
      </w:r>
    </w:p>
    <w:p>
      <w:pPr>
        <w:spacing w:after="0" w:line="169" w:lineRule="exact"/>
        <w:rPr>
          <w:rFonts w:ascii="Times New Roman" w:cs="Times New Roman" w:eastAsia="Times New Roman" w:hAnsi="Times New Roman"/>
          <w:sz w:val="18"/>
          <w:szCs w:val="18"/>
          <w:color w:val="auto"/>
        </w:rPr>
      </w:pPr>
    </w:p>
    <w:p>
      <w:pPr>
        <w:jc w:val="both"/>
        <w:ind w:left="640" w:hanging="320"/>
        <w:spacing w:after="0" w:line="255"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them is responsible for the timely filing of such Schedule 13D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November 2, 2026</w:t>
      </w:r>
    </w:p>
    <w:p>
      <w:pPr>
        <w:spacing w:after="0" w:line="2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COBBLERS COVE CAPITAL LP</w:t>
      </w:r>
    </w:p>
    <w:p>
      <w:pPr>
        <w:spacing w:after="0" w:line="2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Cobblers Cove Capital Management GP LLC</w:t>
      </w:r>
    </w:p>
    <w:p>
      <w:pPr>
        <w:spacing w:after="0" w:line="2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Benjamin F. Rattner</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Benjamin F. Rattner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-130175</wp:posOffset>
            </wp:positionV>
            <wp:extent cx="33515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19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COBBLERS COVE CAPITAL MANAGEMENT GP LLC</w:t>
      </w:r>
    </w:p>
    <w:p>
      <w:pPr>
        <w:spacing w:after="0" w:line="2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Benjamin F. Rattner</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Benjamin F. Rattner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-130175</wp:posOffset>
            </wp:positionV>
            <wp:extent cx="33515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19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MATTHEW PERKAL</w:t>
      </w:r>
    </w:p>
    <w:p>
      <w:pPr>
        <w:spacing w:after="0" w:line="2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Matthew Perkal</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Matthew Perkal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-130175</wp:posOffset>
            </wp:positionV>
            <wp:extent cx="33515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BENJAMIN F. RATTNER</w:t>
      </w:r>
    </w:p>
    <w:p>
      <w:pPr>
        <w:spacing w:after="0" w:line="2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Benjamin F. Rattner</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Benjamin F. Rattner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-130175</wp:posOffset>
            </wp:positionV>
            <wp:extent cx="33515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1361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sectPr>
      <w:pgSz w:w="11900" w:h="16838" w:orient="portrait"/>
      <w:cols w:equalWidth="0" w:num="1">
        <w:col w:w="11240"/>
      </w:cols>
      <w:pgMar w:left="320" w:top="6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2"/>
      <w:numFmt w:val="bullet"/>
      <w:start w:val="1"/>
    </w:lvl>
  </w:abstractNum>
  <w:abstractNum w:abstractNumId="1">
    <w:nsid w:val="5BD062C2"/>
    <w:multiLevelType w:val="hybridMultilevel"/>
    <w:lvl w:ilvl="0">
      <w:lvlJc w:val="left"/>
      <w:lvlText w:val="3"/>
      <w:numFmt w:val="bullet"/>
      <w:start w:val="1"/>
    </w:lvl>
  </w:abstractNum>
  <w:abstractNum w:abstractNumId="2">
    <w:nsid w:val="12200854"/>
    <w:multiLevelType w:val="hybridMultilevel"/>
    <w:lvl w:ilvl="0">
      <w:lvlJc w:val="left"/>
      <w:lvlText w:val="4"/>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2"/>
      <w:numFmt w:val="bullet"/>
      <w:start w:val="1"/>
    </w:lvl>
  </w:abstractNum>
  <w:abstractNum w:abstractNumId="6">
    <w:nsid w:val="1190CDE7"/>
    <w:multiLevelType w:val="hybridMultilevel"/>
    <w:lvl w:ilvl="0">
      <w:lvlJc w:val="left"/>
      <w:lvlText w:val="3"/>
      <w:numFmt w:val="bullet"/>
      <w:start w:val="1"/>
    </w:lvl>
  </w:abstractNum>
  <w:abstractNum w:abstractNumId="7">
    <w:nsid w:val="66EF438D"/>
    <w:multiLevelType w:val="hybridMultilevel"/>
    <w:lvl w:ilvl="0">
      <w:lvlJc w:val="left"/>
      <w:lvlText w:val="2"/>
      <w:numFmt w:val="bullet"/>
      <w:start w:val="1"/>
    </w:lvl>
  </w:abstractNum>
  <w:abstractNum w:abstractNumId="8">
    <w:nsid w:val="140E0F76"/>
    <w:multiLevelType w:val="hybridMultilevel"/>
    <w:lvl w:ilvl="0">
      <w:lvlJc w:val="left"/>
      <w:lvlText w:val="%1"/>
      <w:numFmt w:val="decimal"/>
      <w:start w:val="1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2"/>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3"/>
    </w:lvl>
  </w:abstractNum>
  <w:abstractNum w:abstractNumId="14">
    <w:nsid w:val="41A7C4C9"/>
    <w:multiLevelType w:val="hybridMultilevel"/>
    <w:lvl w:ilvl="0">
      <w:lvlJc w:val="left"/>
      <w:lvlText w:val="%1:"/>
      <w:numFmt w:val="lowerLetter"/>
      <w:start w:val="29"/>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2026-11-02T19:48:12Z</dcterms:created>
  <dcterms:modified xsi:type="dcterms:W3CDTF">2026-11-02T19:48:12Z</dcterms:modified>
</cp:coreProperties>
</file>