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ind w:right="680" w:firstLine="8"/>
        <w:spacing w:after="0" w:line="230" w:lineRule="auto"/>
        <w:tabs>
          <w:tab w:leader="none" w:pos="432"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79"/>
        <w:spacing w:after="0" w:line="220" w:lineRule="auto"/>
        <w:rPr>
          <w:sz w:val="20"/>
          <w:szCs w:val="20"/>
          <w:color w:val="auto"/>
        </w:rPr>
      </w:pPr>
      <w:r>
        <w:rPr>
          <w:rFonts w:ascii="Arial" w:cs="Arial" w:eastAsia="Arial" w:hAnsi="Arial"/>
          <w:sz w:val="18"/>
          <w:szCs w:val="18"/>
          <w:b w:val="1"/>
          <w:bCs w:val="1"/>
          <w:color w:val="auto"/>
        </w:rPr>
        <w:t>For the quarterly period ended June 30, 2023</w:t>
      </w:r>
    </w:p>
    <w:p>
      <w:pPr>
        <w:jc w:val="center"/>
        <w:ind w:right="-79"/>
        <w:spacing w:after="0" w:line="219"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right="360" w:firstLine="8"/>
        <w:spacing w:after="0" w:line="211" w:lineRule="auto"/>
        <w:tabs>
          <w:tab w:leader="none" w:pos="391"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6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0</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0</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3880"/>
        <w:spacing w:after="0"/>
        <w:rPr>
          <w:sz w:val="20"/>
          <w:szCs w:val="20"/>
          <w:color w:val="auto"/>
        </w:rPr>
      </w:pPr>
      <w:r>
        <w:rPr>
          <w:rFonts w:ascii="Arial" w:cs="Arial" w:eastAsia="Arial" w:hAnsi="Arial"/>
          <w:sz w:val="32"/>
          <w:szCs w:val="32"/>
          <w:b w:val="1"/>
          <w:bCs w:val="1"/>
          <w:color w:val="auto"/>
        </w:rPr>
        <w:t>Dine Brands Global, Inc.</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700" w:type="dxa"/>
            <w:vAlign w:val="bottom"/>
          </w:tcPr>
          <w:p>
            <w:pPr>
              <w:jc w:val="center"/>
              <w:ind w:right="73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699"/>
              <w:spacing w:after="0"/>
              <w:rPr>
                <w:sz w:val="20"/>
                <w:szCs w:val="20"/>
                <w:color w:val="auto"/>
              </w:rPr>
            </w:pPr>
            <w:r>
              <w:rPr>
                <w:rFonts w:ascii="Arial" w:cs="Arial" w:eastAsia="Arial" w:hAnsi="Arial"/>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760" w:type="dxa"/>
            <w:vAlign w:val="bottom"/>
          </w:tcPr>
          <w:p>
            <w:pPr>
              <w:jc w:val="center"/>
              <w:ind w:left="319"/>
              <w:spacing w:after="0"/>
              <w:rPr>
                <w:sz w:val="20"/>
                <w:szCs w:val="20"/>
                <w:color w:val="auto"/>
              </w:rPr>
            </w:pPr>
            <w:r>
              <w:rPr>
                <w:rFonts w:ascii="Arial" w:cs="Arial" w:eastAsia="Arial" w:hAnsi="Arial"/>
                <w:sz w:val="16"/>
                <w:szCs w:val="16"/>
                <w:color w:val="auto"/>
                <w:w w:val="95"/>
              </w:rPr>
              <w:t>(I.R.S. Employer Identification No.)</w:t>
            </w:r>
          </w:p>
        </w:tc>
      </w:tr>
      <w:tr>
        <w:trPr>
          <w:trHeight w:val="216"/>
        </w:trPr>
        <w:tc>
          <w:tcPr>
            <w:tcW w:w="4700" w:type="dxa"/>
            <w:vAlign w:val="bottom"/>
          </w:tcPr>
          <w:p>
            <w:pPr>
              <w:jc w:val="center"/>
              <w:ind w:right="739"/>
              <w:spacing w:after="0"/>
              <w:rPr>
                <w:sz w:val="20"/>
                <w:szCs w:val="20"/>
                <w:color w:val="auto"/>
              </w:rPr>
            </w:pPr>
            <w:r>
              <w:rPr>
                <w:rFonts w:ascii="Arial" w:cs="Arial" w:eastAsia="Arial" w:hAnsi="Arial"/>
                <w:sz w:val="16"/>
                <w:szCs w:val="16"/>
                <w:b w:val="1"/>
                <w:bCs w:val="1"/>
                <w:color w:val="auto"/>
                <w:w w:val="92"/>
              </w:rPr>
              <w:t>10 West Walnut Street, 5th Floor</w:t>
            </w:r>
          </w:p>
        </w:tc>
        <w:tc>
          <w:tcPr>
            <w:tcW w:w="2760" w:type="dxa"/>
            <w:vAlign w:val="bottom"/>
          </w:tcPr>
          <w:p>
            <w:pPr>
              <w:jc w:val="right"/>
              <w:ind w:right="899"/>
              <w:spacing w:after="0"/>
              <w:rPr>
                <w:sz w:val="20"/>
                <w:szCs w:val="20"/>
                <w:color w:val="auto"/>
              </w:rPr>
            </w:pPr>
            <w:r>
              <w:rPr>
                <w:rFonts w:ascii="Arial" w:cs="Arial" w:eastAsia="Arial" w:hAnsi="Arial"/>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Arial" w:cs="Arial" w:eastAsia="Arial" w:hAnsi="Arial"/>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jc w:val="center"/>
              <w:ind w:left="319"/>
              <w:spacing w:after="0"/>
              <w:rPr>
                <w:sz w:val="20"/>
                <w:szCs w:val="20"/>
                <w:color w:val="auto"/>
              </w:rPr>
            </w:pPr>
            <w:r>
              <w:rPr>
                <w:rFonts w:ascii="Arial" w:cs="Arial" w:eastAsia="Arial" w:hAnsi="Arial"/>
                <w:sz w:val="16"/>
                <w:szCs w:val="16"/>
                <w:color w:val="auto"/>
                <w:w w:val="95"/>
              </w:rPr>
              <w:t>(Zip Code)</w:t>
            </w:r>
          </w:p>
        </w:tc>
      </w:tr>
      <w:tr>
        <w:trPr>
          <w:trHeight w:val="351"/>
        </w:trPr>
        <w:tc>
          <w:tcPr>
            <w:tcW w:w="4700" w:type="dxa"/>
            <w:vAlign w:val="bottom"/>
          </w:tcPr>
          <w:p>
            <w:pPr>
              <w:jc w:val="right"/>
              <w:ind w:right="339"/>
              <w:spacing w:after="0"/>
              <w:rPr>
                <w:sz w:val="20"/>
                <w:szCs w:val="20"/>
                <w:color w:val="auto"/>
              </w:rPr>
            </w:pPr>
            <w:r>
              <w:rPr>
                <w:rFonts w:ascii="Arial" w:cs="Arial" w:eastAsia="Arial" w:hAnsi="Arial"/>
                <w:sz w:val="16"/>
                <w:szCs w:val="16"/>
                <w:b w:val="1"/>
                <w:bCs w:val="1"/>
                <w:color w:val="auto"/>
              </w:rPr>
              <w:t>(818) 240-6055</w:t>
            </w:r>
          </w:p>
        </w:tc>
        <w:tc>
          <w:tcPr>
            <w:tcW w:w="2760" w:type="dxa"/>
            <w:vAlign w:val="bottom"/>
          </w:tcPr>
          <w:p>
            <w:pPr>
              <w:spacing w:after="0"/>
              <w:rPr>
                <w:sz w:val="24"/>
                <w:szCs w:val="24"/>
                <w:color w:val="auto"/>
              </w:rPr>
            </w:pPr>
          </w:p>
        </w:tc>
      </w:tr>
    </w:tbl>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7"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rPr>
              <w:t>DIN</w:t>
            </w:r>
          </w:p>
        </w:tc>
        <w:tc>
          <w:tcPr>
            <w:tcW w:w="420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262" w:lineRule="exact"/>
        <w:rPr>
          <w:sz w:val="24"/>
          <w:szCs w:val="24"/>
          <w:color w:val="auto"/>
        </w:rPr>
      </w:pPr>
    </w:p>
    <w:p>
      <w:pPr>
        <w:ind w:right="28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right="300" w:firstLine="4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20" w:firstLine="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124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5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5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5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right="14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00" w:right="2540" w:hanging="89"/>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As of July 25, 2023, the Registrant had 15,551,276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gridSpan w:val="4"/>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640" w:type="dxa"/>
            <w:vAlign w:val="bottom"/>
            <w:vMerge w:val="restart"/>
          </w:tcPr>
          <w:p>
            <w:pPr>
              <w:spacing w:after="0"/>
              <w:rPr>
                <w:sz w:val="20"/>
                <w:szCs w:val="20"/>
                <w:color w:val="auto"/>
              </w:rPr>
            </w:pPr>
            <w:r>
              <w:rPr>
                <w:rFonts w:ascii="Arial" w:cs="Arial" w:eastAsia="Arial" w:hAnsi="Arial"/>
                <w:sz w:val="16"/>
                <w:szCs w:val="16"/>
                <w:b w:val="1"/>
                <w:bCs w:val="1"/>
                <w:color w:val="0000FF"/>
              </w:rPr>
              <w:t>PART I.</w:t>
            </w:r>
          </w:p>
        </w:tc>
        <w:tc>
          <w:tcPr>
            <w:tcW w:w="380" w:type="dxa"/>
            <w:vAlign w:val="bottom"/>
            <w:vMerge w:val="restart"/>
          </w:tcPr>
          <w:p>
            <w:pPr>
              <w:spacing w:after="0"/>
              <w:rPr>
                <w:sz w:val="2"/>
                <w:szCs w:val="2"/>
                <w:color w:val="auto"/>
              </w:rPr>
            </w:pPr>
          </w:p>
        </w:tc>
        <w:tc>
          <w:tcPr>
            <w:tcW w:w="2040" w:type="dxa"/>
            <w:vAlign w:val="bottom"/>
            <w:gridSpan w:val="9"/>
            <w:vMerge w:val="restart"/>
          </w:tcPr>
          <w:p>
            <w:pPr>
              <w:spacing w:after="0"/>
              <w:rPr>
                <w:sz w:val="20"/>
                <w:szCs w:val="20"/>
                <w:color w:val="auto"/>
              </w:rPr>
            </w:pPr>
            <w:r>
              <w:rPr>
                <w:rFonts w:ascii="Arial" w:cs="Arial" w:eastAsia="Arial" w:hAnsi="Arial"/>
                <w:sz w:val="16"/>
                <w:szCs w:val="16"/>
                <w:color w:val="0000FF"/>
              </w:rPr>
              <w:t>FINANCIAL INFORMATION</w:t>
            </w:r>
          </w:p>
        </w:tc>
        <w:tc>
          <w:tcPr>
            <w:tcW w:w="7600" w:type="dxa"/>
            <w:vAlign w:val="bottom"/>
            <w:gridSpan w:val="11"/>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0" w:type="dxa"/>
            <w:vAlign w:val="bottom"/>
            <w:tcBorders>
              <w:bottom w:val="single" w:sz="8" w:color="0000FF"/>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40" w:type="dxa"/>
            <w:vAlign w:val="bottom"/>
            <w:tcBorders>
              <w:bottom w:val="single" w:sz="8" w:color="0000FF"/>
            </w:tcBorders>
            <w:gridSpan w:val="9"/>
            <w:vMerge w:val="continue"/>
          </w:tcPr>
          <w:p>
            <w:pPr>
              <w:spacing w:after="0"/>
              <w:rPr>
                <w:sz w:val="14"/>
                <w:szCs w:val="14"/>
                <w:color w:val="auto"/>
              </w:rPr>
            </w:pPr>
          </w:p>
        </w:tc>
        <w:tc>
          <w:tcPr>
            <w:tcW w:w="7600" w:type="dxa"/>
            <w:vAlign w:val="bottom"/>
            <w:gridSpan w:val="11"/>
            <w:vMerge w:val="continue"/>
          </w:tcPr>
          <w:p>
            <w:pPr>
              <w:spacing w:after="0"/>
              <w:rPr>
                <w:sz w:val="14"/>
                <w:szCs w:val="14"/>
                <w:color w:val="auto"/>
              </w:rPr>
            </w:pPr>
          </w:p>
        </w:tc>
        <w:tc>
          <w:tcPr>
            <w:tcW w:w="46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line="169" w:lineRule="exact"/>
              <w:rPr>
                <w:sz w:val="20"/>
                <w:szCs w:val="20"/>
                <w:color w:val="auto"/>
              </w:rPr>
            </w:pPr>
            <w:r>
              <w:rPr>
                <w:rFonts w:ascii="Arial" w:cs="Arial" w:eastAsia="Arial" w:hAnsi="Arial"/>
                <w:sz w:val="15"/>
                <w:szCs w:val="15"/>
                <w:color w:val="0000FF"/>
                <w:w w:val="71"/>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rPr>
                <w:sz w:val="20"/>
                <w:szCs w:val="20"/>
                <w:color w:val="auto"/>
              </w:rPr>
            </w:pPr>
            <w:r>
              <w:rPr>
                <w:rFonts w:ascii="Arial" w:cs="Arial" w:eastAsia="Arial" w:hAnsi="Arial"/>
                <w:sz w:val="16"/>
                <w:szCs w:val="16"/>
                <w:color w:val="0000FF"/>
              </w:rPr>
              <w:t>Item 1—Financial Statements</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rPr>
                <w:sz w:val="20"/>
                <w:szCs w:val="20"/>
                <w:color w:val="auto"/>
              </w:rPr>
            </w:pPr>
            <w:r>
              <w:rPr>
                <w:rFonts w:ascii="Arial" w:cs="Arial" w:eastAsia="Arial" w:hAnsi="Arial"/>
                <w:sz w:val="16"/>
                <w:szCs w:val="16"/>
                <w:color w:val="0000FF"/>
              </w:rPr>
              <w:t>Consolidated Balance Sheets - June 30, 2023 (unaudited) and December 31, 2022</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0"/>
              </w:rPr>
              <w:t>Consolidated Statements of Comprehensive Income (unaudited) - Three and Six Months Ended June 30, 2023 and 2022</w:t>
            </w:r>
          </w:p>
        </w:tc>
        <w:tc>
          <w:tcPr>
            <w:tcW w:w="17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1"/>
              </w:rPr>
              <w:t>Consolidated Statements of Stockholders' Deficit (unaudited) - Three and Six Months Ended June 30, 2023 and 2022</w:t>
            </w:r>
          </w:p>
        </w:tc>
        <w:tc>
          <w:tcPr>
            <w:tcW w:w="188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rPr>
                <w:sz w:val="20"/>
                <w:szCs w:val="20"/>
                <w:color w:val="auto"/>
              </w:rPr>
            </w:pPr>
            <w:r>
              <w:rPr>
                <w:rFonts w:ascii="Arial" w:cs="Arial" w:eastAsia="Arial" w:hAnsi="Arial"/>
                <w:sz w:val="16"/>
                <w:szCs w:val="16"/>
                <w:color w:val="0000FF"/>
              </w:rPr>
              <w:t>Consolidated Statements of Cash Flows (unaudited) - Six Months Ended June 30, 2023 and 2022</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1"/>
              </w:rPr>
              <w:t>Notes to Consolidated Financial Statements (unaudited)</w:t>
            </w:r>
          </w:p>
        </w:tc>
        <w:tc>
          <w:tcPr>
            <w:tcW w:w="2660" w:type="dxa"/>
            <w:vAlign w:val="bottom"/>
            <w:tcBorders>
              <w:top w:val="single" w:sz="8" w:color="0000FF"/>
            </w:tcBorders>
            <w:gridSpan w:val="5"/>
          </w:tcPr>
          <w:p>
            <w:pPr>
              <w:spacing w:after="0"/>
              <w:rPr>
                <w:sz w:val="17"/>
                <w:szCs w:val="17"/>
                <w:color w:val="auto"/>
              </w:rPr>
            </w:pPr>
          </w:p>
        </w:tc>
        <w:tc>
          <w:tcPr>
            <w:tcW w:w="3180" w:type="dxa"/>
            <w:vAlign w:val="bottom"/>
            <w:gridSpan w:val="3"/>
          </w:tcPr>
          <w:p>
            <w:pPr>
              <w:spacing w:after="0"/>
              <w:rPr>
                <w:sz w:val="17"/>
                <w:szCs w:val="17"/>
                <w:color w:val="auto"/>
              </w:rPr>
            </w:pPr>
          </w:p>
        </w:tc>
        <w:tc>
          <w:tcPr>
            <w:tcW w:w="46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71"/>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2"/>
              </w:rPr>
              <w:t>Item 2—Management’s Discussion and Analysis of Financial Condition and Results of Operations</w:t>
            </w:r>
          </w:p>
        </w:tc>
        <w:tc>
          <w:tcPr>
            <w:tcW w:w="324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rPr>
                <w:sz w:val="20"/>
                <w:szCs w:val="20"/>
                <w:color w:val="auto"/>
              </w:rPr>
            </w:pPr>
            <w:r>
              <w:rPr>
                <w:rFonts w:ascii="Arial" w:cs="Arial" w:eastAsia="Arial" w:hAnsi="Arial"/>
                <w:sz w:val="16"/>
                <w:szCs w:val="16"/>
                <w:color w:val="0000FF"/>
              </w:rPr>
              <w:t>Item 3—Quantitative and Qualitative Disclosures about Market Risk</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Item 4—Controls and Procedures</w:t>
            </w:r>
          </w:p>
        </w:tc>
        <w:tc>
          <w:tcPr>
            <w:tcW w:w="518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20"/>
                <w:szCs w:val="20"/>
                <w:color w:val="auto"/>
              </w:rPr>
            </w:pPr>
            <w:r>
              <w:rPr>
                <w:rFonts w:ascii="Arial" w:cs="Arial" w:eastAsia="Arial" w:hAnsi="Arial"/>
                <w:sz w:val="16"/>
                <w:szCs w:val="16"/>
                <w:b w:val="1"/>
                <w:bCs w:val="1"/>
                <w:color w:val="0000FF"/>
                <w:w w:val="97"/>
              </w:rPr>
              <w:t>PART II.</w:t>
            </w:r>
          </w:p>
        </w:tc>
        <w:tc>
          <w:tcPr>
            <w:tcW w:w="380" w:type="dxa"/>
            <w:vAlign w:val="bottom"/>
          </w:tcPr>
          <w:p>
            <w:pPr>
              <w:spacing w:after="0"/>
              <w:rPr>
                <w:sz w:val="17"/>
                <w:szCs w:val="17"/>
                <w:color w:val="auto"/>
              </w:rPr>
            </w:pPr>
          </w:p>
        </w:tc>
        <w:tc>
          <w:tcPr>
            <w:tcW w:w="218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0000FF"/>
              </w:rPr>
              <w:t>OTHER INFORMATION</w:t>
            </w:r>
          </w:p>
        </w:tc>
        <w:tc>
          <w:tcPr>
            <w:tcW w:w="746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2"/>
              </w:rPr>
              <w:t>Item 1—Legal Proceedings</w:t>
            </w:r>
          </w:p>
        </w:tc>
        <w:tc>
          <w:tcPr>
            <w:tcW w:w="784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3"/>
              </w:rPr>
              <w:t>Item 1A—Risk Factors</w:t>
            </w:r>
          </w:p>
        </w:tc>
        <w:tc>
          <w:tcPr>
            <w:tcW w:w="8120" w:type="dxa"/>
            <w:vAlign w:val="bottom"/>
            <w:gridSpan w:val="16"/>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rPr>
                <w:sz w:val="20"/>
                <w:szCs w:val="20"/>
                <w:color w:val="auto"/>
              </w:rPr>
            </w:pPr>
            <w:r>
              <w:rPr>
                <w:rFonts w:ascii="Arial" w:cs="Arial" w:eastAsia="Arial" w:hAnsi="Arial"/>
                <w:sz w:val="16"/>
                <w:szCs w:val="16"/>
                <w:color w:val="0000FF"/>
              </w:rPr>
              <w:t>Item 2—Unregistered Sales of Equity Securities and Use of Proceeds</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2"/>
              </w:rPr>
              <w:t>Item 3—Defaults Upon Senior Securities</w:t>
            </w:r>
          </w:p>
        </w:tc>
        <w:tc>
          <w:tcPr>
            <w:tcW w:w="1820" w:type="dxa"/>
            <w:vAlign w:val="bottom"/>
            <w:tcBorders>
              <w:top w:val="single" w:sz="8" w:color="0000FF"/>
            </w:tcBorders>
            <w:gridSpan w:val="3"/>
          </w:tcPr>
          <w:p>
            <w:pPr>
              <w:spacing w:after="0"/>
              <w:rPr>
                <w:sz w:val="17"/>
                <w:szCs w:val="17"/>
                <w:color w:val="auto"/>
              </w:rPr>
            </w:pPr>
          </w:p>
        </w:tc>
        <w:tc>
          <w:tcPr>
            <w:tcW w:w="514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rPr>
                <w:sz w:val="20"/>
                <w:szCs w:val="20"/>
                <w:color w:val="auto"/>
              </w:rPr>
            </w:pPr>
            <w:r>
              <w:rPr>
                <w:rFonts w:ascii="Arial" w:cs="Arial" w:eastAsia="Arial" w:hAnsi="Arial"/>
                <w:sz w:val="16"/>
                <w:szCs w:val="16"/>
                <w:color w:val="0000FF"/>
              </w:rPr>
              <w:t>Item 4—Mine Safety Disclosures</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5"/>
              </w:rPr>
              <w:t>Item 5—Other Information</w:t>
            </w:r>
          </w:p>
        </w:tc>
        <w:tc>
          <w:tcPr>
            <w:tcW w:w="400" w:type="dxa"/>
            <w:vAlign w:val="bottom"/>
            <w:tcBorders>
              <w:top w:val="single" w:sz="8" w:color="0000FF"/>
            </w:tcBorders>
            <w:gridSpan w:val="4"/>
          </w:tcPr>
          <w:p>
            <w:pPr>
              <w:spacing w:after="0"/>
              <w:rPr>
                <w:sz w:val="17"/>
                <w:szCs w:val="17"/>
                <w:color w:val="auto"/>
              </w:rPr>
            </w:pPr>
          </w:p>
        </w:tc>
        <w:tc>
          <w:tcPr>
            <w:tcW w:w="746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rPr>
                <w:sz w:val="20"/>
                <w:szCs w:val="20"/>
                <w:color w:val="auto"/>
              </w:rPr>
            </w:pPr>
            <w:r>
              <w:rPr>
                <w:rFonts w:ascii="Arial" w:cs="Arial" w:eastAsia="Arial" w:hAnsi="Arial"/>
                <w:sz w:val="16"/>
                <w:szCs w:val="16"/>
                <w:color w:val="0000FF"/>
              </w:rPr>
              <w:t>Item 6—Exhibits</w:t>
            </w:r>
          </w:p>
        </w:tc>
        <w:tc>
          <w:tcPr>
            <w:tcW w:w="540" w:type="dxa"/>
            <w:vAlign w:val="bottom"/>
            <w:gridSpan w:val="3"/>
          </w:tcPr>
          <w:p>
            <w:pPr>
              <w:jc w:val="right"/>
              <w:spacing w:after="0"/>
              <w:rPr>
                <w:sz w:val="20"/>
                <w:szCs w:val="20"/>
                <w:color w:val="auto"/>
              </w:rPr>
            </w:pPr>
            <w:r>
              <w:rPr>
                <w:rFonts w:ascii="Arial" w:cs="Arial" w:eastAsia="Arial" w:hAnsi="Arial"/>
                <w:sz w:val="16"/>
                <w:szCs w:val="16"/>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88"/>
              </w:rPr>
              <w:t>Signatures</w:t>
            </w:r>
          </w:p>
        </w:tc>
        <w:tc>
          <w:tcPr>
            <w:tcW w:w="420" w:type="dxa"/>
            <w:vAlign w:val="bottom"/>
            <w:tcBorders>
              <w:top w:val="single" w:sz="8" w:color="0000FF"/>
            </w:tcBorders>
          </w:tcPr>
          <w:p>
            <w:pPr>
              <w:spacing w:after="0"/>
              <w:rPr>
                <w:sz w:val="17"/>
                <w:szCs w:val="17"/>
                <w:color w:val="auto"/>
              </w:rPr>
            </w:pPr>
          </w:p>
        </w:tc>
        <w:tc>
          <w:tcPr>
            <w:tcW w:w="852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pandemics, epidemics, or other serious incidents; our success with development initiatives outside of our core business; the adequacy of our internal controls over financial reporting and future changes in accounting standards; and other factors discussed from time to time in the "Risk Factors" section of the Corporation's Annual Report on Form 10-K for the fiscal year ended December 31, 2022 and in the Corporation's other filings with the Securities and Exchange Commission, many of which are beyond our control.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2023 began on January 2, 2023 and ended on April 2, 2023; the second fiscal quarter of 2023 ended on July 2, 2023. The first fiscal quarter of 2022 began on January 3, 2022 and ended on April 3, 2022; the second quarter of 2022 ended on July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jc w:val="center"/>
        <w:ind w:right="-19"/>
        <w:spacing w:after="0" w:line="211" w:lineRule="auto"/>
        <w:rPr>
          <w:sz w:val="20"/>
          <w:szCs w:val="20"/>
          <w:color w:val="auto"/>
        </w:rPr>
      </w:pPr>
      <w:r>
        <w:rPr>
          <w:rFonts w:ascii="Arial" w:cs="Arial" w:eastAsia="Arial" w:hAnsi="Arial"/>
          <w:sz w:val="16"/>
          <w:szCs w:val="16"/>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09"/>
        </w:trPr>
        <w:tc>
          <w:tcPr>
            <w:tcW w:w="772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color w:val="auto"/>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269,655</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Receivables, net of allowance of $6,803 (2023) and $4,806 (2022)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119,981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38,929</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Prepaid gift card costs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30,235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income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479,764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16,400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145,277</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283,892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289,123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42,329</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Long-term receivables, net of allowance of $5,443 (2023) and $5,529 (2022)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39,697</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253,956</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591,437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597,028</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17,917</w:t>
            </w: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1,666,553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1,881,491</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52,067</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liability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171,966</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Current maturities of operating lease obligations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59,071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finance lease and financing obligations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Accrued employee compensation and benefits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23,456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advertising expenses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24,157</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8,017</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24,446</w:t>
            </w:r>
          </w:p>
        </w:tc>
        <w:tc>
          <w:tcPr>
            <w:tcW w:w="0" w:type="dxa"/>
            <w:vAlign w:val="bottom"/>
          </w:tcPr>
          <w:p>
            <w:pPr>
              <w:spacing w:after="0"/>
              <w:rPr>
                <w:sz w:val="1"/>
                <w:szCs w:val="1"/>
                <w:color w:val="auto"/>
              </w:rPr>
            </w:pPr>
          </w:p>
        </w:tc>
      </w:tr>
      <w:tr>
        <w:trPr>
          <w:trHeight w:val="206"/>
        </w:trPr>
        <w:tc>
          <w:tcPr>
            <w:tcW w:w="77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470,722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less current maturities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1,241,914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275,120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30,377</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27,690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28,358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74,651</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Deferred franchise revenue, long-term</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42,343</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1,947,554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2,182,575</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$1 par value, 10,000,000 shares authorized; no shares issued and outstanding</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720" w:type="dxa"/>
            <w:vAlign w:val="bottom"/>
          </w:tcPr>
          <w:p>
            <w:pPr>
              <w:ind w:left="20"/>
              <w:spacing w:after="0" w:line="166" w:lineRule="exact"/>
              <w:rPr>
                <w:sz w:val="20"/>
                <w:szCs w:val="20"/>
                <w:color w:val="auto"/>
              </w:rPr>
            </w:pPr>
            <w:r>
              <w:rPr>
                <w:rFonts w:ascii="Arial" w:cs="Arial" w:eastAsia="Arial" w:hAnsi="Arial"/>
                <w:sz w:val="16"/>
                <w:szCs w:val="16"/>
                <w:color w:val="auto"/>
                <w:w w:val="96"/>
              </w:rPr>
              <w:t>Common stock, $0.01 par value; shares: 40,000,000 authorized; June 30, 2023 - 24,890,199 issued, 15,587,934</w:t>
            </w:r>
          </w:p>
        </w:tc>
        <w:tc>
          <w:tcPr>
            <w:tcW w:w="2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color w:val="auto"/>
              </w:rPr>
              <w:t>outstanding; December 31, 2022 - 24,959,972 issued, 15,599,239 outstanding</w:t>
            </w: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paid-in-capital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259,339</w:t>
            </w:r>
          </w:p>
        </w:tc>
        <w:tc>
          <w:tcPr>
            <w:tcW w:w="0" w:type="dxa"/>
            <w:vAlign w:val="bottom"/>
          </w:tcPr>
          <w:p>
            <w:pPr>
              <w:spacing w:after="0"/>
              <w:rPr>
                <w:sz w:val="1"/>
                <w:szCs w:val="1"/>
                <w:color w:val="auto"/>
              </w:rPr>
            </w:pPr>
          </w:p>
        </w:tc>
      </w:tr>
      <w:tr>
        <w:trPr>
          <w:trHeight w:val="213"/>
        </w:trPr>
        <w:tc>
          <w:tcPr>
            <w:tcW w:w="772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84,538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stock, at cost; shares: June 30, 2023 - 9,302,265; December 31, 2022 - 9,360,733</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(646,219)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(645,146)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(301,084)</w:t>
            </w:r>
          </w:p>
        </w:tc>
        <w:tc>
          <w:tcPr>
            <w:tcW w:w="0" w:type="dxa"/>
            <w:vAlign w:val="bottom"/>
          </w:tcPr>
          <w:p>
            <w:pPr>
              <w:spacing w:after="0"/>
              <w:rPr>
                <w:sz w:val="1"/>
                <w:szCs w:val="1"/>
                <w:color w:val="auto"/>
              </w:rPr>
            </w:pP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1,666,553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1,881,491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auto"/>
              </w:rPr>
              <w:t>Royalties, franchise fees and other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101,938</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94,148</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204,863</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184,497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Advertising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144,994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Total franchise revenues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177,917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168,259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357,879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329,491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 restaurant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Rental revenues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61,391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208,415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422,182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Franchise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Advertising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auto"/>
              </w:rPr>
              <w:t>Bad debt expense (credit)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franchise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Total franchise expenses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88,280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175,646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160,301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 restaurant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Rental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from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rental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rental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cost of revenues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111,073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97,342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95,695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200,958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188,448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Closure and impairment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(gain) on disposition of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Other comprehensive income net of tax:</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18,247</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23,959</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45,658</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available to common stockholders: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18,248</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23,962</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45,658</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Net income allocated to unvested participating restricted stock</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Net income available to common stockholders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17,802</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23,289</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44,533</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9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Net income available to common stockholders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16,418</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thousands except shares)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jc w:val="center"/>
              <w:ind w:left="459"/>
              <w:spacing w:after="0"/>
              <w:rPr>
                <w:sz w:val="20"/>
                <w:szCs w:val="20"/>
                <w:color w:val="auto"/>
              </w:rPr>
            </w:pPr>
            <w:r>
              <w:rPr>
                <w:rFonts w:ascii="Arial" w:cs="Arial" w:eastAsia="Arial" w:hAnsi="Arial"/>
                <w:sz w:val="16"/>
                <w:szCs w:val="16"/>
                <w:b w:val="1"/>
                <w:bCs w:val="1"/>
                <w:color w:val="auto"/>
                <w:w w:val="92"/>
              </w:rPr>
              <w:t>Three Months Ended June 30, 2023</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8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6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3"/>
              </w:rPr>
              <w:t>Other</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7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15,674,739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248,187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103,931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9,240,633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(640,986)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(288,683)</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18,248</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(137,632)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137,632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(9,017)</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tcPr>
          <w:p>
            <w:pPr>
              <w:jc w:val="right"/>
              <w:spacing w:after="0"/>
              <w:rPr>
                <w:sz w:val="20"/>
                <w:szCs w:val="20"/>
                <w:color w:val="auto"/>
              </w:rPr>
            </w:pPr>
            <w:r>
              <w:rPr>
                <w:rFonts w:ascii="Arial" w:cs="Arial" w:eastAsia="Arial" w:hAnsi="Arial"/>
                <w:sz w:val="16"/>
                <w:szCs w:val="16"/>
                <w:color w:val="auto"/>
              </w:rPr>
              <w:t>(18,445)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3,591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212"/>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15,587,934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250,808</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114,226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9,302,265</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 (646,219)</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 (281,001)</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3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459"/>
              <w:spacing w:after="0"/>
              <w:rPr>
                <w:sz w:val="20"/>
                <w:szCs w:val="20"/>
                <w:color w:val="auto"/>
              </w:rPr>
            </w:pPr>
            <w:r>
              <w:rPr>
                <w:rFonts w:ascii="Arial" w:cs="Arial" w:eastAsia="Arial" w:hAnsi="Arial"/>
                <w:sz w:val="16"/>
                <w:szCs w:val="16"/>
                <w:b w:val="1"/>
                <w:bCs w:val="1"/>
                <w:color w:val="auto"/>
                <w:w w:val="91"/>
              </w:rPr>
              <w:t>Six Months Ended June 30, 2023</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1"/>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80"/>
              <w:spacing w:after="0" w:line="155" w:lineRule="exact"/>
              <w:rPr>
                <w:sz w:val="20"/>
                <w:szCs w:val="20"/>
                <w:color w:val="auto"/>
              </w:rPr>
            </w:pPr>
            <w:r>
              <w:rPr>
                <w:rFonts w:ascii="Arial" w:cs="Arial" w:eastAsia="Arial" w:hAnsi="Arial"/>
                <w:sz w:val="16"/>
                <w:szCs w:val="16"/>
                <w:b w:val="1"/>
                <w:bCs w:val="1"/>
                <w:color w:val="auto"/>
                <w:w w:val="93"/>
              </w:rPr>
              <w:t>Other</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7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Earnings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15,599,239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259,339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9,360,733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(645,146)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(301,084)</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45,658</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(212,492)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212,492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(14,017)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(14,017)</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tcPr>
          <w:p>
            <w:pPr>
              <w:jc w:val="right"/>
              <w:spacing w:after="0"/>
              <w:rPr>
                <w:sz w:val="20"/>
                <w:szCs w:val="20"/>
                <w:color w:val="auto"/>
              </w:rPr>
            </w:pPr>
            <w:r>
              <w:rPr>
                <w:rFonts w:ascii="Arial" w:cs="Arial" w:eastAsia="Arial" w:hAnsi="Arial"/>
                <w:sz w:val="16"/>
                <w:szCs w:val="16"/>
                <w:color w:val="auto"/>
              </w:rPr>
              <w:t>(16,415)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5,309</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(15,879)</w:t>
            </w:r>
          </w:p>
        </w:tc>
        <w:tc>
          <w:tcPr>
            <w:tcW w:w="0" w:type="dxa"/>
            <w:vAlign w:val="bottom"/>
          </w:tcPr>
          <w:p>
            <w:pPr>
              <w:spacing w:after="0"/>
              <w:rPr>
                <w:sz w:val="1"/>
                <w:szCs w:val="1"/>
                <w:color w:val="auto"/>
              </w:rPr>
            </w:pPr>
          </w:p>
        </w:tc>
      </w:tr>
      <w:tr>
        <w:trPr>
          <w:trHeight w:val="166"/>
        </w:trPr>
        <w:tc>
          <w:tcPr>
            <w:tcW w:w="3300" w:type="dxa"/>
            <w:vAlign w:val="bottom"/>
          </w:tcPr>
          <w:p>
            <w:pPr>
              <w:ind w:left="20"/>
              <w:spacing w:after="0" w:line="166" w:lineRule="exact"/>
              <w:rPr>
                <w:sz w:val="20"/>
                <w:szCs w:val="20"/>
                <w:color w:val="auto"/>
              </w:rPr>
            </w:pPr>
            <w:r>
              <w:rPr>
                <w:rFonts w:ascii="Arial" w:cs="Arial" w:eastAsia="Arial" w:hAnsi="Arial"/>
                <w:sz w:val="16"/>
                <w:szCs w:val="16"/>
                <w:color w:val="auto"/>
                <w:w w:val="97"/>
              </w:rPr>
              <w:t>Tax payments for share settlement of restricted</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199"/>
        </w:trPr>
        <w:tc>
          <w:tcPr>
            <w:tcW w:w="330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15,587,934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250,808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114,226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9,302,265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(646,219)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(281,001)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Statements of Stockholders' Deficit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thousands except shares)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10"/>
          </w:tcPr>
          <w:p>
            <w:pPr>
              <w:jc w:val="center"/>
              <w:ind w:left="479"/>
              <w:spacing w:after="0"/>
              <w:rPr>
                <w:sz w:val="20"/>
                <w:szCs w:val="20"/>
                <w:color w:val="auto"/>
              </w:rPr>
            </w:pPr>
            <w:r>
              <w:rPr>
                <w:rFonts w:ascii="Arial" w:cs="Arial" w:eastAsia="Arial" w:hAnsi="Arial"/>
                <w:sz w:val="16"/>
                <w:szCs w:val="16"/>
                <w:b w:val="1"/>
                <w:bCs w:val="1"/>
                <w:color w:val="auto"/>
                <w:w w:val="92"/>
              </w:rPr>
              <w:t>Three Months Ended June 30, 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8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6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Paid-in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16,746,028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250,150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8,245,135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(568,028)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(265,172)</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23,962</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(912,992)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912,992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(62,608)</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tcPr>
          <w:p>
            <w:pPr>
              <w:jc w:val="right"/>
              <w:spacing w:after="0"/>
              <w:rPr>
                <w:sz w:val="20"/>
                <w:szCs w:val="20"/>
                <w:color w:val="auto"/>
              </w:rPr>
            </w:pPr>
            <w:r>
              <w:rPr>
                <w:rFonts w:ascii="Arial" w:cs="Arial" w:eastAsia="Arial" w:hAnsi="Arial"/>
                <w:sz w:val="16"/>
                <w:szCs w:val="16"/>
                <w:color w:val="auto"/>
              </w:rPr>
              <w:t>(7,533)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3,986</w:t>
            </w: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15,823,390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68,265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9,151,445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(630,321)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(308,656)</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6"/>
                <w:szCs w:val="16"/>
                <w:b w:val="1"/>
                <w:bCs w:val="1"/>
                <w:color w:val="auto"/>
                <w:w w:val="91"/>
              </w:rPr>
              <w:t>Six Months Ended June 30, 2022</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8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6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Paid-in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17,163,946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256,189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7,828,329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(534,602)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(242,807)</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48,812</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(1,501,100)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1,501,100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(104,053)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(104,053)</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(177,984)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tcPr>
          <w:p>
            <w:pPr>
              <w:jc w:val="right"/>
              <w:spacing w:after="0"/>
              <w:rPr>
                <w:sz w:val="20"/>
                <w:szCs w:val="20"/>
                <w:color w:val="auto"/>
              </w:rPr>
            </w:pPr>
            <w:r>
              <w:rPr>
                <w:rFonts w:ascii="Arial" w:cs="Arial" w:eastAsia="Arial" w:hAnsi="Arial"/>
                <w:sz w:val="16"/>
                <w:szCs w:val="16"/>
                <w:color w:val="auto"/>
              </w:rPr>
              <w:t>14,327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8,327</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(15,962)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(15,866)</w:t>
            </w:r>
          </w:p>
        </w:tc>
        <w:tc>
          <w:tcPr>
            <w:tcW w:w="0" w:type="dxa"/>
            <w:vAlign w:val="bottom"/>
          </w:tcPr>
          <w:p>
            <w:pPr>
              <w:spacing w:after="0"/>
              <w:rPr>
                <w:sz w:val="1"/>
                <w:szCs w:val="1"/>
                <w:color w:val="auto"/>
              </w:rPr>
            </w:pPr>
          </w:p>
        </w:tc>
      </w:tr>
      <w:tr>
        <w:trPr>
          <w:trHeight w:val="166"/>
        </w:trPr>
        <w:tc>
          <w:tcPr>
            <w:tcW w:w="3300" w:type="dxa"/>
            <w:vAlign w:val="bottom"/>
          </w:tcPr>
          <w:p>
            <w:pPr>
              <w:ind w:left="20"/>
              <w:spacing w:after="0" w:line="166" w:lineRule="exact"/>
              <w:rPr>
                <w:sz w:val="20"/>
                <w:szCs w:val="20"/>
                <w:color w:val="auto"/>
              </w:rPr>
            </w:pPr>
            <w:r>
              <w:rPr>
                <w:rFonts w:ascii="Arial" w:cs="Arial" w:eastAsia="Arial" w:hAnsi="Arial"/>
                <w:sz w:val="16"/>
                <w:szCs w:val="16"/>
                <w:color w:val="auto"/>
                <w:w w:val="97"/>
              </w:rPr>
              <w:t>Tax payments for share settlement of restricted</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(953)</w:t>
            </w:r>
          </w:p>
        </w:tc>
        <w:tc>
          <w:tcPr>
            <w:tcW w:w="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units</w:t>
            </w: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15,823,390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253,213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9,151,445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(630,321)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(308,656)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8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07"/>
        </w:trPr>
        <w:tc>
          <w:tcPr>
            <w:tcW w:w="8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12"/>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48,812</w:t>
            </w:r>
          </w:p>
        </w:tc>
      </w:tr>
      <w:tr>
        <w:trPr>
          <w:trHeight w:val="213"/>
        </w:trPr>
        <w:tc>
          <w:tcPr>
            <w:tcW w:w="884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cash flows provided by 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19,969</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Non-cash closure and impairment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Non-cash stock-based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Non-cash 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1,436</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(773)</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Loss (gain) on disposition of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(1,530)</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13"/>
        </w:trPr>
        <w:tc>
          <w:tcPr>
            <w:tcW w:w="8840" w:type="dxa"/>
            <w:vAlign w:val="bottom"/>
          </w:tcPr>
          <w:p>
            <w:pPr>
              <w:ind w:left="680"/>
              <w:spacing w:after="0"/>
              <w:rPr>
                <w:sz w:val="20"/>
                <w:szCs w:val="20"/>
                <w:color w:val="auto"/>
              </w:rPr>
            </w:pPr>
            <w:r>
              <w:rPr>
                <w:rFonts w:ascii="Arial" w:cs="Arial" w:eastAsia="Arial" w:hAnsi="Arial"/>
                <w:sz w:val="16"/>
                <w:szCs w:val="16"/>
                <w:color w:val="auto"/>
              </w:rPr>
              <w:t>Deferred rent receivable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3,964</w:t>
            </w:r>
          </w:p>
        </w:tc>
      </w:tr>
      <w:tr>
        <w:trPr>
          <w:trHeight w:val="219"/>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Current income tax receivables and payables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r>
      <w:tr>
        <w:trPr>
          <w:trHeight w:val="213"/>
        </w:trPr>
        <w:tc>
          <w:tcPr>
            <w:tcW w:w="8840" w:type="dxa"/>
            <w:vAlign w:val="bottom"/>
          </w:tcPr>
          <w:p>
            <w:pPr>
              <w:ind w:left="680"/>
              <w:spacing w:after="0"/>
              <w:rPr>
                <w:sz w:val="20"/>
                <w:szCs w:val="20"/>
                <w:color w:val="auto"/>
              </w:rPr>
            </w:pPr>
            <w:r>
              <w:rPr>
                <w:rFonts w:ascii="Arial" w:cs="Arial" w:eastAsia="Arial" w:hAnsi="Arial"/>
                <w:sz w:val="16"/>
                <w:szCs w:val="16"/>
                <w:color w:val="auto"/>
              </w:rPr>
              <w:t>Gift card receivables and payables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(8,397)</w:t>
            </w:r>
          </w:p>
        </w:tc>
      </w:tr>
      <w:tr>
        <w:trPr>
          <w:trHeight w:val="219"/>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w:t>
            </w:r>
          </w:p>
        </w:tc>
      </w:tr>
      <w:tr>
        <w:trPr>
          <w:trHeight w:val="213"/>
        </w:trPr>
        <w:tc>
          <w:tcPr>
            <w:tcW w:w="884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(9,656)</w:t>
            </w:r>
          </w:p>
        </w:tc>
      </w:tr>
      <w:tr>
        <w:trPr>
          <w:trHeight w:val="219"/>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assets and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(5,724)</w:t>
            </w:r>
          </w:p>
        </w:tc>
      </w:tr>
      <w:tr>
        <w:trPr>
          <w:trHeight w:val="213"/>
        </w:trPr>
        <w:tc>
          <w:tcPr>
            <w:tcW w:w="8840" w:type="dxa"/>
            <w:vAlign w:val="bottom"/>
          </w:tcPr>
          <w:p>
            <w:pPr>
              <w:ind w:left="680"/>
              <w:spacing w:after="0"/>
              <w:rPr>
                <w:sz w:val="20"/>
                <w:szCs w:val="20"/>
                <w:color w:val="auto"/>
              </w:rPr>
            </w:pPr>
            <w:r>
              <w:rPr>
                <w:rFonts w:ascii="Arial" w:cs="Arial" w:eastAsia="Arial" w:hAnsi="Arial"/>
                <w:sz w:val="16"/>
                <w:szCs w:val="16"/>
                <w:color w:val="auto"/>
              </w:rPr>
              <w:t>Accrued employee compensation and benefits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(18,894)</w:t>
            </w:r>
          </w:p>
        </w:tc>
      </w:tr>
      <w:tr>
        <w:trPr>
          <w:trHeight w:val="219"/>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advertising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88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Cash flows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29,879</w:t>
            </w:r>
          </w:p>
        </w:tc>
      </w:tr>
      <w:tr>
        <w:trPr>
          <w:trHeight w:val="20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Principal receipts from notes, equipment contracts and other long-term receivables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Net additions to property and equipment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(12,749)</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Additions to long-term receivables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6"/>
        </w:trPr>
        <w:tc>
          <w:tcPr>
            <w:tcW w:w="88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Repayment of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Borrowing from revolving credit facility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Repayment of revolving credit facility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Payment of debt issuance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Dividends paid on common stock</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(102,394)</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(4,696)</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Proceeds from stock options exercised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Repurchase of restricted stock for tax payments upon vesting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13"/>
        </w:trPr>
        <w:tc>
          <w:tcPr>
            <w:tcW w:w="8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Tax payments for share settlement of restricted stock units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r>
      <w:tr>
        <w:trPr>
          <w:trHeight w:val="213"/>
        </w:trPr>
        <w:tc>
          <w:tcPr>
            <w:tcW w:w="88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Cash flows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(124,743)</w:t>
            </w:r>
          </w:p>
        </w:tc>
      </w:tr>
      <w:tr>
        <w:trPr>
          <w:trHeight w:val="207"/>
        </w:trPr>
        <w:tc>
          <w:tcPr>
            <w:tcW w:w="8840" w:type="dxa"/>
            <w:vAlign w:val="bottom"/>
          </w:tcPr>
          <w:p>
            <w:pPr>
              <w:ind w:left="48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(168,166)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(95,641)</w:t>
            </w:r>
          </w:p>
        </w:tc>
      </w:tr>
      <w:tr>
        <w:trPr>
          <w:trHeight w:val="216"/>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425,353</w:t>
            </w: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156,818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329,712</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840" w:type="dxa"/>
            <w:vAlign w:val="bottom"/>
          </w:tcPr>
          <w:p>
            <w:pPr>
              <w:ind w:left="480"/>
              <w:spacing w:after="0"/>
              <w:rPr>
                <w:sz w:val="20"/>
                <w:szCs w:val="20"/>
                <w:color w:val="auto"/>
              </w:rPr>
            </w:pPr>
            <w:r>
              <w:rPr>
                <w:rFonts w:ascii="Arial" w:cs="Arial" w:eastAsia="Arial" w:hAnsi="Arial"/>
                <w:sz w:val="16"/>
                <w:szCs w:val="16"/>
                <w:color w:val="auto"/>
              </w:rPr>
              <w:t>Interest paid in cash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34,818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31,701</w:t>
            </w:r>
          </w:p>
        </w:tc>
      </w:tr>
      <w:tr>
        <w:trPr>
          <w:trHeight w:val="219"/>
        </w:trPr>
        <w:tc>
          <w:tcPr>
            <w:tcW w:w="8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paid in cash</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16,065</w:t>
            </w: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2023 are not necessarily indicative of the results that may be expected for the twelve months ending December 31, 2023.</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balance sheet at December 31, 2022 has been derived from the audited consolidated financial statements at that date but does not include all of information and footnotes required by U.S. GAAP for complete financial statements.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2023 began on January 2, 2023 and ended on April 2, 2023; the second fiscal quarter of 2023 ended on July 2, 2023. The first fiscal quarter of 2022 began on January 3, 2022 and ended on April 3, 2022; the second fiscal quarter of 2022 ended on July 3, 2022.</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00" w:lineRule="exact"/>
        <w:rPr>
          <w:sz w:val="20"/>
          <w:szCs w:val="20"/>
          <w:color w:val="auto"/>
        </w:rPr>
      </w:pPr>
    </w:p>
    <w:p>
      <w:pPr>
        <w:spacing w:after="0" w:line="205" w:lineRule="exact"/>
        <w:rPr>
          <w:sz w:val="20"/>
          <w:szCs w:val="20"/>
          <w:color w:val="auto"/>
        </w:rPr>
      </w:pPr>
    </w:p>
    <w:p>
      <w:pPr>
        <w:ind w:right="4200"/>
        <w:spacing w:after="0" w:line="378" w:lineRule="auto"/>
        <w:rPr>
          <w:sz w:val="20"/>
          <w:szCs w:val="20"/>
          <w:color w:val="auto"/>
        </w:rPr>
      </w:pPr>
      <w:r>
        <w:rPr>
          <w:rFonts w:ascii="Arial" w:cs="Arial" w:eastAsia="Arial" w:hAnsi="Arial"/>
          <w:sz w:val="18"/>
          <w:szCs w:val="18"/>
          <w:b w:val="1"/>
          <w:bCs w:val="1"/>
          <w:color w:val="auto"/>
        </w:rPr>
        <w:t xml:space="preserve">3. Accounting Standards Adopted and Newly Issued Accounting Standards Not Yet Adopted </w:t>
      </w:r>
      <w:r>
        <w:rPr>
          <w:rFonts w:ascii="Arial" w:cs="Arial" w:eastAsia="Arial" w:hAnsi="Arial"/>
          <w:sz w:val="18"/>
          <w:szCs w:val="18"/>
          <w:b w:val="1"/>
          <w:bCs w:val="1"/>
          <w:i w:val="1"/>
          <w:iCs w:val="1"/>
          <w:color w:val="auto"/>
        </w:rPr>
        <w:t>Accounting Standards Adopted in the Current Fiscal Year</w:t>
      </w:r>
    </w:p>
    <w:p>
      <w:pPr>
        <w:jc w:val="both"/>
        <w:spacing w:after="0" w:line="308" w:lineRule="auto"/>
        <w:rPr>
          <w:sz w:val="20"/>
          <w:szCs w:val="20"/>
          <w:color w:val="auto"/>
        </w:rPr>
      </w:pPr>
      <w:r>
        <w:rPr>
          <w:rFonts w:ascii="Arial" w:cs="Arial" w:eastAsia="Arial" w:hAnsi="Arial"/>
          <w:sz w:val="17"/>
          <w:szCs w:val="17"/>
          <w:color w:val="auto"/>
        </w:rPr>
        <w:t>Additional new accounting guidance became effective for the Company as of the beginning of fiscal 2023 that the Company reviewed and concluded was either not applicable to its operations or had no material effect on its consolidated financial statements in the current or future fiscal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Company franchises the Applebee's Neighborhood Grill &amp; Bar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(“Applebee's”) concept in the American full-service restaurant segment within the casual dining category of the restaurant industry, the International House of Pancakes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(“IHOP”) concept in the family dining mid-scale full-service category of the restaurant industry, and the Fuzzy's Taco Shop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76"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jc w:val="both"/>
        <w:ind w:left="1300" w:hanging="320"/>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1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Restaurant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franchise revenue by major type for the three and six months ended June 30, 2023 and 2022:</w:t>
      </w:r>
    </w:p>
    <w:p>
      <w:pPr>
        <w:spacing w:after="0" w:line="149"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w w:val="98"/>
              </w:rPr>
              <w:t>Three Months Ended June 30,</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5"/>
        </w:trPr>
        <w:tc>
          <w:tcPr>
            <w:tcW w:w="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186"/>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6"/>
        </w:trPr>
        <w:tc>
          <w:tcPr>
            <w:tcW w:w="510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Royalties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78,006</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153,248</w:t>
            </w:r>
          </w:p>
        </w:tc>
      </w:tr>
      <w:tr>
        <w:trPr>
          <w:trHeight w:val="237"/>
        </w:trPr>
        <w:tc>
          <w:tcPr>
            <w:tcW w:w="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Advertising fees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144,994</w:t>
            </w:r>
          </w:p>
        </w:tc>
      </w:tr>
      <w:tr>
        <w:trPr>
          <w:trHeight w:val="236"/>
        </w:trPr>
        <w:tc>
          <w:tcPr>
            <w:tcW w:w="40" w:type="dxa"/>
            <w:vAlign w:val="bottom"/>
          </w:tcPr>
          <w:p>
            <w:pPr>
              <w:spacing w:after="0"/>
              <w:rPr>
                <w:sz w:val="20"/>
                <w:szCs w:val="20"/>
                <w:color w:val="auto"/>
              </w:rPr>
            </w:pPr>
          </w:p>
        </w:tc>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Pancake and waffle dry mix sales and other</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27,008</w:t>
            </w:r>
          </w:p>
        </w:tc>
      </w:tr>
      <w:tr>
        <w:trPr>
          <w:trHeight w:val="230"/>
        </w:trPr>
        <w:tc>
          <w:tcPr>
            <w:tcW w:w="4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Franchise and development fees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w:t>
            </w:r>
          </w:p>
        </w:tc>
      </w:tr>
      <w:tr>
        <w:trPr>
          <w:trHeight w:val="256"/>
        </w:trPr>
        <w:tc>
          <w:tcPr>
            <w:tcW w:w="40" w:type="dxa"/>
            <w:vAlign w:val="bottom"/>
          </w:tcPr>
          <w:p>
            <w:pPr>
              <w:spacing w:after="0"/>
              <w:rPr>
                <w:sz w:val="22"/>
                <w:szCs w:val="2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franchise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168,259</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357,879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329,491</w:t>
            </w: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Accounts and other receivables from franchisees as of June 30, 2023 and December 31, 2022 were $71.0 million (net of allowance of $3.4 million) and $69.0 million (net of allowance of $1.3 million), respectively, and were included in receivables, net in the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Company's contract liability for deferred franchise and development fees during the six months ended June 30, 2023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Deferred Franchise Revenue</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(short- and long-term)</w:t>
            </w: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00" w:type="dxa"/>
            <w:vAlign w:val="bottom"/>
            <w:gridSpan w:val="2"/>
          </w:tcPr>
          <w:p>
            <w:pPr>
              <w:ind w:left="20"/>
              <w:spacing w:after="0"/>
              <w:rPr>
                <w:sz w:val="20"/>
                <w:szCs w:val="20"/>
                <w:color w:val="auto"/>
              </w:rPr>
            </w:pPr>
            <w:r>
              <w:rPr>
                <w:rFonts w:ascii="Arial" w:cs="Arial" w:eastAsia="Arial" w:hAnsi="Arial"/>
                <w:sz w:val="18"/>
                <w:szCs w:val="18"/>
                <w:color w:val="auto"/>
              </w:rPr>
              <w:t>Recognized as revenue during the six months ended June 30, 2023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Fees deferred during the six months ended June 30, 2023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900" w:type="dxa"/>
            <w:vAlign w:val="bottom"/>
            <w:gridSpan w:val="2"/>
          </w:tcPr>
          <w:p>
            <w:pPr>
              <w:ind w:left="20"/>
              <w:spacing w:after="0"/>
              <w:rPr>
                <w:sz w:val="20"/>
                <w:szCs w:val="20"/>
                <w:color w:val="auto"/>
              </w:rPr>
            </w:pPr>
            <w:r>
              <w:rPr>
                <w:rFonts w:ascii="Arial" w:cs="Arial" w:eastAsia="Arial" w:hAnsi="Arial"/>
                <w:sz w:val="18"/>
                <w:szCs w:val="18"/>
                <w:color w:val="auto"/>
              </w:rPr>
              <w:t>Balance at June 30, 2023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47,762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spacing w:after="0"/>
              <w:rPr>
                <w:sz w:val="20"/>
                <w:szCs w:val="20"/>
                <w:color w:val="auto"/>
              </w:rPr>
            </w:pPr>
            <w:r>
              <w:rPr>
                <w:rFonts w:ascii="Arial" w:cs="Arial" w:eastAsia="Arial" w:hAnsi="Arial"/>
                <w:sz w:val="18"/>
                <w:szCs w:val="18"/>
                <w:color w:val="auto"/>
              </w:rPr>
              <w:t>The balance of deferred revenue as of June 30, 2023 is expected to be recognized as follows:</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5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six months)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1"/>
                <w:szCs w:val="21"/>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Current Expected Credit Losses (“CECL”)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Most of the Company’s short-term receivables due from franchisees are derived from royalty, advertising and other franchise-related fees.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Gift Card Receivables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$8.6 million as of June 30,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Leases Receivable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3.5 years as of June 30, 2023.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Leases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leases receivable relate to IHOP franchise development activity prior to 2003. IHOP provided the financing for leasing or subleasing the site. Real estate leases at June 30, 2023, comprised 32 leases with a weighted average remaining life of 10.8 years, and relate to locations that IHOP is leasing from third parties and subleasing to franchisees.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Distributor Receivables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188"/>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Gift card receivables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Financing receivables: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Equipment leases receivable</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Real estate leases receivable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 and notes receivable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Long-term receivables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1"/>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primary credit quality indicator for all portfolio segments is delinquency.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during the six months ended June 30, 2023 were as follows:</w:t>
      </w:r>
    </w:p>
    <w:p>
      <w:pPr>
        <w:spacing w:after="0" w:line="137"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Notes receivable,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Notes</w:t>
            </w:r>
          </w:p>
        </w:tc>
        <w:tc>
          <w:tcPr>
            <w:tcW w:w="13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0"/>
              </w:rPr>
              <w:t>Lease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Equipment</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60" w:type="dxa"/>
            <w:vAlign w:val="bottom"/>
          </w:tcPr>
          <w:p>
            <w:pPr>
              <w:jc w:val="center"/>
              <w:ind w:left="28"/>
              <w:spacing w:after="0" w:line="144" w:lineRule="exact"/>
              <w:rPr>
                <w:sz w:val="20"/>
                <w:szCs w:val="20"/>
                <w:color w:val="auto"/>
              </w:rPr>
            </w:pPr>
            <w:r>
              <w:rPr>
                <w:rFonts w:ascii="Arial" w:cs="Arial" w:eastAsia="Arial" w:hAnsi="Arial"/>
                <w:sz w:val="14"/>
                <w:szCs w:val="14"/>
                <w:b w:val="1"/>
                <w:bCs w:val="1"/>
                <w:color w:val="auto"/>
                <w:w w:val="88"/>
              </w:rPr>
              <w:t>receivable,</w:t>
            </w:r>
          </w:p>
        </w:tc>
        <w:tc>
          <w:tcPr>
            <w:tcW w:w="13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(1)</w:t>
            </w: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short-term</w:t>
            </w:r>
          </w:p>
        </w:tc>
        <w:tc>
          <w:tcPr>
            <w:tcW w:w="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long-term</w:t>
            </w:r>
          </w:p>
        </w:tc>
        <w:tc>
          <w:tcPr>
            <w:tcW w:w="13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8"/>
              </w:rPr>
              <w:t>Receivables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9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20" w:right="520"/>
        <w:spacing w:after="0" w:line="280" w:lineRule="auto"/>
        <w:rPr>
          <w:sz w:val="20"/>
          <w:szCs w:val="20"/>
          <w:color w:val="auto"/>
        </w:rPr>
      </w:pPr>
      <w:r>
        <w:rPr>
          <w:rFonts w:ascii="Arial" w:cs="Arial" w:eastAsia="Arial" w:hAnsi="Arial"/>
          <w:sz w:val="18"/>
          <w:szCs w:val="18"/>
          <w:color w:val="auto"/>
        </w:rPr>
        <w:t>Balance, December 31, 2022 Bad debt (credit) expense Advertising provision adjustment Write-offs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87"/>
              </w:rPr>
              <w:t>3.5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4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87"/>
              </w:rPr>
              <w:t>1.2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20"/>
                <w:szCs w:val="20"/>
                <w:color w:val="auto"/>
              </w:rPr>
            </w:pPr>
          </w:p>
        </w:tc>
        <w:tc>
          <w:tcPr>
            <w:tcW w:w="740" w:type="dxa"/>
            <w:vAlign w:val="bottom"/>
          </w:tcPr>
          <w:p>
            <w:pPr>
              <w:jc w:val="center"/>
              <w:ind w:left="150"/>
              <w:spacing w:after="0"/>
              <w:rPr>
                <w:sz w:val="20"/>
                <w:szCs w:val="20"/>
                <w:color w:val="auto"/>
              </w:rPr>
            </w:pPr>
            <w:r>
              <w:rPr>
                <w:rFonts w:ascii="Arial" w:cs="Arial" w:eastAsia="Arial" w:hAnsi="Arial"/>
                <w:sz w:val="18"/>
                <w:szCs w:val="18"/>
                <w:color w:val="auto"/>
                <w:w w:val="91"/>
              </w:rPr>
              <w:t>(0.0)</w:t>
            </w:r>
          </w:p>
        </w:tc>
        <w:tc>
          <w:tcPr>
            <w:tcW w:w="4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(1.3)</w:t>
            </w: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7"/>
              </w:rPr>
              <w:t>3.4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-779145</wp:posOffset>
            </wp:positionV>
            <wp:extent cx="701230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-487680</wp:posOffset>
            </wp:positionV>
            <wp:extent cx="70123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-187960</wp:posOffset>
            </wp:positionV>
            <wp:extent cx="70123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3060" w:space="720"/>
            <w:col w:w="7460"/>
          </w:cols>
          <w:pgMar w:left="320" w:top="122" w:right="339" w:bottom="1440" w:gutter="0" w:footer="0" w:header="0"/>
          <w:type w:val="continuous"/>
        </w:sectPr>
      </w:pPr>
    </w:p>
    <w:p>
      <w:pPr>
        <w:ind w:left="320" w:hanging="150"/>
        <w:spacing w:after="0"/>
        <w:tabs>
          <w:tab w:leader="none" w:pos="320"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Primarily distributor receivables, gift card receivables and credit card receivables.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delinquency status of receivables (other than accounts receivable, gift card receivables and distributor receivables) at June 30, 2023 was as follows:</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0"/>
              </w:rPr>
              <w:t>Notes receivable,</w:t>
            </w:r>
          </w:p>
        </w:tc>
        <w:tc>
          <w:tcPr>
            <w:tcW w:w="12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Notes receivable,</w:t>
            </w: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Real Estate Lease</w:t>
            </w: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Equipment Notes</w:t>
            </w:r>
          </w:p>
        </w:tc>
        <w:tc>
          <w:tcPr>
            <w:tcW w:w="260" w:type="dxa"/>
            <w:vAlign w:val="bottom"/>
          </w:tcPr>
          <w:p>
            <w:pPr>
              <w:spacing w:after="0"/>
              <w:rPr>
                <w:sz w:val="14"/>
                <w:szCs w:val="14"/>
                <w:color w:val="auto"/>
              </w:rPr>
            </w:pP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(1)</w:t>
            </w:r>
          </w:p>
        </w:tc>
        <w:tc>
          <w:tcPr>
            <w:tcW w:w="3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2"/>
        </w:trPr>
        <w:tc>
          <w:tcPr>
            <w:tcW w:w="3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short-term</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5"/>
              </w:rPr>
              <w:t>Receivable</w:t>
            </w:r>
          </w:p>
        </w:tc>
        <w:tc>
          <w:tcPr>
            <w:tcW w:w="12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62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16.2</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30-59 days</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60-89 days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90-119 days</w:t>
            </w:r>
          </w:p>
        </w:tc>
        <w:tc>
          <w:tcPr>
            <w:tcW w:w="1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120+ days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52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16.2</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20" w:hanging="150"/>
        <w:spacing w:after="0"/>
        <w:tabs>
          <w:tab w:leader="none" w:pos="3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Primarily credit card receivables.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year of origination of the Company's notes receivable and financing receivables is as follows: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Notes receivable,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4"/>
              <w:spacing w:after="0" w:line="145" w:lineRule="exact"/>
              <w:rPr>
                <w:sz w:val="20"/>
                <w:szCs w:val="20"/>
                <w:color w:val="auto"/>
              </w:rPr>
            </w:pPr>
            <w:r>
              <w:rPr>
                <w:rFonts w:ascii="Arial" w:cs="Arial" w:eastAsia="Arial" w:hAnsi="Arial"/>
                <w:sz w:val="14"/>
                <w:szCs w:val="14"/>
                <w:b w:val="1"/>
                <w:bCs w:val="1"/>
                <w:color w:val="auto"/>
                <w:w w:val="92"/>
              </w:rPr>
              <w:t>short and long-</w:t>
            </w:r>
          </w:p>
        </w:tc>
        <w:tc>
          <w:tcPr>
            <w:tcW w:w="10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Lease Receivables</w:t>
            </w:r>
          </w:p>
        </w:tc>
        <w:tc>
          <w:tcPr>
            <w:tcW w:w="1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Equipment Notes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w:t>
            </w: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place its financing receivables in non-accrual status.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engages in leasing activity as both a lessee and a lessor. The Company currently leases from third parties the real property on which approximately 520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a third party the real property on which one Fuzzy's company-operated restaurant is located. The Company also leases office space for its principal corporate office in Pasadena, California and restaurant support centers in Leawood, Kansas, and Irving, Texas. The Company does not have a significant amount of non-real estate leases.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290 of the Company's leases met the sales levels that required variable rent payments to the Company (as lessor), based on a percentage of restaurant sales during the six months ended June 30, 2023. Approximately 40 of the leases met the sales levels that required variable rent payments by the Company (as lessee), based on a percentage of restaurant sales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(income) cost for the three and six months ended June 30, 2023 and 2022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940" w:type="dxa"/>
            <w:vAlign w:val="bottom"/>
            <w:gridSpan w:val="5"/>
          </w:tcPr>
          <w:p>
            <w:pPr>
              <w:jc w:val="right"/>
              <w:ind w:right="353"/>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7"/>
          </w:tcPr>
          <w:p>
            <w:pPr>
              <w:ind w:left="12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r>
      <w:tr>
        <w:trPr>
          <w:trHeight w:val="183"/>
        </w:trPr>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9"/>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r>
      <w:tr>
        <w:trPr>
          <w:trHeight w:val="229"/>
        </w:trPr>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57"/>
        </w:trPr>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22"/>
                <w:szCs w:val="22"/>
                <w:color w:val="auto"/>
              </w:rPr>
            </w:pPr>
          </w:p>
        </w:tc>
      </w:tr>
      <w:tr>
        <w:trPr>
          <w:trHeight w:val="237"/>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r>
      <w:tr>
        <w:trPr>
          <w:trHeight w:val="229"/>
        </w:trPr>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9"/>
                <w:szCs w:val="19"/>
                <w:color w:val="auto"/>
              </w:rPr>
            </w:pPr>
          </w:p>
        </w:tc>
      </w:tr>
      <w:tr>
        <w:trPr>
          <w:trHeight w:val="257"/>
        </w:trPr>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income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r>
      <w:tr>
        <w:trPr>
          <w:trHeight w:val="20"/>
        </w:trPr>
        <w:tc>
          <w:tcPr>
            <w:tcW w:w="1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9"/>
        </w:trPr>
        <w:tc>
          <w:tcPr>
            <w:tcW w:w="7960" w:type="dxa"/>
            <w:vAlign w:val="bottom"/>
            <w:gridSpan w:val="8"/>
          </w:tcPr>
          <w:p>
            <w:pPr>
              <w:jc w:val="right"/>
              <w:ind w:right="133"/>
              <w:spacing w:after="0"/>
              <w:rPr>
                <w:sz w:val="20"/>
                <w:szCs w:val="20"/>
                <w:color w:val="auto"/>
              </w:rPr>
            </w:pPr>
            <w:r>
              <w:rPr>
                <w:rFonts w:ascii="Arial" w:cs="Arial" w:eastAsia="Arial" w:hAnsi="Arial"/>
                <w:sz w:val="18"/>
                <w:szCs w:val="18"/>
                <w:color w:val="auto"/>
                <w:w w:val="88"/>
              </w:rPr>
              <w:t>Future minimum lease payments under noncancellable leases as lessee as of June 30, 2023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rPr>
              <w:t>Finance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5"/>
              </w:rPr>
              <w:t>Operating</w:t>
            </w:r>
          </w:p>
        </w:tc>
      </w:tr>
      <w:tr>
        <w:trPr>
          <w:trHeight w:val="213"/>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Leases</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Leases</w:t>
            </w:r>
          </w:p>
        </w:tc>
      </w:tr>
      <w:tr>
        <w:trPr>
          <w:trHeight w:val="191"/>
        </w:trPr>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160" w:type="dxa"/>
            <w:vAlign w:val="bottom"/>
          </w:tcPr>
          <w:p>
            <w:pPr>
              <w:spacing w:after="0"/>
              <w:rPr>
                <w:sz w:val="20"/>
                <w:szCs w:val="20"/>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(remaining six months)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CEEFF"/>
          </w:tcPr>
          <w:p>
            <w:pPr>
              <w:spacing w:after="0"/>
              <w:rPr>
                <w:sz w:val="20"/>
                <w:szCs w:val="20"/>
                <w:color w:val="auto"/>
              </w:rPr>
            </w:pPr>
          </w:p>
        </w:tc>
      </w:tr>
      <w:tr>
        <w:trPr>
          <w:trHeight w:val="230"/>
        </w:trPr>
        <w:tc>
          <w:tcPr>
            <w:tcW w:w="16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0"/>
                <w:szCs w:val="20"/>
                <w:color w:val="auto"/>
              </w:rPr>
            </w:pPr>
          </w:p>
        </w:tc>
      </w:tr>
      <w:tr>
        <w:trPr>
          <w:trHeight w:val="242"/>
        </w:trPr>
        <w:tc>
          <w:tcPr>
            <w:tcW w:w="160" w:type="dxa"/>
            <w:vAlign w:val="bottom"/>
          </w:tcPr>
          <w:p>
            <w:pPr>
              <w:spacing w:after="0"/>
              <w:rPr>
                <w:sz w:val="21"/>
                <w:szCs w:val="21"/>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r>
      <w:tr>
        <w:trPr>
          <w:trHeight w:val="230"/>
        </w:trPr>
        <w:tc>
          <w:tcPr>
            <w:tcW w:w="160" w:type="dxa"/>
            <w:vAlign w:val="bottom"/>
          </w:tcPr>
          <w:p>
            <w:pPr>
              <w:spacing w:after="0"/>
              <w:rPr>
                <w:sz w:val="19"/>
                <w:szCs w:val="19"/>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21"/>
                <w:szCs w:val="21"/>
                <w:color w:val="auto"/>
              </w:rPr>
            </w:pPr>
          </w:p>
        </w:tc>
      </w:tr>
      <w:tr>
        <w:trPr>
          <w:trHeight w:val="230"/>
        </w:trPr>
        <w:tc>
          <w:tcPr>
            <w:tcW w:w="160" w:type="dxa"/>
            <w:vAlign w:val="bottom"/>
          </w:tcPr>
          <w:p>
            <w:pPr>
              <w:spacing w:after="0"/>
              <w:rPr>
                <w:sz w:val="19"/>
                <w:szCs w:val="19"/>
                <w:color w:val="auto"/>
              </w:rPr>
            </w:pPr>
          </w:p>
        </w:tc>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Borders>
              <w:bottom w:val="single" w:sz="8" w:color="auto"/>
            </w:tcBorders>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minimum lease payments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60" w:type="dxa"/>
            <w:vAlign w:val="bottom"/>
            <w:shd w:val="clear" w:color="auto" w:fill="CCEEFF"/>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interest/imputed interest</w:t>
            </w:r>
          </w:p>
        </w:tc>
        <w:tc>
          <w:tcPr>
            <w:tcW w:w="9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(69.8)</w:t>
            </w:r>
          </w:p>
        </w:tc>
      </w:tr>
      <w:tr>
        <w:trPr>
          <w:trHeight w:val="223"/>
        </w:trPr>
        <w:tc>
          <w:tcPr>
            <w:tcW w:w="1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obligations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6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57"/>
        </w:trPr>
        <w:tc>
          <w:tcPr>
            <w:tcW w:w="160" w:type="dxa"/>
            <w:vAlign w:val="bottom"/>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lease obligations</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60" w:type="dxa"/>
            <w:vAlign w:val="bottom"/>
            <w:shd w:val="clear" w:color="auto" w:fill="CCEEFF"/>
          </w:tcPr>
          <w:p>
            <w:pPr>
              <w:spacing w:after="0"/>
              <w:rPr>
                <w:sz w:val="22"/>
                <w:szCs w:val="22"/>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remaining lease term as of June 30, 2023 was 6.1 years for finance leases and 6.1 years for operating leases. The weighted average discount rate as of June 30, 2023 was 9.3% for finance leases and 5.6% for operating leases.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and 2022, the Company made the following cash payments for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10"/>
        </w:trPr>
        <w:tc>
          <w:tcPr>
            <w:tcW w:w="48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r>
      <w:tr>
        <w:trPr>
          <w:trHeight w:val="191"/>
        </w:trPr>
        <w:tc>
          <w:tcPr>
            <w:tcW w:w="4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finance lease obligations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8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3.6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Interest payments on finance lease obligations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operating leases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41.3</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from operating leases for the three and six months ended June 30, 2023 and 2022 was as follows: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49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r>
      <w:tr>
        <w:trPr>
          <w:trHeight w:val="191"/>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lease payments</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Variable lease income</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56"/>
        </w:trPr>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lease income</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28.6</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to be received as lessor under noncancellable operating leases as of June 30, 2023 were as follows:</w:t>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9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six months)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7"/>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3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r>
      <w:tr>
        <w:trPr>
          <w:trHeight w:val="262"/>
        </w:trPr>
        <w:tc>
          <w:tcPr>
            <w:tcW w:w="9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minimum rents receivable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from real estate leases for the three and six months ended June 30, 2023 and 2022 was as follows:</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r>
      <w:tr>
        <w:trPr>
          <w:trHeight w:val="191"/>
        </w:trPr>
        <w:tc>
          <w:tcPr>
            <w:tcW w:w="4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0.4</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Variable lease income</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6"/>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(loss) profit</w:t>
            </w:r>
          </w:p>
        </w:tc>
        <w:tc>
          <w:tcPr>
            <w:tcW w:w="9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(0.1)</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860" w:type="dxa"/>
            <w:vAlign w:val="bottom"/>
          </w:tcPr>
          <w:p>
            <w:pPr>
              <w:ind w:left="120"/>
              <w:spacing w:after="0"/>
              <w:rPr>
                <w:sz w:val="20"/>
                <w:szCs w:val="20"/>
                <w:color w:val="auto"/>
              </w:rPr>
            </w:pPr>
            <w:r>
              <w:rPr>
                <w:rFonts w:ascii="Arial" w:cs="Arial" w:eastAsia="Arial" w:hAnsi="Arial"/>
                <w:sz w:val="18"/>
                <w:szCs w:val="18"/>
                <w:color w:val="auto"/>
              </w:rPr>
              <w:t>Total real estate lease income</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1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0.5</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Minimum payments to be received as lessor under noncancellable real estate leases as of June 30,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six months)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minimum rents receivable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investment in real estate leases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investment in real estate leases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8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80" w:type="dxa"/>
            <w:vAlign w:val="bottom"/>
            <w:gridSpan w:val="3"/>
          </w:tcPr>
          <w:p>
            <w:pPr>
              <w:spacing w:after="0"/>
              <w:rPr>
                <w:sz w:val="20"/>
                <w:szCs w:val="20"/>
                <w:color w:val="auto"/>
              </w:rPr>
            </w:pPr>
            <w:r>
              <w:rPr>
                <w:rFonts w:ascii="Arial" w:cs="Arial" w:eastAsia="Arial" w:hAnsi="Arial"/>
                <w:sz w:val="18"/>
                <w:szCs w:val="18"/>
                <w:color w:val="auto"/>
              </w:rPr>
              <w:t>At June 30, 2023 and December 31, 2022, long-term debt consisted of the following components: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2019-1 4.194% Fixed Rate Senior Secured Notes, Class A-2-I</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Series 2019-1 4.723% Fixed Rate Senior Secured Notes, Class A-2-II</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77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Series 2022-1 Variable Funding Senior Secured Notes, Class A-1, variable interest rate of 7.70% and</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7.29% at June 30, 2023 and December 31, 2022, respectively</w:t>
            </w: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Series 2023-1 7.824% Fixed Rate Senior Secured Notes, Class A-2</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Long-term debt, net of debt issuance costs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w:t>
      </w:r>
    </w:p>
    <w:p>
      <w:pPr>
        <w:sectPr>
          <w:pgSz w:w="11900" w:h="16838" w:orient="portrait"/>
          <w:cols w:equalWidth="0" w:num="1">
            <w:col w:w="11240"/>
          </w:cols>
          <w:pgMar w:left="320" w:top="122" w:right="339" w:bottom="6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628"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million and the Series 2019-1 4.723% Fixed Rate Senior Secured Notes, Class A-2-II (“2019 Class A-2-II Notes”)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 (the “Previous Credit Facility”).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 2023 Class A-2 Notes to repay the entire outstanding balance of approximately $585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Class A-2 Notes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2019 Class A-2-I Notes were voluntarily repaid in full on April 17, 2023, while the 2019 Class A-2-II Notes remain outstanding as of June 30, 2023. For a description of the 2019 Class A-2-I Notes, refer to Note 8 of the Notes to Consolidated Financial Statements included in the Company’s Annual Report on Form 10-K for the year ended December 31, 2022. The legal final maturity of the 2019 Class A-2-II Notes is June 2049, but rapid amortization will apply if the 2019 Class A-2-II Notes are not repaid by June 2026 (the “2019 Class A-2-II Anticipated Repayment Date”). If the Co-Issuers have not repaid or refinanced the 2019 Class A-2-II Notes by the 2019 Class A-2-II Anticipated Repayment Date, then additional interest will accrue on the 2019 Class A-2-II Notes, as applicable, at the greater of: (A) 5.0% and (B) 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2019 Class A-2-II Notes are outstanding, payment of principal and interest is required to be made on the 2019 Class A-2-II Notes on a quarterly basis. The quarterly principal payment of $1.50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Company's leverage ratio was approximately 4.5x. As a result, quarterly principal payments on the 2019 Class A-2-II Notes of $1.50 million currently are not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voluntarily repay the 2019 Class A-2-II Notes at any time without any associated make-whole premium.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Class A-1 Notes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Previous Credit Facility allowed for drawings up to $225 million of variable funding notes on a revolving basis and the issuance of letters of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borrowings since March 2021 under the Previous Credit Facility until its termination in August 2022.</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 for borrowings under the Previous Credit Facility was the three-month LIBOR rate plus 2.15% for 60% of the advances and the commercial paper funding rate of our conduit investor plus 2.15% for 40% of the advances.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Class A-1 Notes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2023, the outstanding balance of the Credit Facility was $100 million. The amount of $3.4 million was pledged against the Credit Facility for outstanding letters of credit, leaving $221.6 million of the Credit Facility available for borrowing at June 30,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six months ended June 30, 2023 was 7.46%.</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Class A-2 Notes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2023 Class A-2 Notes are outstanding, payment of principal and interest is required to be made on the 2023 Class A-2 Notes on a quarterly basis. The payment of principal on the 2023 Class A-2 Notes may be suspended when the leverage ratio for the Company and its subsidiaries is less than or equal to 5.25x.</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Company's leverage ratio was approximately 4.5x. As a result, quarterly principal payments on the 2023 Class A-2 Notes of $1.25 million currently are not required.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voluntarily repay the 2023 Class A-2 Notes at any time; however, if the 2023 Class A-2 Notes are repaid prior to certain dates, the Company would be required to pay make-whole premiums. As of June 30, 2023, the make-whole premium associated with voluntary prepayment of the 2023 Class A-2 Notes was approximately $45.1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June 30, 2023, based on the probability-weighted discounted cash flows associated with either event.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Program</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Restrictions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DSCR for the reporting period ended June 30, 2023 was approximately 3.7x.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Class A-2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$0.2 million were included in interest expense for the three and six months ended June 30, 2023. As of June 30, 2023, unamortized debt issuance costs of $7.8 million are reported as a direct reduction of the 2023 Series Class A-2 Notes in the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Class A-1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2022, the Company incurred costs of approximately $6.3 million in connection with the issuance of the Credit Facility. These debt issuance costs are being amortized over the estimated life of the Credit Facility. Amortization of $0.3 million and $0.6 million, respectively, of these costs were included in interest expense for the three and six months ended June 30, 2023. As of June 30, 2023, unamortized debt issuance costs of $5.3 million related to the Credit Facility are classified as other non-current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Class A-2 Notes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$0.2 million and $1.1 million were included in interest expense for the three and six months ended June 30, 2023, respectively. Amortization costs of $0.1 million and $1.1 million were included in interest expense for the three and six months ended June 30, 2022, respectively. In connection with the repayment of the 2019 Class A-2-I Notes discussed above, the Company recognized as a loss on extinguishment of debt of $1.7 million, representing the related remaining unamortized debt issuance costs. As of June 30, 2023, unamortized debt issuance costs of $2.7 million are reported as a direct reduction of the 2019 Class A-2-II Notes in the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Class A-1 Notes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costs incurred in connection with the Previous Credit Facility of $0.2 million were included in interest expense for the six months ended June 30, 2022. In connection with the termination of the Previous Credit Facility in August 2022, the Company recognized as a loss on extinguishment of debt of $1.2 million, representing the remaining unamortized debt issuance costs associated with the Previous Credit Facility.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(Gain)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$67.9 million of its 2019 Class A-2-I Notes under par and recognized a $1.7 million gain on extinguishment of debt during the six months ended June 30,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repayment of the 2019 Class A-2-I Notes, the Company recognized a loss on extinguishment of debt of $1.7 million, representing the remaining unamortized costs related to the 2019 Class A-2-I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Long-term Debt</w:t>
      </w:r>
    </w:p>
    <w:p>
      <w:pPr>
        <w:spacing w:after="0" w:line="121"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final maturity of the 2019 Class A-2 Notes is in June 2049, but it is anticipated that, unless repaid earlier, the 2019 Class A-2-II Notes will be repaid in June 2026.</w:t>
      </w:r>
    </w:p>
    <w:p>
      <w:pPr>
        <w:spacing w:after="0" w:line="27" w:lineRule="exact"/>
        <w:rPr>
          <w:rFonts w:ascii="Arial" w:cs="Arial" w:eastAsia="Arial" w:hAnsi="Arial"/>
          <w:sz w:val="18"/>
          <w:szCs w:val="18"/>
          <w:color w:val="auto"/>
        </w:rPr>
      </w:pPr>
    </w:p>
    <w:p>
      <w:pPr>
        <w:ind w:left="660" w:hanging="328"/>
        <w:spacing w:after="0" w:line="232"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final maturity of the 2023 Class A-2 Notes is in March 2053, but it is anticipated that, unless repaid earlier, the 2023 Class A-2 Notes will be repaid in June 2029.</w:t>
      </w:r>
    </w:p>
    <w:p>
      <w:pPr>
        <w:spacing w:after="0" w:line="1"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renewal date of the Credit Facility is June 2027, subject to two additional one-year extensions at the option of the Company upon the satisfaction of certain conditions.</w:t>
      </w:r>
    </w:p>
    <w:p>
      <w:pPr>
        <w:ind w:left="660" w:hanging="328"/>
        <w:spacing w:after="0" w:line="24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principal payments on the 2019 Class A-2-II Notes totaling $1.50 million ($6.0 million per annum) are required if the Company's leverage ratio is greater than 5.25x.</w:t>
      </w:r>
    </w:p>
    <w:p>
      <w:pPr>
        <w:spacing w:after="0" w:line="1" w:lineRule="exact"/>
        <w:rPr>
          <w:rFonts w:ascii="Arial" w:cs="Arial" w:eastAsia="Arial" w:hAnsi="Arial"/>
          <w:sz w:val="18"/>
          <w:szCs w:val="18"/>
          <w:color w:val="auto"/>
        </w:rPr>
      </w:pPr>
    </w:p>
    <w:p>
      <w:pPr>
        <w:ind w:left="660" w:right="80" w:hanging="328"/>
        <w:spacing w:after="0" w:line="24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principal payments on the 2023 Class A-2 Notes totaling $1.25 million ($5.0 million per annum) are required if the Company's leverage ratio is greater than 5.25x.</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per share for the six months ended June 30, 2023 and 2022 were as follows:</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4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r>
      <w:tr>
        <w:trPr>
          <w:trHeight w:val="22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Dividends paid per common share</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0.86</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 2022, the Board of Directors declared a fourth quarter 2022 cash dividend of $0.51 per share of common stock, paid on January 6, 2023 to the stockholders of record as of the close of business on December 17, 2022.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21, 2023, the Board of Directors declared a first quarter 2023 cash dividend of $0.51 per share of common stock, paid on March 31, 2023 to the stockholders of record as of the close of business on March 20, 2023.</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11, 2023, the Board of Directors declared a second quarter 2023 cash dividend of $0.51 per share of common stock, paid on July 7, 2023 to the stockholders of record as of the close of business on June 20,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Deficit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repurchased 212,492 shares of common stock at a cost of $14.0 million. Cumulatively, the Company repurchased 1,362,081 shares at a cost of $92.7 million under the 2022 Repurchase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2023, the Company re-issued 270,960 shares of treasury stock at a total FIFO cost of $12.9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effective tax rate was 24.7% for the six months ended June 30, 2023, as compared to 26.8% for the six months ended June 30, 2022. The effective tax rate for the six months ended June 30, 2023 was different than the rate of the prior comparable period primarily due to the recognition of higher excess tax benefits from stock-based compensation and lower non-deductible executive compensation.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gross unrecognized tax benefit as of June 30, 2023 and December 31, 2022 was $2.6 million and $2.1 million, respectively, excluding interest, penalties and related tax benefits. The Company estimates the unrecognized tax benefit as of June 30, 2023 may decrease over the upcoming 12 months by an amount up to $0.5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2023, accrued interest was $0.8 million and accrued penalties were less than $0.1 million, excluding any related income tax benefits. As of December 31, 2022, accrued interest was $0.7 million and accrued penalties were less than $0.1 million,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2018 and state or non-United States tax examinations by tax authorities for years before 2011. The Company believes that adequate reserves have been provided related to all matters contained in the tax periods open to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included in general and administrative expenses in the Consolidated Statements of Comprehensive Income: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68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w w:val="92"/>
              </w:rPr>
              <w:t>Six Months Ended June 30,</w:t>
            </w:r>
          </w:p>
        </w:tc>
      </w:tr>
      <w:tr>
        <w:trPr>
          <w:trHeight w:val="210"/>
        </w:trPr>
        <w:tc>
          <w:tcPr>
            <w:tcW w:w="53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184"/>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classified awards expense</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7"/>
              </w:rPr>
              <w:t>5.3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Liability classified awards (credit) expense</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34"/>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7"/>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total unrecognized compensation expense of $22.3 million related to restricted stock and restricted stock units and $3.6 million related to stock options are expected to be recognized over a weighted average period of 1.5 years for restricted stock and restricted stock units and 1.5 years for stock options.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assumptions used in the Black-Scholes model for stock options granted during the six months ended June 30,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70.9 %</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60" w:type="dxa"/>
            <w:vAlign w:val="bottom"/>
            <w:gridSpan w:val="7"/>
          </w:tcPr>
          <w:p>
            <w:pPr>
              <w:spacing w:after="0"/>
              <w:rPr>
                <w:sz w:val="20"/>
                <w:szCs w:val="20"/>
                <w:color w:val="auto"/>
              </w:rPr>
            </w:pPr>
            <w:r>
              <w:rPr>
                <w:rFonts w:ascii="Arial" w:cs="Arial" w:eastAsia="Arial" w:hAnsi="Arial"/>
                <w:sz w:val="18"/>
                <w:szCs w:val="18"/>
                <w:color w:val="auto"/>
              </w:rPr>
              <w:t>Stock option balances at June 30, 2023, and activity for the six months ended June 30, 2023 were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Contractual Term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Under Option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Price Per Share</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Value (in Millions)</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72,291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Expired</w:t>
            </w:r>
          </w:p>
        </w:tc>
        <w:tc>
          <w:tcPr>
            <w:tcW w:w="1300" w:type="dxa"/>
            <w:vAlign w:val="bottom"/>
          </w:tcPr>
          <w:p>
            <w:pPr>
              <w:jc w:val="right"/>
              <w:spacing w:after="0"/>
              <w:rPr>
                <w:sz w:val="20"/>
                <w:szCs w:val="20"/>
                <w:color w:val="auto"/>
              </w:rPr>
            </w:pPr>
            <w:r>
              <w:rPr>
                <w:rFonts w:ascii="Arial" w:cs="Arial" w:eastAsia="Arial" w:hAnsi="Arial"/>
                <w:sz w:val="18"/>
                <w:szCs w:val="18"/>
                <w:color w:val="auto"/>
              </w:rPr>
              <w:t>(55,879)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80" w:type="dxa"/>
            <w:vAlign w:val="bottom"/>
          </w:tcPr>
          <w:p>
            <w:pPr>
              <w:ind w:left="20"/>
              <w:spacing w:after="0"/>
              <w:rPr>
                <w:sz w:val="20"/>
                <w:szCs w:val="20"/>
                <w:color w:val="auto"/>
              </w:rPr>
            </w:pPr>
            <w:r>
              <w:rPr>
                <w:rFonts w:ascii="Arial" w:cs="Arial" w:eastAsia="Arial" w:hAnsi="Arial"/>
                <w:sz w:val="18"/>
                <w:szCs w:val="18"/>
                <w:color w:val="auto"/>
              </w:rPr>
              <w:t>Outstanding at June 30, 2023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77.69</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6.2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at June 30, 2023 and Expected to Vest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7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6.1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tcPr>
          <w:p>
            <w:pPr>
              <w:ind w:left="20"/>
              <w:spacing w:after="0" w:line="203" w:lineRule="exact"/>
              <w:rPr>
                <w:sz w:val="20"/>
                <w:szCs w:val="20"/>
                <w:color w:val="auto"/>
              </w:rPr>
            </w:pPr>
            <w:r>
              <w:rPr>
                <w:rFonts w:ascii="Arial" w:cs="Arial" w:eastAsia="Arial" w:hAnsi="Arial"/>
                <w:sz w:val="18"/>
                <w:szCs w:val="18"/>
                <w:color w:val="auto"/>
              </w:rPr>
              <w:t>Exercisable at June 30, 2023</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325,063</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57.61</w:t>
            </w:r>
          </w:p>
        </w:tc>
        <w:tc>
          <w:tcPr>
            <w:tcW w:w="1760" w:type="dxa"/>
            <w:vAlign w:val="bottom"/>
            <w:gridSpan w:val="2"/>
          </w:tcPr>
          <w:p>
            <w:pPr>
              <w:jc w:val="center"/>
              <w:ind w:left="30"/>
              <w:spacing w:after="0" w:line="203" w:lineRule="exact"/>
              <w:rPr>
                <w:sz w:val="20"/>
                <w:szCs w:val="20"/>
                <w:color w:val="auto"/>
              </w:rPr>
            </w:pPr>
            <w:r>
              <w:rPr>
                <w:rFonts w:ascii="Arial" w:cs="Arial" w:eastAsia="Arial" w:hAnsi="Arial"/>
                <w:sz w:val="18"/>
                <w:szCs w:val="18"/>
                <w:color w:val="auto"/>
                <w:w w:val="95"/>
              </w:rPr>
              <w:t>5.1</w:t>
            </w:r>
          </w:p>
        </w:tc>
        <w:tc>
          <w:tcPr>
            <w:tcW w:w="3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second quarter of 2023 and the exercise price, multiplied by the number of in-the-money options) that would have been received by the option holders had all option holders exercised their options on June 30, 2023.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balances as of June 30, 2023, and activity related to restricted stock and restricted stock units for the six months ended June 30, 2023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Stock-Settled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9"/>
        </w:trPr>
        <w:tc>
          <w:tcPr>
            <w:tcW w:w="54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Shares of Restricted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4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123,895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201,517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74.16</w:t>
            </w:r>
          </w:p>
        </w:tc>
        <w:tc>
          <w:tcPr>
            <w:tcW w:w="1440" w:type="dxa"/>
            <w:vAlign w:val="bottom"/>
            <w:gridSpan w:val="2"/>
          </w:tcPr>
          <w:p>
            <w:pPr>
              <w:jc w:val="right"/>
              <w:ind w:right="4"/>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(50,180)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365,750</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58,913</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granted cash-settled restricted stock units to certain employees in the past. These instruments were recorded as liabilities at fair value as of the respective period end.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liabilities related to cash-settled restricted stock units since the first quarter of 2022. For the six months ended June 30, 2022, an expense of $0.2 million was included as stock-based compensation expense related to cash-settled restricted stock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June 30, 2023 and 2022, a credit of $1.3 million and an expense of $1.0 million, respectively, were included in total stock-based compensation expense related to LTIP awards. For the six months ended June 30, 2023 and 2022, a credit of $0.6 million and an expense of $1.3 million, respectively, was included in total stock-based compensation expense related to LTIP awards. At June 30, 2023 and December 31, 2022, liabilities of $1.5 million and $2.1 million, respectively, related to LTIP awards was included as part of accrued employee compensation and benefits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w w:val="95"/>
              </w:rPr>
              <w:t>Three Months Ended June 30,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2"/>
              </w:rPr>
              <w:t>(In thousands, except per share data)</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Numerator for basic and diluted income per common share:</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48,812</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w w:val="94"/>
              </w:rPr>
              <w:t>Less: Net income allocated to unvested participating restricted stock</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 basic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rPr>
              <w:t>Effect of unvested participating restricted stock in two-class</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basic</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16,386</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Dilutive effect of stock options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diluted</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w:t>
      </w:r>
    </w:p>
    <w:p>
      <w:pPr>
        <w:spacing w:after="0" w:line="49" w:lineRule="exact"/>
        <w:rPr>
          <w:sz w:val="20"/>
          <w:szCs w:val="20"/>
          <w:color w:val="auto"/>
        </w:rPr>
      </w:pPr>
    </w:p>
    <w:p>
      <w:pPr>
        <w:jc w:val="both"/>
        <w:ind w:firstLine="59"/>
        <w:spacing w:after="0" w:line="273" w:lineRule="auto"/>
        <w:rPr>
          <w:sz w:val="20"/>
          <w:szCs w:val="20"/>
          <w:color w:val="auto"/>
        </w:rPr>
      </w:pPr>
      <w:r>
        <w:rPr>
          <w:rFonts w:ascii="Arial" w:cs="Arial" w:eastAsia="Arial" w:hAnsi="Arial"/>
          <w:sz w:val="17"/>
          <w:szCs w:val="17"/>
          <w:color w:val="auto"/>
        </w:rPr>
        <w:t>As of June 30, 2023, the franchise operations segment consisted of 1,661 restaurants operated by Applebee’s franchisees in the United States, two U.S. territories and 13 countries outside the United States; 1,790 restaurants operated by IHOP franchisees and area licensees in the United States, two U.S. territories and 13 countries outside the United States; and 137 restaurants operated by Fuzzy's franchisees in the United States. Franchise operations revenue consists primarily of franchise royalty revenues, franchise advertising revenue, sales of proprietary products to franchisees (primarily pancake and waffle dry mixes for the IHOP restaurants), and other franchise fees. Franchise operations expenses include advertising expense, the cost of proprietary products, pre-opening training expenses and other franchise-related costs.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Financing operations revenue primarily consists of interest income from the financing of IHOP equipment leases and franchise fees and interest income on Applebee's notes receivable from franchisees. Financing operations expenses primarily are the cost of taxes related to IHOP equipment leases.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 months ended June 30, 2023, the company restaurants segment consisted of three Fuzzy's restaurants that were acquired in December 2022 of which two were subsequently refranchised in 2023. During three and six months ended June 30, 2022, the Company operated 69 Applebee's restaurants that were refranchised in October 2022. All company-operated restaurants are located in the United States. Company-operated restaurant operation revenue consists of retail sales at company operated restaurants. Company-operated restaurant operation expenses are operating expenses such as food, beverage, labor, benefits, utilities, rent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Segments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segments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4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r>
      <w:tr>
        <w:trPr>
          <w:trHeight w:val="180"/>
        </w:trPr>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1"/>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57"/>
        </w:trPr>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4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580" w:type="dxa"/>
            <w:vAlign w:val="bottom"/>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Gross profit by segment:</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Corporate and unallocated expenses, net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(63.2)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Closure and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Closure and impairment charges for the three and six months ended June 30, 2023 and 2022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00" w:type="dxa"/>
            <w:vAlign w:val="bottom"/>
          </w:tcPr>
          <w:p>
            <w:pPr>
              <w:spacing w:after="0"/>
              <w:rPr>
                <w:sz w:val="17"/>
                <w:szCs w:val="17"/>
                <w:color w:val="auto"/>
              </w:rPr>
            </w:pPr>
          </w:p>
        </w:tc>
        <w:tc>
          <w:tcPr>
            <w:tcW w:w="2340" w:type="dxa"/>
            <w:vAlign w:val="bottom"/>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4"/>
          </w:tcPr>
          <w:p>
            <w:pPr>
              <w:jc w:val="right"/>
              <w:ind w:right="413"/>
              <w:spacing w:after="0"/>
              <w:rPr>
                <w:sz w:val="20"/>
                <w:szCs w:val="20"/>
                <w:color w:val="auto"/>
              </w:rPr>
            </w:pPr>
            <w:r>
              <w:rPr>
                <w:rFonts w:ascii="Arial" w:cs="Arial" w:eastAsia="Arial" w:hAnsi="Arial"/>
                <w:sz w:val="15"/>
                <w:szCs w:val="15"/>
                <w:b w:val="1"/>
                <w:bCs w:val="1"/>
                <w:color w:val="auto"/>
                <w:w w:val="93"/>
              </w:rPr>
              <w:t>Six Months Ended June 30,</w:t>
            </w:r>
          </w:p>
        </w:tc>
      </w:tr>
      <w:tr>
        <w:trPr>
          <w:trHeight w:val="22"/>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5300" w:type="dxa"/>
            <w:vAlign w:val="bottom"/>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2023</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5"/>
                <w:szCs w:val="15"/>
                <w:b w:val="1"/>
                <w:bCs w:val="1"/>
                <w:color w:val="auto"/>
              </w:rPr>
              <w:t>2022</w:t>
            </w:r>
          </w:p>
        </w:tc>
      </w:tr>
      <w:tr>
        <w:trPr>
          <w:trHeight w:val="190"/>
        </w:trPr>
        <w:tc>
          <w:tcPr>
            <w:tcW w:w="5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 charges</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Long-lived tangible asset impairment</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closure and impairment charges</w:t>
            </w: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40" w:type="dxa"/>
            <w:vAlign w:val="bottom"/>
            <w:tcBorders>
              <w:bottom w:val="single" w:sz="8" w:color="auto"/>
            </w:tcBorders>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closure charges for the three and six months ended June 30, 2023 are related to revisions to existing closure reserves, including accretion, approximately 30 IHOP restaurants.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closure charges for the three and six months ended June 30, 2022 are related to the establishment of or revisions to existing closure reserves for approximately 35 IHOP restaurants.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long-lived asset impairment for the three and six months ended June 30, 2023 primarily related to technology that were developed in connection with the IHOP Flip'd initiative that was stopped. Long-lived intangible asset impairment charges for the three and six months ended June 30, 2022 related to the impairment of land and buildings for two IHOP restaurants located on sites owned by the Company.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long-term debt, excluding the Credit Facility, at June 30, 2023 and December 31, 2022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4"/>
              </w:rPr>
              <w:t>December 31, 2022</w:t>
            </w:r>
          </w:p>
        </w:tc>
      </w:tr>
      <w:tr>
        <w:trPr>
          <w:trHeight w:val="184"/>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gridSpan w:val="4"/>
          </w:tcPr>
          <w:p>
            <w:pPr>
              <w:jc w:val="right"/>
              <w:ind w:right="1433"/>
              <w:spacing w:after="0"/>
              <w:rPr>
                <w:sz w:val="20"/>
                <w:szCs w:val="20"/>
                <w:color w:val="auto"/>
              </w:rPr>
            </w:pPr>
            <w:r>
              <w:rPr>
                <w:rFonts w:ascii="Arial" w:cs="Arial" w:eastAsia="Arial" w:hAnsi="Arial"/>
                <w:sz w:val="14"/>
                <w:szCs w:val="14"/>
                <w:b w:val="1"/>
                <w:bCs w:val="1"/>
                <w:color w:val="auto"/>
              </w:rPr>
              <w:t>(In millions)</w:t>
            </w:r>
          </w:p>
        </w:tc>
      </w:tr>
      <w:tr>
        <w:trPr>
          <w:trHeight w:val="264"/>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Face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120" w:type="dxa"/>
            <w:vAlign w:val="bottom"/>
          </w:tcPr>
          <w:p>
            <w:pPr>
              <w:ind w:left="40"/>
              <w:spacing w:after="0" w:line="203" w:lineRule="exact"/>
              <w:rPr>
                <w:sz w:val="20"/>
                <w:szCs w:val="20"/>
                <w:color w:val="auto"/>
              </w:rPr>
            </w:pPr>
            <w:r>
              <w:rPr>
                <w:rFonts w:ascii="Arial" w:cs="Arial" w:eastAsia="Arial" w:hAnsi="Arial"/>
                <w:sz w:val="18"/>
                <w:szCs w:val="18"/>
                <w:color w:val="auto"/>
              </w:rPr>
              <w:t>Fair Value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1,042.4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1,736.9</w:t>
            </w:r>
          </w:p>
        </w:tc>
      </w:tr>
      <w:tr>
        <w:trPr>
          <w:trHeight w:val="21"/>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refranchising of Applebee’s restaurants to franchisees, the Company has, in certain cases, guaranteed or has potential continuing liability for lease payments totaling $424.2 million as of June 30, 2023. This amount represents the maximum potential liability for future payments under these leases. These leases have been assigned to the buyers and expire at the end of the respective lease terms, which range from 2023 through 2058. Excluding unexercised option periods, the Company's potential liability for future payments under these leases is $95.8 million. In the event of default, the indemnity and default clauses in the sale or assignment agreements govern the Company's ability to pursue and recover damages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Cash Equivalents and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Cash Equivalents and Restricted Cash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cash and cash equivalents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December 31, 2022</w:t>
            </w:r>
          </w:p>
        </w:tc>
      </w:tr>
      <w:tr>
        <w:trPr>
          <w:trHeight w:val="184"/>
        </w:trPr>
        <w:tc>
          <w:tcPr>
            <w:tcW w:w="7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r>
      <w:tr>
        <w:trPr>
          <w:trHeight w:val="24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380" w:type="dxa"/>
            <w:vAlign w:val="bottom"/>
            <w:shd w:val="clear" w:color="auto" w:fill="CCEEFF"/>
          </w:tcPr>
          <w:p>
            <w:pPr>
              <w:jc w:val="right"/>
              <w:ind w:right="117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IHOP advertising funds and gift card programs</w:t>
            </w: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73.5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depository accounts</w:t>
            </w:r>
          </w:p>
        </w:tc>
        <w:tc>
          <w:tcPr>
            <w:tcW w:w="13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37"/>
        </w:trPr>
        <w:tc>
          <w:tcPr>
            <w:tcW w:w="7140" w:type="dxa"/>
            <w:vAlign w:val="bottom"/>
          </w:tcPr>
          <w:p>
            <w:pPr>
              <w:ind w:left="140"/>
              <w:spacing w:after="0"/>
              <w:rPr>
                <w:sz w:val="20"/>
                <w:szCs w:val="20"/>
                <w:color w:val="auto"/>
              </w:rPr>
            </w:pPr>
            <w:r>
              <w:rPr>
                <w:rFonts w:ascii="Arial" w:cs="Arial" w:eastAsia="Arial" w:hAnsi="Arial"/>
                <w:sz w:val="18"/>
                <w:szCs w:val="18"/>
                <w:color w:val="auto"/>
              </w:rPr>
              <w:t>Total cash and cash equivalents</w:t>
            </w:r>
          </w:p>
        </w:tc>
        <w:tc>
          <w:tcPr>
            <w:tcW w:w="1380" w:type="dxa"/>
            <w:vAlign w:val="bottom"/>
          </w:tcPr>
          <w:p>
            <w:pPr>
              <w:jc w:val="right"/>
              <w:ind w:right="117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98.0</w:t>
            </w:r>
          </w:p>
        </w:tc>
        <w:tc>
          <w:tcPr>
            <w:tcW w:w="9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1"/>
        </w:trPr>
        <w:tc>
          <w:tcPr>
            <w:tcW w:w="7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Restricted Cash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current restricted cash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December 31, 2022</w:t>
            </w:r>
          </w:p>
        </w:tc>
      </w:tr>
      <w:tr>
        <w:trPr>
          <w:trHeight w:val="184"/>
        </w:trPr>
        <w:tc>
          <w:tcPr>
            <w:tcW w:w="7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6"/>
                <w:szCs w:val="16"/>
                <w:color w:val="auto"/>
              </w:rPr>
            </w:pPr>
          </w:p>
        </w:tc>
      </w:tr>
      <w:tr>
        <w:trPr>
          <w:trHeight w:val="24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reserves</w:t>
            </w: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33.8</w:t>
            </w:r>
          </w:p>
        </w:tc>
        <w:tc>
          <w:tcPr>
            <w:tcW w:w="9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Applebee's advertising funds</w:t>
            </w: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220" w:type="dxa"/>
            <w:vAlign w:val="bottom"/>
          </w:tcPr>
          <w:p>
            <w:pPr>
              <w:ind w:left="140"/>
              <w:spacing w:after="0"/>
              <w:rPr>
                <w:sz w:val="20"/>
                <w:szCs w:val="20"/>
                <w:color w:val="auto"/>
              </w:rPr>
            </w:pPr>
            <w:r>
              <w:rPr>
                <w:rFonts w:ascii="Arial" w:cs="Arial" w:eastAsia="Arial" w:hAnsi="Arial"/>
                <w:sz w:val="18"/>
                <w:szCs w:val="18"/>
                <w:color w:val="auto"/>
              </w:rPr>
              <w:t>Total current restricted cash</w:t>
            </w:r>
          </w:p>
        </w:tc>
        <w:tc>
          <w:tcPr>
            <w:tcW w:w="1340" w:type="dxa"/>
            <w:vAlign w:val="bottom"/>
          </w:tcPr>
          <w:p>
            <w:pPr>
              <w:jc w:val="right"/>
              <w:ind w:right="115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39.4</w:t>
            </w:r>
          </w:p>
        </w:tc>
        <w:tc>
          <w:tcPr>
            <w:tcW w:w="98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7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Restricted Cash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Non-current restricted cash was $19.5 million and $16.4 million at June 30, 2023 and December 31, 2022, respectively,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2022.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Through various subsidiaries, we own and franchise the Applebee's Neighborhood Grill &amp; Bar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(“Applebee's”) concept in the American full-service segment within the casual dining category of the restaurant industry, the International House of Pancakes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(“IHOP”) concept in the mid-scale full-service restaurant segment within the family dining category of the restaurant industry, and the Fuzzy's Taco Shop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(“Fuzzy's”) concept in the Mexican limited-service restaurant segment within the fast-casual dining category of the restaurant industry. References herein to Applebee's</w:t>
      </w:r>
      <w:r>
        <w:rPr>
          <w:rFonts w:ascii="Arial" w:cs="Arial" w:eastAsia="Arial" w:hAnsi="Arial"/>
          <w:sz w:val="23"/>
          <w:szCs w:val="23"/>
          <w:color w:val="auto"/>
          <w:vertAlign w:val="superscript"/>
        </w:rPr>
        <w:t>®</w:t>
      </w:r>
      <w:r>
        <w:rPr>
          <w:rFonts w:ascii="Arial" w:cs="Arial" w:eastAsia="Arial" w:hAnsi="Arial"/>
          <w:sz w:val="18"/>
          <w:szCs w:val="18"/>
          <w:color w:val="auto"/>
        </w:rPr>
        <w:t>, IHOP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Fuzzy's Taco Shop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are to these three restaurant concepts, whether operated by franchisees, area licensees and their sub-licensees (collectively, “area licensees”) or by us. With almost 3,600 franchised and company-operated restaurants combined, we believe we are one of the largest full-service restaurant companies in the world.</w:t>
      </w:r>
    </w:p>
    <w:p>
      <w:pPr>
        <w:spacing w:after="0" w:line="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acquired Fuzzy's in December 2022 and the results of its operations are included herein. However, comparative key performance indicators in the following sections only include the results of operations of Applebee's and IHOP, unless otherwise noted, as prior period data is not available for Fuzzy’s.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280" w:type="dxa"/>
            <w:vAlign w:val="bottom"/>
          </w:tcPr>
          <w:p>
            <w:pPr>
              <w:spacing w:after="0"/>
              <w:rPr>
                <w:sz w:val="14"/>
                <w:szCs w:val="14"/>
                <w:color w:val="auto"/>
              </w:rPr>
            </w:pPr>
          </w:p>
        </w:tc>
        <w:tc>
          <w:tcPr>
            <w:tcW w:w="230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(Unfavorable)</w:t>
            </w: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center"/>
              <w:ind w:right="97"/>
              <w:spacing w:after="0" w:line="135"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24.4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60.6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45.7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9"/>
              </w:rPr>
              <w:t>25.3 %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9"/>
              </w:rPr>
              <w:t>26.3 %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1"/>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9"/>
              </w:rPr>
              <w:t>24.7 %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9"/>
              </w:rPr>
              <w:t>26.8 %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(6.7)%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tax rate for the three and six months ended June 30, 2023 was different than the rate of the prior comparable periods primarily due to the recognition of higher excess tax benefits from stock-based compensation and lower non-deductible executive compensation.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highlights the primary components of the decrease in our income before income taxes for the three and six months ended June 30, 2023, compared to our income before income taxes for the comparable prior period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673798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Applebee's franchise operations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IHOP franchise operations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Fuzzy's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-130175</wp:posOffset>
            </wp:positionV>
            <wp:extent cx="673798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673798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7985" cy="154305"/>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Rental and financing operations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673798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ind w:left="340" w:right="2060"/>
        <w:spacing w:after="0" w:line="273" w:lineRule="auto"/>
        <w:rPr>
          <w:sz w:val="20"/>
          <w:szCs w:val="20"/>
          <w:color w:val="auto"/>
        </w:rPr>
      </w:pPr>
      <w:r>
        <w:rPr>
          <w:rFonts w:ascii="Arial" w:cs="Arial" w:eastAsia="Arial" w:hAnsi="Arial"/>
          <w:sz w:val="18"/>
          <w:szCs w:val="18"/>
          <w:color w:val="auto"/>
        </w:rPr>
        <w:t>Increase in general and administrative ("G&amp;A") expenses Interest expense,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on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-130175</wp:posOffset>
            </wp:positionV>
            <wp:extent cx="673798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673798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 in income before income taxes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Favorable</w:t>
      </w:r>
    </w:p>
    <w:p>
      <w:pPr>
        <w:jc w:val="center"/>
        <w:ind w:right="320"/>
        <w:spacing w:after="0"/>
        <w:rPr>
          <w:sz w:val="20"/>
          <w:szCs w:val="20"/>
          <w:color w:val="auto"/>
        </w:rPr>
      </w:pPr>
      <w:r>
        <w:rPr>
          <w:rFonts w:ascii="Arial" w:cs="Arial" w:eastAsia="Arial" w:hAnsi="Arial"/>
          <w:sz w:val="16"/>
          <w:szCs w:val="16"/>
          <w:b w:val="1"/>
          <w:bCs w:val="1"/>
          <w:color w:val="auto"/>
        </w:rPr>
        <w:t>(Unfavorable) Variance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82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3"/>
              </w:rPr>
              <w:t>Three Months Ended June</w:t>
            </w:r>
          </w:p>
        </w:tc>
        <w:tc>
          <w:tcPr>
            <w:tcW w:w="184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w w:val="97"/>
              </w:rPr>
              <w:t>Six Months Ended June 30,</w:t>
            </w:r>
          </w:p>
        </w:tc>
      </w:tr>
      <w:tr>
        <w:trPr>
          <w:trHeight w:val="192"/>
        </w:trPr>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30, 2023</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2023</w:t>
            </w:r>
          </w:p>
        </w:tc>
      </w:tr>
      <w:tr>
        <w:trPr>
          <w:trHeight w:val="458"/>
        </w:trPr>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59"/>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380" w:type="dxa"/>
            <w:vAlign w:val="bottom"/>
          </w:tcPr>
          <w:p>
            <w:pPr>
              <w:spacing w:after="0"/>
              <w:rPr>
                <w:sz w:val="20"/>
                <w:szCs w:val="20"/>
                <w:color w:val="auto"/>
              </w:rPr>
            </w:pPr>
          </w:p>
        </w:tc>
        <w:tc>
          <w:tcPr>
            <w:tcW w:w="1440" w:type="dxa"/>
            <w:vAlign w:val="bottom"/>
          </w:tcPr>
          <w:p>
            <w:pPr>
              <w:jc w:val="center"/>
              <w:ind w:left="1012"/>
              <w:spacing w:after="0"/>
              <w:rPr>
                <w:sz w:val="20"/>
                <w:szCs w:val="20"/>
                <w:color w:val="auto"/>
              </w:rPr>
            </w:pPr>
            <w:r>
              <w:rPr>
                <w:rFonts w:ascii="Arial" w:cs="Arial" w:eastAsia="Arial" w:hAnsi="Arial"/>
                <w:sz w:val="18"/>
                <w:szCs w:val="18"/>
                <w:color w:val="auto"/>
                <w:w w:val="87"/>
              </w:rPr>
              <w:t>0.2</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2"/>
        </w:trPr>
        <w:tc>
          <w:tcPr>
            <w:tcW w:w="380" w:type="dxa"/>
            <w:vAlign w:val="bottom"/>
          </w:tcPr>
          <w:p>
            <w:pPr>
              <w:spacing w:after="0"/>
              <w:rPr>
                <w:sz w:val="21"/>
                <w:szCs w:val="21"/>
                <w:color w:val="auto"/>
              </w:rPr>
            </w:pPr>
          </w:p>
        </w:tc>
        <w:tc>
          <w:tcPr>
            <w:tcW w:w="1440" w:type="dxa"/>
            <w:vAlign w:val="bottom"/>
          </w:tcPr>
          <w:p>
            <w:pPr>
              <w:jc w:val="center"/>
              <w:ind w:left="1012"/>
              <w:spacing w:after="0"/>
              <w:rPr>
                <w:sz w:val="20"/>
                <w:szCs w:val="20"/>
                <w:color w:val="auto"/>
              </w:rPr>
            </w:pPr>
            <w:r>
              <w:rPr>
                <w:rFonts w:ascii="Arial" w:cs="Arial" w:eastAsia="Arial" w:hAnsi="Arial"/>
                <w:sz w:val="18"/>
                <w:szCs w:val="18"/>
                <w:color w:val="auto"/>
                <w:w w:val="87"/>
              </w:rPr>
              <w:t>3.4</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380" w:type="dxa"/>
            <w:vAlign w:val="bottom"/>
          </w:tcPr>
          <w:p>
            <w:pPr>
              <w:spacing w:after="0"/>
              <w:rPr>
                <w:sz w:val="19"/>
                <w:szCs w:val="19"/>
                <w:color w:val="auto"/>
              </w:rPr>
            </w:pPr>
          </w:p>
        </w:tc>
        <w:tc>
          <w:tcPr>
            <w:tcW w:w="1440" w:type="dxa"/>
            <w:vAlign w:val="bottom"/>
          </w:tcPr>
          <w:p>
            <w:pPr>
              <w:jc w:val="center"/>
              <w:ind w:left="972"/>
              <w:spacing w:after="0"/>
              <w:rPr>
                <w:sz w:val="20"/>
                <w:szCs w:val="20"/>
                <w:color w:val="auto"/>
              </w:rPr>
            </w:pPr>
            <w:r>
              <w:rPr>
                <w:rFonts w:ascii="Arial" w:cs="Arial" w:eastAsia="Arial" w:hAnsi="Arial"/>
                <w:sz w:val="18"/>
                <w:szCs w:val="18"/>
                <w:color w:val="auto"/>
                <w:w w:val="91"/>
              </w:rPr>
              <w:t>(1.6)</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972"/>
              <w:spacing w:after="0"/>
              <w:rPr>
                <w:sz w:val="20"/>
                <w:szCs w:val="20"/>
                <w:color w:val="auto"/>
              </w:rPr>
            </w:pPr>
            <w:r>
              <w:rPr>
                <w:rFonts w:ascii="Arial" w:cs="Arial" w:eastAsia="Arial" w:hAnsi="Arial"/>
                <w:sz w:val="18"/>
                <w:szCs w:val="18"/>
                <w:color w:val="auto"/>
                <w:w w:val="91"/>
              </w:rPr>
              <w:t>(0.4)</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380" w:type="dxa"/>
            <w:vAlign w:val="bottom"/>
          </w:tcPr>
          <w:p>
            <w:pPr>
              <w:spacing w:after="0"/>
              <w:rPr>
                <w:sz w:val="19"/>
                <w:szCs w:val="19"/>
                <w:color w:val="auto"/>
              </w:rPr>
            </w:pPr>
          </w:p>
        </w:tc>
        <w:tc>
          <w:tcPr>
            <w:tcW w:w="1440" w:type="dxa"/>
            <w:vAlign w:val="bottom"/>
          </w:tcPr>
          <w:p>
            <w:pPr>
              <w:jc w:val="center"/>
              <w:ind w:left="1012"/>
              <w:spacing w:after="0"/>
              <w:rPr>
                <w:sz w:val="20"/>
                <w:szCs w:val="20"/>
                <w:color w:val="auto"/>
              </w:rPr>
            </w:pPr>
            <w:r>
              <w:rPr>
                <w:rFonts w:ascii="Arial" w:cs="Arial" w:eastAsia="Arial" w:hAnsi="Arial"/>
                <w:sz w:val="18"/>
                <w:szCs w:val="18"/>
                <w:color w:val="auto"/>
                <w:w w:val="87"/>
              </w:rPr>
              <w:t>1.6</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380" w:type="dxa"/>
            <w:vAlign w:val="bottom"/>
          </w:tcPr>
          <w:p>
            <w:pPr>
              <w:spacing w:after="0"/>
              <w:rPr>
                <w:sz w:val="19"/>
                <w:szCs w:val="19"/>
                <w:color w:val="auto"/>
              </w:rPr>
            </w:pPr>
          </w:p>
        </w:tc>
        <w:tc>
          <w:tcPr>
            <w:tcW w:w="1440" w:type="dxa"/>
            <w:vAlign w:val="bottom"/>
          </w:tcPr>
          <w:p>
            <w:pPr>
              <w:jc w:val="center"/>
              <w:ind w:left="972"/>
              <w:spacing w:after="0"/>
              <w:rPr>
                <w:sz w:val="20"/>
                <w:szCs w:val="20"/>
                <w:color w:val="auto"/>
              </w:rPr>
            </w:pPr>
            <w:r>
              <w:rPr>
                <w:rFonts w:ascii="Arial" w:cs="Arial" w:eastAsia="Arial" w:hAnsi="Arial"/>
                <w:sz w:val="18"/>
                <w:szCs w:val="18"/>
                <w:color w:val="auto"/>
                <w:w w:val="91"/>
              </w:rPr>
              <w:t>(3.8)</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380" w:type="dxa"/>
            <w:vAlign w:val="bottom"/>
          </w:tcPr>
          <w:p>
            <w:pPr>
              <w:spacing w:after="0"/>
              <w:rPr>
                <w:sz w:val="20"/>
                <w:szCs w:val="20"/>
                <w:color w:val="auto"/>
              </w:rPr>
            </w:pPr>
          </w:p>
        </w:tc>
        <w:tc>
          <w:tcPr>
            <w:tcW w:w="1440" w:type="dxa"/>
            <w:vAlign w:val="bottom"/>
          </w:tcPr>
          <w:p>
            <w:pPr>
              <w:jc w:val="center"/>
              <w:ind w:left="972"/>
              <w:spacing w:after="0"/>
              <w:rPr>
                <w:sz w:val="20"/>
                <w:szCs w:val="20"/>
                <w:color w:val="auto"/>
              </w:rPr>
            </w:pPr>
            <w:r>
              <w:rPr>
                <w:rFonts w:ascii="Arial" w:cs="Arial" w:eastAsia="Arial" w:hAnsi="Arial"/>
                <w:sz w:val="18"/>
                <w:szCs w:val="18"/>
                <w:color w:val="auto"/>
                <w:w w:val="91"/>
              </w:rPr>
              <w:t>(2.4)</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2"/>
        </w:trPr>
        <w:tc>
          <w:tcPr>
            <w:tcW w:w="380" w:type="dxa"/>
            <w:vAlign w:val="bottom"/>
          </w:tcPr>
          <w:p>
            <w:pPr>
              <w:spacing w:after="0"/>
              <w:rPr>
                <w:sz w:val="21"/>
                <w:szCs w:val="21"/>
                <w:color w:val="auto"/>
              </w:rPr>
            </w:pPr>
          </w:p>
        </w:tc>
        <w:tc>
          <w:tcPr>
            <w:tcW w:w="1440" w:type="dxa"/>
            <w:vAlign w:val="bottom"/>
          </w:tcPr>
          <w:p>
            <w:pPr>
              <w:jc w:val="center"/>
              <w:ind w:left="972"/>
              <w:spacing w:after="0"/>
              <w:rPr>
                <w:sz w:val="20"/>
                <w:szCs w:val="20"/>
                <w:color w:val="auto"/>
              </w:rPr>
            </w:pPr>
            <w:r>
              <w:rPr>
                <w:rFonts w:ascii="Arial" w:cs="Arial" w:eastAsia="Arial" w:hAnsi="Arial"/>
                <w:sz w:val="18"/>
                <w:szCs w:val="18"/>
                <w:color w:val="auto"/>
                <w:w w:val="91"/>
              </w:rPr>
              <w:t>(2.3)</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972"/>
              <w:spacing w:after="0"/>
              <w:rPr>
                <w:sz w:val="20"/>
                <w:szCs w:val="20"/>
                <w:color w:val="auto"/>
              </w:rPr>
            </w:pPr>
            <w:r>
              <w:rPr>
                <w:rFonts w:ascii="Arial" w:cs="Arial" w:eastAsia="Arial" w:hAnsi="Arial"/>
                <w:sz w:val="18"/>
                <w:szCs w:val="18"/>
                <w:color w:val="auto"/>
                <w:w w:val="91"/>
              </w:rPr>
              <w:t>(1.3)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center"/>
              <w:ind w:left="972"/>
              <w:spacing w:after="0"/>
              <w:rPr>
                <w:sz w:val="20"/>
                <w:szCs w:val="20"/>
                <w:color w:val="auto"/>
              </w:rPr>
            </w:pPr>
            <w:r>
              <w:rPr>
                <w:rFonts w:ascii="Arial" w:cs="Arial" w:eastAsia="Arial" w:hAnsi="Arial"/>
                <w:sz w:val="18"/>
                <w:szCs w:val="18"/>
                <w:color w:val="auto"/>
                <w:w w:val="91"/>
              </w:rPr>
              <w:t>(8.1)</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sectPr>
          <w:pgSz w:w="11900" w:h="16838" w:orient="portrait"/>
          <w:cols w:equalWidth="0" w:num="2">
            <w:col w:w="6540" w:space="720"/>
            <w:col w:w="3980"/>
          </w:cols>
          <w:pgMar w:left="320" w:top="121" w:right="339" w:bottom="1440" w:gutter="0" w:footer="0" w:header="0"/>
          <w:type w:val="continuous"/>
        </w:sectPr>
      </w:pPr>
    </w:p>
    <w:p>
      <w:pPr>
        <w:jc w:val="both"/>
        <w:spacing w:after="0" w:line="258" w:lineRule="auto"/>
        <w:rPr>
          <w:sz w:val="20"/>
          <w:szCs w:val="20"/>
          <w:color w:val="auto"/>
        </w:rPr>
      </w:pPr>
      <w:r>
        <w:rPr>
          <w:rFonts w:ascii="Arial" w:cs="Arial" w:eastAsia="Arial" w:hAnsi="Arial"/>
          <w:sz w:val="18"/>
          <w:szCs w:val="18"/>
          <w:color w:val="auto"/>
        </w:rPr>
        <w:t>Income before income taxes for the three and six months ended June 30, 2023 decreased compared to the comparable prior periods primarily due to the increase in G&amp;A expenses and loss on disposition of assets primarily related to the stopping of our IHOP Flip'd initiative, partially offset by the increase in revenue from franchise operations including our recently acquired Fuzzy's Taco Shop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increases in commodity, labor and other restaurant operating costs impact us directly.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 the Three and Six Months Ended June 30, 2023 and 2022”</w:t>
      </w:r>
      <w:r>
        <w:rPr>
          <w:rFonts w:ascii="Arial" w:cs="Arial" w:eastAsia="Arial" w:hAnsi="Arial"/>
          <w:sz w:val="18"/>
          <w:szCs w:val="18"/>
          <w:color w:val="auto"/>
        </w:rPr>
        <w:t xml:space="preserve"> for additional discussion of the changes shown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 As noted above, the comparative key performance indicators in the following sections only include the results of operations of Applebee's and IHOP, unless otherwise noted, as prior period data is not available for Fuzzy’s.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and six months ended June 30,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8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9"/>
        </w:trPr>
        <w:tc>
          <w:tcPr>
            <w:tcW w:w="506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6"/>
                <w:szCs w:val="16"/>
                <w:b w:val="1"/>
                <w:bCs w:val="1"/>
                <w:color w:val="auto"/>
                <w:w w:val="90"/>
              </w:rPr>
              <w:t>June 30, 2023</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w w:val="92"/>
              </w:rPr>
              <w:t>June 30, 2023</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4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Applebee's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IHOP</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Applebee's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IHOP</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Sales percentage (decrease) increase in reported retail sales - 2023</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vs. 2022</w:t>
            </w: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w w:val="88"/>
              </w:rPr>
              <w:t>% (decrease) increase in domestic system-wide same-restaurant sales</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- 2023 vs. 2022</w:t>
            </w: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franchise restaurant (reduction) increase </w:t>
            </w:r>
            <w:r>
              <w:rPr>
                <w:rFonts w:ascii="Arial" w:cs="Arial" w:eastAsia="Arial" w:hAnsi="Arial"/>
                <w:sz w:val="10"/>
                <w:szCs w:val="10"/>
                <w:color w:val="auto"/>
              </w:rPr>
              <w:t>(1)</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5060" w:type="dxa"/>
            <w:vAlign w:val="bottom"/>
          </w:tcPr>
          <w:p>
            <w:pPr>
              <w:ind w:left="20"/>
              <w:spacing w:after="0"/>
              <w:rPr>
                <w:sz w:val="20"/>
                <w:szCs w:val="20"/>
                <w:color w:val="auto"/>
              </w:rPr>
            </w:pPr>
            <w:r>
              <w:rPr>
                <w:rFonts w:ascii="Arial" w:cs="Arial" w:eastAsia="Arial" w:hAnsi="Arial"/>
                <w:sz w:val="18"/>
                <w:szCs w:val="18"/>
                <w:color w:val="auto"/>
              </w:rPr>
              <w:t xml:space="preserve">Net (decrease) increase in total effective restaurants </w:t>
            </w:r>
            <w:r>
              <w:rPr>
                <w:rFonts w:ascii="Arial" w:cs="Arial" w:eastAsia="Arial" w:hAnsi="Arial"/>
                <w:sz w:val="23"/>
                <w:szCs w:val="23"/>
                <w:color w:val="auto"/>
                <w:vertAlign w:val="superscript"/>
              </w:rPr>
              <w:t>(2)</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ind w:right="9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ind w:left="480" w:hanging="148"/>
        <w:spacing w:after="0" w:line="207" w:lineRule="auto"/>
        <w:tabs>
          <w:tab w:leader="none" w:pos="4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Franchise and area license restaurant closings, net of openings, during the three and six months ended June 30, 2023 and 2022.</w:t>
      </w:r>
    </w:p>
    <w:p>
      <w:pPr>
        <w:ind w:left="480" w:hanging="148"/>
        <w:spacing w:after="0"/>
        <w:tabs>
          <w:tab w:leader="none" w:pos="480" w:val="left"/>
        </w:tabs>
        <w:numPr>
          <w:ilvl w:val="0"/>
          <w:numId w:val="8"/>
        </w:numPr>
        <w:rPr>
          <w:rFonts w:ascii="Arial" w:cs="Arial" w:eastAsia="Arial" w:hAnsi="Arial"/>
          <w:sz w:val="8"/>
          <w:szCs w:val="8"/>
          <w:color w:val="auto"/>
        </w:rPr>
      </w:pPr>
      <w:r>
        <w:rPr>
          <w:rFonts w:ascii="Arial" w:cs="Arial" w:eastAsia="Arial" w:hAnsi="Arial"/>
          <w:sz w:val="12"/>
          <w:szCs w:val="12"/>
          <w:color w:val="auto"/>
        </w:rPr>
        <w:t>Change in the weighted average number of franchise, area license and company-operated restaurants open during the three and six months ended June 30, 2023, compared to the weighted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average number of those open during the same periods of 2022.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48895</wp:posOffset>
            </wp:positionV>
            <wp:extent cx="5357495" cy="2357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Applebee’s system-wide domestic same-restaurant sales decreased 1.0% for the three months ended June 30, 2023 and increased 2.5% for the six months ended June 30, 2023 as compared to the same periods of 2022. The slight decrease for the three months ended June 30, 2023 was primarily due to a decrease in traffic, offset by an increase in average check. The increase for the six months ended June 30, 2023 was primarily due to an increase in average check resulting from the successful promotional food offerings and menu price increases by franchisees, offset by a decrease in traffic.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Applebee's Off-Premise Sales Data</w:t>
            </w: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5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39"/>
        </w:trPr>
        <w:tc>
          <w:tcPr>
            <w:tcW w:w="500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244.6</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281.6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508.2</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578.7</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 sales mix</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26.6 %</w:t>
            </w:r>
          </w:p>
        </w:tc>
      </w:tr>
    </w:tbl>
    <w:p>
      <w:pPr>
        <w:spacing w:after="0" w:line="181"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Primarily to-go, delivery and catering sales for comparable 2023 and 2022 restaurants.</w:t>
      </w:r>
    </w:p>
    <w:p>
      <w:pPr>
        <w:spacing w:after="0" w:line="10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data from Black Box Intelligence, a restaurant sales reporting firm (“Black Box”), Applebee's same-restaurant sales for the three and six months ended June 30, 2023 underperformed the casual dining segment of the restaurant industry (excluding Applebee's) during the same periods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5358130" cy="2357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58130" cy="23571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IHOP's system-wide domestic same-restaurant sales increased 2.1% for the three months ended June 30, 2023 and 5.3% for the six months ended June 30, 2023 as compared to the same periods of 2022. The improvement was due to an increase in average check, offset by a decrease in traffic. The increase in average check was primarily due to an increase in menu prices as well as a general increase in consumer spending due to larger party sizes and greater spending per person.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IHOP Off-Premise Sales Data</w:t>
            </w: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w w:val="97"/>
              </w:rPr>
              <w:t>Three Months Ended June 30,</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07"/>
        </w:trPr>
        <w:tc>
          <w:tcPr>
            <w:tcW w:w="5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26"/>
        </w:trPr>
        <w:tc>
          <w:tcPr>
            <w:tcW w:w="50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156.2</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317.4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317.3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 sales mix</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22.9 %</w:t>
            </w:r>
          </w:p>
        </w:tc>
      </w:tr>
    </w:tbl>
    <w:p>
      <w:pPr>
        <w:spacing w:after="0" w:line="183"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Primarily to-go, delivery and catering sales for comparable 2023 and 2022 restaurants.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data from Black Box, IHOP's increase in same-restaurant sales for the three and six months ended June 30, 2023 underperformed the family dining segment of the restaurant industry (excluding IHOP) during the same periods of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Applebee's Restaurant Data</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jc w:val="center"/>
              <w:ind w:left="691"/>
              <w:spacing w:after="0"/>
              <w:rPr>
                <w:sz w:val="20"/>
                <w:szCs w:val="20"/>
                <w:color w:val="auto"/>
              </w:rPr>
            </w:pPr>
            <w:r>
              <w:rPr>
                <w:rFonts w:ascii="Arial" w:cs="Arial" w:eastAsia="Arial" w:hAnsi="Arial"/>
                <w:sz w:val="14"/>
                <w:szCs w:val="14"/>
                <w:b w:val="1"/>
                <w:bCs w:val="1"/>
                <w:color w:val="auto"/>
                <w:w w:val="95"/>
              </w:rPr>
              <w:t>(Unaudited)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Global Effective Restaurants</w:t>
            </w:r>
            <w:r>
              <w:rPr>
                <w:rFonts w:ascii="Arial" w:cs="Arial" w:eastAsia="Arial" w:hAnsi="Arial"/>
                <w:sz w:val="23"/>
                <w:szCs w:val="23"/>
                <w:b w:val="1"/>
                <w:bCs w:val="1"/>
                <w:color w:val="auto"/>
                <w:vertAlign w:val="superscript"/>
              </w:rPr>
              <w:t>(a)</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20"/>
              <w:spacing w:after="0"/>
              <w:rPr>
                <w:sz w:val="20"/>
                <w:szCs w:val="20"/>
                <w:color w:val="auto"/>
              </w:rPr>
            </w:pPr>
            <w:r>
              <w:rPr>
                <w:rFonts w:ascii="Arial" w:cs="Arial" w:eastAsia="Arial" w:hAnsi="Arial"/>
                <w:sz w:val="18"/>
                <w:szCs w:val="18"/>
                <w:color w:val="auto"/>
              </w:rPr>
              <w:t>Franchise</w:t>
            </w:r>
          </w:p>
        </w:tc>
        <w:tc>
          <w:tcPr>
            <w:tcW w:w="24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Company</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00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1,662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1,673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1,667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1,674</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3"/>
                <w:szCs w:val="23"/>
                <w:b w:val="1"/>
                <w:bCs w:val="1"/>
                <w:color w:val="auto"/>
                <w:vertAlign w:val="superscript"/>
              </w:rPr>
              <w:t>(b)</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line="23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3"/>
                <w:szCs w:val="23"/>
                <w:b w:val="1"/>
                <w:bCs w:val="1"/>
                <w:color w:val="auto"/>
                <w:vertAlign w:val="superscript"/>
              </w:rPr>
              <w:t>(b)</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line="23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55.1</w:t>
            </w:r>
          </w:p>
        </w:tc>
        <w:tc>
          <w:tcPr>
            <w:tcW w:w="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IHOP Restaurant Data</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Global Effective Restaurants</w:t>
            </w:r>
            <w:r>
              <w:rPr>
                <w:rFonts w:ascii="Arial" w:cs="Arial" w:eastAsia="Arial" w:hAnsi="Arial"/>
                <w:sz w:val="23"/>
                <w:szCs w:val="23"/>
                <w:b w:val="1"/>
                <w:bCs w:val="1"/>
                <w:color w:val="auto"/>
                <w:vertAlign w:val="superscript"/>
              </w:rPr>
              <w:t>(a)</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Area license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1,746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3"/>
                <w:szCs w:val="23"/>
                <w:b w:val="1"/>
                <w:bCs w:val="1"/>
                <w:color w:val="auto"/>
                <w:vertAlign w:val="superscript"/>
              </w:rPr>
              <w:t>(b)</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175"/>
        </w:trPr>
        <w:tc>
          <w:tcPr>
            <w:tcW w:w="5000" w:type="dxa"/>
            <w:vAlign w:val="bottom"/>
          </w:tcPr>
          <w:p>
            <w:pPr>
              <w:ind w:left="220"/>
              <w:spacing w:after="0" w:line="176" w:lineRule="exact"/>
              <w:rPr>
                <w:sz w:val="20"/>
                <w:szCs w:val="20"/>
                <w:color w:val="auto"/>
              </w:rPr>
            </w:pPr>
            <w:r>
              <w:rPr>
                <w:rFonts w:ascii="Arial" w:cs="Arial" w:eastAsia="Arial" w:hAnsi="Arial"/>
                <w:sz w:val="18"/>
                <w:szCs w:val="18"/>
                <w:color w:val="auto"/>
                <w:w w:val="95"/>
              </w:rPr>
              <w:t>Domestic same-restaurant sales percentage change, including</w:t>
            </w: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line="243" w:lineRule="exact"/>
              <w:rPr>
                <w:sz w:val="20"/>
                <w:szCs w:val="20"/>
                <w:color w:val="auto"/>
              </w:rPr>
            </w:pPr>
            <w:r>
              <w:rPr>
                <w:rFonts w:ascii="Arial" w:cs="Arial" w:eastAsia="Arial" w:hAnsi="Arial"/>
                <w:sz w:val="18"/>
                <w:szCs w:val="18"/>
                <w:color w:val="auto"/>
              </w:rPr>
              <w:t>area license restaurants</w:t>
            </w:r>
            <w:r>
              <w:rPr>
                <w:rFonts w:ascii="Arial" w:cs="Arial" w:eastAsia="Arial" w:hAnsi="Arial"/>
                <w:sz w:val="23"/>
                <w:szCs w:val="23"/>
                <w:color w:val="auto"/>
                <w:vertAlign w:val="superscript"/>
              </w:rPr>
              <w:t>(d)</w:t>
            </w:r>
          </w:p>
        </w:tc>
        <w:tc>
          <w:tcPr>
            <w:tcW w:w="2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3"/>
                <w:szCs w:val="23"/>
                <w:b w:val="1"/>
                <w:bCs w:val="1"/>
                <w:color w:val="auto"/>
                <w:vertAlign w:val="superscript"/>
              </w:rPr>
              <w:t>(b)</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line="23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20"/>
              <w:spacing w:after="0" w:line="243"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Arial" w:cs="Arial" w:eastAsia="Arial" w:hAnsi="Arial"/>
                <w:sz w:val="18"/>
                <w:szCs w:val="18"/>
                <w:color w:val="auto"/>
              </w:rPr>
              <w:t>Average weekly unit sales (in thousands)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38.9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37.9</w:t>
            </w: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38.5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3"/>
                <w:szCs w:val="23"/>
                <w:b w:val="1"/>
                <w:bCs w:val="1"/>
                <w:color w:val="auto"/>
                <w:vertAlign w:val="superscript"/>
              </w:rPr>
              <w:t>(b)</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000" w:type="dxa"/>
            <w:vAlign w:val="bottom"/>
          </w:tcPr>
          <w:p>
            <w:pPr>
              <w:ind w:left="220"/>
              <w:spacing w:after="0"/>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hanging="332"/>
        <w:spacing w:after="0" w:line="236" w:lineRule="auto"/>
        <w:tabs>
          <w:tab w:leader="none" w:pos="309"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line="246" w:lineRule="auto"/>
        <w:rPr>
          <w:sz w:val="20"/>
          <w:szCs w:val="20"/>
          <w:color w:val="auto"/>
        </w:rPr>
      </w:pPr>
      <w:r>
        <w:rPr>
          <w:rFonts w:ascii="Arial" w:cs="Arial" w:eastAsia="Arial" w:hAnsi="Arial"/>
          <w:sz w:val="14"/>
          <w:szCs w:val="14"/>
          <w:color w:val="auto"/>
        </w:rPr>
        <w:t>franchisees and area licensees as well as those owned by the Company. Effective Restaurants do not include units operated as ghost kitchens (small kitchens with no store-front presence, used to fill off-premise orders).</w:t>
      </w:r>
    </w:p>
    <w:p>
      <w:pPr>
        <w:spacing w:after="0" w:line="1" w:lineRule="exact"/>
        <w:rPr>
          <w:sz w:val="20"/>
          <w:szCs w:val="20"/>
          <w:color w:val="auto"/>
        </w:rPr>
      </w:pPr>
    </w:p>
    <w:p>
      <w:pPr>
        <w:jc w:val="both"/>
        <w:ind w:left="340" w:hanging="332"/>
        <w:spacing w:after="0" w:line="262" w:lineRule="auto"/>
        <w:tabs>
          <w:tab w:leader="none" w:pos="341" w:val="left"/>
        </w:tabs>
        <w:numPr>
          <w:ilvl w:val="0"/>
          <w:numId w:val="12"/>
        </w:numPr>
        <w:rPr>
          <w:rFonts w:ascii="Arial" w:cs="Arial" w:eastAsia="Arial" w:hAnsi="Arial"/>
          <w:sz w:val="14"/>
          <w:szCs w:val="14"/>
          <w:color w:val="auto"/>
        </w:rPr>
      </w:pPr>
      <w:r>
        <w:rPr>
          <w:rFonts w:ascii="Arial" w:cs="Arial" w:eastAsia="Arial" w:hAnsi="Arial"/>
          <w:sz w:val="14"/>
          <w:szCs w:val="14"/>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w w:val="96"/>
              </w:rPr>
              <w:t>Three Months Ended June 30,</w:t>
            </w: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96"/>
        </w:trPr>
        <w:tc>
          <w:tcPr>
            <w:tcW w:w="5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r>
      <w:tr>
        <w:trPr>
          <w:trHeight w:val="194"/>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Reported sales (in millions)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Applebee's domestic franchise restaurant sales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1,076.7</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w:t>
            </w:r>
          </w:p>
        </w:tc>
      </w:tr>
      <w:tr>
        <w:trPr>
          <w:trHeight w:val="182"/>
        </w:trPr>
        <w:tc>
          <w:tcPr>
            <w:tcW w:w="5440" w:type="dxa"/>
            <w:vAlign w:val="bottom"/>
          </w:tcPr>
          <w:p>
            <w:pPr>
              <w:spacing w:after="0"/>
              <w:rPr>
                <w:sz w:val="20"/>
                <w:szCs w:val="20"/>
                <w:color w:val="auto"/>
              </w:rPr>
            </w:pPr>
            <w:r>
              <w:rPr>
                <w:rFonts w:ascii="Arial" w:cs="Arial" w:eastAsia="Arial" w:hAnsi="Arial"/>
                <w:sz w:val="14"/>
                <w:szCs w:val="14"/>
                <w:color w:val="auto"/>
              </w:rPr>
              <w:t>Applebee's company-operated restaurants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39.5</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IHOP franchise restaurant sales</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783.8</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1,624.9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1,503.5</w:t>
            </w:r>
          </w:p>
        </w:tc>
      </w:tr>
      <w:tr>
        <w:trPr>
          <w:trHeight w:val="186"/>
        </w:trPr>
        <w:tc>
          <w:tcPr>
            <w:tcW w:w="5440" w:type="dxa"/>
            <w:vAlign w:val="bottom"/>
          </w:tcPr>
          <w:p>
            <w:pPr>
              <w:spacing w:after="0"/>
              <w:rPr>
                <w:sz w:val="20"/>
                <w:szCs w:val="20"/>
                <w:color w:val="auto"/>
              </w:rPr>
            </w:pPr>
            <w:r>
              <w:rPr>
                <w:rFonts w:ascii="Arial" w:cs="Arial" w:eastAsia="Arial" w:hAnsi="Arial"/>
                <w:sz w:val="14"/>
                <w:szCs w:val="14"/>
                <w:color w:val="auto"/>
              </w:rPr>
              <w:t>IHOP area license restaurant sales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r>
      <w:tr>
        <w:trPr>
          <w:trHeight w:val="219"/>
        </w:trPr>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1,975.3</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40" w:hanging="332"/>
        <w:spacing w:after="0" w:line="256" w:lineRule="auto"/>
        <w:tabs>
          <w:tab w:leader="none" w:pos="312" w:val="left"/>
        </w:tabs>
        <w:numPr>
          <w:ilvl w:val="0"/>
          <w:numId w:val="13"/>
        </w:numPr>
        <w:rPr>
          <w:rFonts w:ascii="Arial" w:cs="Arial" w:eastAsia="Arial" w:hAnsi="Arial"/>
          <w:sz w:val="14"/>
          <w:szCs w:val="14"/>
          <w:color w:val="auto"/>
        </w:rPr>
      </w:pPr>
      <w:r>
        <w:rPr>
          <w:rFonts w:ascii="Arial" w:cs="Arial" w:eastAsia="Arial" w:hAnsi="Arial"/>
          <w:sz w:val="14"/>
          <w:szCs w:val="14"/>
          <w:color w:val="auto"/>
        </w:rPr>
        <w:t>“Sales percentage change” reflects, for each category of restaurants, the percentage change in sales in any given fiscal period compared to the prior fiscal period for all restaurants in that category.</w:t>
      </w:r>
    </w:p>
    <w:p>
      <w:pPr>
        <w:jc w:val="both"/>
        <w:ind w:left="340" w:hanging="332"/>
        <w:spacing w:after="0" w:line="272" w:lineRule="auto"/>
        <w:tabs>
          <w:tab w:leader="none" w:pos="3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514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Restaurant Development Activity</w:t>
            </w:r>
          </w:p>
        </w:tc>
        <w:tc>
          <w:tcPr>
            <w:tcW w:w="3220" w:type="dxa"/>
            <w:vAlign w:val="bottom"/>
            <w:gridSpan w:val="3"/>
          </w:tcPr>
          <w:p>
            <w:pPr>
              <w:jc w:val="right"/>
              <w:ind w:right="759"/>
              <w:spacing w:after="0"/>
              <w:rPr>
                <w:sz w:val="20"/>
                <w:szCs w:val="20"/>
                <w:color w:val="auto"/>
              </w:rPr>
            </w:pPr>
            <w:r>
              <w:rPr>
                <w:rFonts w:ascii="Arial" w:cs="Arial" w:eastAsia="Arial" w:hAnsi="Arial"/>
                <w:sz w:val="15"/>
                <w:szCs w:val="15"/>
                <w:b w:val="1"/>
                <w:bCs w:val="1"/>
                <w:color w:val="auto"/>
              </w:rPr>
              <w:t>Three Months Ended June 30,</w:t>
            </w:r>
          </w:p>
        </w:tc>
        <w:tc>
          <w:tcPr>
            <w:tcW w:w="2740" w:type="dxa"/>
            <w:vAlign w:val="bottom"/>
            <w:gridSpan w:val="4"/>
          </w:tcPr>
          <w:p>
            <w:pPr>
              <w:ind w:left="40"/>
              <w:spacing w:after="0"/>
              <w:rPr>
                <w:sz w:val="20"/>
                <w:szCs w:val="20"/>
                <w:color w:val="auto"/>
              </w:rPr>
            </w:pPr>
            <w:r>
              <w:rPr>
                <w:rFonts w:ascii="Arial" w:cs="Arial" w:eastAsia="Arial" w:hAnsi="Arial"/>
                <w:sz w:val="15"/>
                <w:szCs w:val="15"/>
                <w:b w:val="1"/>
                <w:bCs w:val="1"/>
                <w:color w:val="auto"/>
              </w:rPr>
              <w:t>Six Months Ended June 30,</w:t>
            </w:r>
          </w:p>
        </w:tc>
      </w:tr>
      <w:tr>
        <w:trPr>
          <w:trHeight w:val="204"/>
        </w:trPr>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900" w:type="dxa"/>
            <w:vAlign w:val="bottom"/>
            <w:tcBorders>
              <w:top w:val="single" w:sz="8" w:color="auto"/>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top w:val="single" w:sz="8" w:color="auto"/>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7"/>
                <w:szCs w:val="17"/>
                <w:color w:val="auto"/>
              </w:rPr>
            </w:pPr>
          </w:p>
        </w:tc>
      </w:tr>
      <w:tr>
        <w:trPr>
          <w:trHeight w:val="175"/>
        </w:trPr>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w w:val="87"/>
              </w:rPr>
              <w:t>Applebee's</w:t>
            </w:r>
          </w:p>
        </w:tc>
        <w:tc>
          <w:tcPr>
            <w:tcW w:w="438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(Unaudited)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6"/>
                <w:szCs w:val="16"/>
                <w:b w:val="1"/>
                <w:bCs w:val="1"/>
                <w:color w:val="auto"/>
              </w:rPr>
              <w:t>Summary - beginning of period:</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90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1,606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4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6"/>
                <w:szCs w:val="16"/>
                <w:color w:val="auto"/>
              </w:rPr>
              <w:t>Company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69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440" w:type="dxa"/>
            <w:vAlign w:val="bottom"/>
          </w:tcPr>
          <w:p>
            <w:pPr>
              <w:spacing w:after="0"/>
              <w:rPr>
                <w:sz w:val="18"/>
                <w:szCs w:val="18"/>
                <w:color w:val="auto"/>
              </w:rPr>
            </w:pPr>
          </w:p>
        </w:tc>
      </w:tr>
      <w:tr>
        <w:trPr>
          <w:trHeight w:val="230"/>
        </w:trPr>
        <w:tc>
          <w:tcPr>
            <w:tcW w:w="140" w:type="dxa"/>
            <w:vAlign w:val="bottom"/>
            <w:tcBorders>
              <w:right w:val="single" w:sz="8" w:color="CCEEFF"/>
            </w:tcBorders>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Beginning of period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1,673</w:t>
            </w:r>
          </w:p>
        </w:tc>
        <w:tc>
          <w:tcPr>
            <w:tcW w:w="190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1,675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1,680</w:t>
            </w:r>
          </w:p>
        </w:tc>
        <w:tc>
          <w:tcPr>
            <w:tcW w:w="4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Franchise restaurants opened: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3"/>
        </w:trPr>
        <w:tc>
          <w:tcPr>
            <w:tcW w:w="14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Arial" w:cs="Arial" w:eastAsia="Arial" w:hAnsi="Arial"/>
                <w:sz w:val="16"/>
                <w:szCs w:val="16"/>
                <w:color w:val="auto"/>
              </w:rPr>
              <w:t>Domestic</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900" w:type="dxa"/>
            <w:vAlign w:val="bottom"/>
            <w:gridSpan w:val="2"/>
          </w:tcPr>
          <w:p>
            <w:pPr>
              <w:jc w:val="right"/>
              <w:ind w:right="439"/>
              <w:spacing w:after="0"/>
              <w:rPr>
                <w:sz w:val="20"/>
                <w:szCs w:val="20"/>
                <w:color w:val="auto"/>
              </w:rPr>
            </w:pPr>
            <w:r>
              <w:rPr>
                <w:rFonts w:ascii="Arial" w:cs="Arial" w:eastAsia="Arial" w:hAnsi="Arial"/>
                <w:sz w:val="16"/>
                <w:szCs w:val="16"/>
                <w:color w:val="auto"/>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r>
      <w:tr>
        <w:trPr>
          <w:trHeight w:val="219"/>
        </w:trPr>
        <w:tc>
          <w:tcPr>
            <w:tcW w:w="140" w:type="dxa"/>
            <w:vAlign w:val="bottom"/>
            <w:tcBorders>
              <w:right w:val="single" w:sz="8" w:color="CCEEFF"/>
            </w:tcBorders>
          </w:tcPr>
          <w:p>
            <w:pPr>
              <w:spacing w:after="0"/>
              <w:rPr>
                <w:sz w:val="19"/>
                <w:szCs w:val="19"/>
                <w:color w:val="auto"/>
              </w:rPr>
            </w:pPr>
          </w:p>
        </w:tc>
        <w:tc>
          <w:tcPr>
            <w:tcW w:w="51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International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r>
      <w:tr>
        <w:trPr>
          <w:trHeight w:val="210"/>
        </w:trPr>
        <w:tc>
          <w:tcPr>
            <w:tcW w:w="140" w:type="dxa"/>
            <w:vAlign w:val="bottom"/>
          </w:tcPr>
          <w:p>
            <w:pPr>
              <w:spacing w:after="0"/>
              <w:rPr>
                <w:sz w:val="18"/>
                <w:szCs w:val="18"/>
                <w:color w:val="auto"/>
              </w:rPr>
            </w:pPr>
          </w:p>
        </w:tc>
        <w:tc>
          <w:tcPr>
            <w:tcW w:w="5140" w:type="dxa"/>
            <w:vAlign w:val="bottom"/>
            <w:gridSpan w:val="3"/>
          </w:tcPr>
          <w:p>
            <w:pPr>
              <w:ind w:left="320"/>
              <w:spacing w:after="0"/>
              <w:rPr>
                <w:sz w:val="20"/>
                <w:szCs w:val="20"/>
                <w:color w:val="auto"/>
              </w:rPr>
            </w:pPr>
            <w:r>
              <w:rPr>
                <w:rFonts w:ascii="Arial" w:cs="Arial" w:eastAsia="Arial" w:hAnsi="Arial"/>
                <w:sz w:val="16"/>
                <w:szCs w:val="16"/>
                <w:color w:val="auto"/>
              </w:rPr>
              <w:t>Total franchise restaurants opened</w:t>
            </w: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900" w:type="dxa"/>
            <w:vAlign w:val="bottom"/>
            <w:gridSpan w:val="2"/>
          </w:tcPr>
          <w:p>
            <w:pPr>
              <w:jc w:val="right"/>
              <w:ind w:right="439"/>
              <w:spacing w:after="0"/>
              <w:rPr>
                <w:sz w:val="20"/>
                <w:szCs w:val="20"/>
                <w:color w:val="auto"/>
              </w:rPr>
            </w:pPr>
            <w:r>
              <w:rPr>
                <w:rFonts w:ascii="Arial" w:cs="Arial" w:eastAsia="Arial" w:hAnsi="Arial"/>
                <w:sz w:val="16"/>
                <w:szCs w:val="16"/>
                <w:color w:val="auto"/>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Franchise restaurants permanently closed:</w:t>
            </w: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3"/>
        </w:trPr>
        <w:tc>
          <w:tcPr>
            <w:tcW w:w="14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Arial" w:cs="Arial" w:eastAsia="Arial" w:hAnsi="Arial"/>
                <w:sz w:val="16"/>
                <w:szCs w:val="16"/>
                <w:color w:val="auto"/>
              </w:rPr>
              <w:t>Domestic</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900" w:type="dxa"/>
            <w:vAlign w:val="bottom"/>
            <w:gridSpan w:val="2"/>
          </w:tcPr>
          <w:p>
            <w:pPr>
              <w:jc w:val="right"/>
              <w:ind w:right="399"/>
              <w:spacing w:after="0"/>
              <w:rPr>
                <w:sz w:val="20"/>
                <w:szCs w:val="20"/>
                <w:color w:val="auto"/>
              </w:rPr>
            </w:pPr>
            <w:r>
              <w:rPr>
                <w:rFonts w:ascii="Arial" w:cs="Arial" w:eastAsia="Arial" w:hAnsi="Arial"/>
                <w:sz w:val="16"/>
                <w:szCs w:val="16"/>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8"/>
                <w:szCs w:val="18"/>
                <w:color w:val="auto"/>
              </w:rPr>
            </w:pPr>
          </w:p>
        </w:tc>
      </w:tr>
      <w:tr>
        <w:trPr>
          <w:trHeight w:val="219"/>
        </w:trPr>
        <w:tc>
          <w:tcPr>
            <w:tcW w:w="140" w:type="dxa"/>
            <w:vAlign w:val="bottom"/>
            <w:tcBorders>
              <w:right w:val="single" w:sz="8" w:color="CCEEFF"/>
            </w:tcBorders>
          </w:tcPr>
          <w:p>
            <w:pPr>
              <w:spacing w:after="0"/>
              <w:rPr>
                <w:sz w:val="19"/>
                <w:szCs w:val="19"/>
                <w:color w:val="auto"/>
              </w:rPr>
            </w:pPr>
          </w:p>
        </w:tc>
        <w:tc>
          <w:tcPr>
            <w:tcW w:w="51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International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9"/>
                <w:szCs w:val="19"/>
                <w:color w:val="auto"/>
              </w:rPr>
            </w:pPr>
          </w:p>
        </w:tc>
      </w:tr>
      <w:tr>
        <w:trPr>
          <w:trHeight w:val="210"/>
        </w:trPr>
        <w:tc>
          <w:tcPr>
            <w:tcW w:w="140" w:type="dxa"/>
            <w:vAlign w:val="bottom"/>
          </w:tcPr>
          <w:p>
            <w:pPr>
              <w:spacing w:after="0"/>
              <w:rPr>
                <w:sz w:val="18"/>
                <w:szCs w:val="18"/>
                <w:color w:val="auto"/>
              </w:rPr>
            </w:pPr>
          </w:p>
        </w:tc>
        <w:tc>
          <w:tcPr>
            <w:tcW w:w="5140" w:type="dxa"/>
            <w:vAlign w:val="bottom"/>
            <w:gridSpan w:val="3"/>
          </w:tcPr>
          <w:p>
            <w:pPr>
              <w:ind w:left="320"/>
              <w:spacing w:after="0"/>
              <w:rPr>
                <w:sz w:val="20"/>
                <w:szCs w:val="20"/>
                <w:color w:val="auto"/>
              </w:rPr>
            </w:pPr>
            <w:r>
              <w:rPr>
                <w:rFonts w:ascii="Arial" w:cs="Arial" w:eastAsia="Arial" w:hAnsi="Arial"/>
                <w:sz w:val="16"/>
                <w:szCs w:val="16"/>
                <w:color w:val="auto"/>
              </w:rPr>
              <w:t>Total franchise restaurants permanently closed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8"/>
                <w:szCs w:val="18"/>
                <w:color w:val="auto"/>
              </w:rPr>
            </w:pPr>
          </w:p>
        </w:tc>
      </w:tr>
      <w:tr>
        <w:trPr>
          <w:trHeight w:val="203"/>
        </w:trPr>
        <w:tc>
          <w:tcPr>
            <w:tcW w:w="140" w:type="dxa"/>
            <w:vAlign w:val="bottom"/>
            <w:tcBorders>
              <w:right w:val="single" w:sz="8" w:color="CCEEFF"/>
            </w:tcBorders>
          </w:tcPr>
          <w:p>
            <w:pPr>
              <w:spacing w:after="0"/>
              <w:rPr>
                <w:sz w:val="17"/>
                <w:szCs w:val="17"/>
                <w:color w:val="auto"/>
              </w:rPr>
            </w:pPr>
          </w:p>
        </w:tc>
        <w:tc>
          <w:tcPr>
            <w:tcW w:w="514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franchise restaurant reduction</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(12)</w:t>
            </w:r>
          </w:p>
        </w:tc>
        <w:tc>
          <w:tcPr>
            <w:tcW w:w="1900" w:type="dxa"/>
            <w:vAlign w:val="bottom"/>
            <w:gridSpan w:val="2"/>
            <w:shd w:val="clear" w:color="auto" w:fill="CCEEFF"/>
          </w:tcPr>
          <w:p>
            <w:pPr>
              <w:jc w:val="right"/>
              <w:ind w:right="399"/>
              <w:spacing w:after="0" w:line="183" w:lineRule="exact"/>
              <w:rPr>
                <w:sz w:val="20"/>
                <w:szCs w:val="20"/>
                <w:color w:val="auto"/>
              </w:rPr>
            </w:pPr>
            <w:r>
              <w:rPr>
                <w:rFonts w:ascii="Arial" w:cs="Arial" w:eastAsia="Arial" w:hAnsi="Arial"/>
                <w:sz w:val="16"/>
                <w:szCs w:val="16"/>
                <w:b w:val="1"/>
                <w:bCs w:val="1"/>
                <w:color w:val="auto"/>
              </w:rPr>
              <w:t>(2)</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(17)</w:t>
            </w:r>
          </w:p>
        </w:tc>
        <w:tc>
          <w:tcPr>
            <w:tcW w:w="14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w:t>
            </w:r>
          </w:p>
        </w:tc>
        <w:tc>
          <w:tcPr>
            <w:tcW w:w="4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Summary - end of period: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3"/>
        </w:trPr>
        <w:tc>
          <w:tcPr>
            <w:tcW w:w="14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6"/>
                <w:szCs w:val="16"/>
                <w:color w:val="auto"/>
              </w:rPr>
              <w:t>Franchise</w:t>
            </w:r>
          </w:p>
        </w:tc>
        <w:tc>
          <w:tcPr>
            <w:tcW w:w="1320" w:type="dxa"/>
            <w:vAlign w:val="bottom"/>
          </w:tcPr>
          <w:p>
            <w:pPr>
              <w:jc w:val="right"/>
              <w:spacing w:after="0"/>
              <w:rPr>
                <w:sz w:val="20"/>
                <w:szCs w:val="20"/>
                <w:color w:val="auto"/>
              </w:rPr>
            </w:pPr>
            <w:r>
              <w:rPr>
                <w:rFonts w:ascii="Arial" w:cs="Arial" w:eastAsia="Arial" w:hAnsi="Arial"/>
                <w:sz w:val="16"/>
                <w:szCs w:val="16"/>
                <w:color w:val="auto"/>
              </w:rPr>
              <w:t>1,661</w:t>
            </w:r>
          </w:p>
        </w:tc>
        <w:tc>
          <w:tcPr>
            <w:tcW w:w="1900" w:type="dxa"/>
            <w:vAlign w:val="bottom"/>
            <w:gridSpan w:val="2"/>
          </w:tcPr>
          <w:p>
            <w:pPr>
              <w:jc w:val="right"/>
              <w:ind w:right="439"/>
              <w:spacing w:after="0"/>
              <w:rPr>
                <w:sz w:val="20"/>
                <w:szCs w:val="20"/>
                <w:color w:val="auto"/>
              </w:rPr>
            </w:pPr>
            <w:r>
              <w:rPr>
                <w:rFonts w:ascii="Arial" w:cs="Arial" w:eastAsia="Arial" w:hAnsi="Arial"/>
                <w:sz w:val="16"/>
                <w:szCs w:val="16"/>
                <w:color w:val="auto"/>
              </w:rPr>
              <w:t>1,604</w:t>
            </w:r>
          </w:p>
        </w:tc>
        <w:tc>
          <w:tcPr>
            <w:tcW w:w="860" w:type="dxa"/>
            <w:vAlign w:val="bottom"/>
          </w:tcPr>
          <w:p>
            <w:pPr>
              <w:jc w:val="right"/>
              <w:spacing w:after="0"/>
              <w:rPr>
                <w:sz w:val="20"/>
                <w:szCs w:val="20"/>
                <w:color w:val="auto"/>
              </w:rPr>
            </w:pPr>
            <w:r>
              <w:rPr>
                <w:rFonts w:ascii="Arial" w:cs="Arial" w:eastAsia="Arial" w:hAnsi="Arial"/>
                <w:sz w:val="16"/>
                <w:szCs w:val="16"/>
                <w:color w:val="auto"/>
              </w:rPr>
              <w:t>1,661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1,604</w:t>
            </w:r>
          </w:p>
        </w:tc>
        <w:tc>
          <w:tcPr>
            <w:tcW w:w="440" w:type="dxa"/>
            <w:vAlign w:val="bottom"/>
          </w:tcPr>
          <w:p>
            <w:pPr>
              <w:spacing w:after="0"/>
              <w:rPr>
                <w:sz w:val="18"/>
                <w:szCs w:val="18"/>
                <w:color w:val="auto"/>
              </w:rPr>
            </w:pPr>
          </w:p>
        </w:tc>
      </w:tr>
      <w:tr>
        <w:trPr>
          <w:trHeight w:val="219"/>
        </w:trPr>
        <w:tc>
          <w:tcPr>
            <w:tcW w:w="140" w:type="dxa"/>
            <w:vAlign w:val="bottom"/>
            <w:tcBorders>
              <w:right w:val="single" w:sz="8" w:color="CCEEFF"/>
            </w:tcBorders>
          </w:tcPr>
          <w:p>
            <w:pPr>
              <w:spacing w:after="0"/>
              <w:rPr>
                <w:sz w:val="19"/>
                <w:szCs w:val="19"/>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Company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69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440" w:type="dxa"/>
            <w:vAlign w:val="bottom"/>
          </w:tcPr>
          <w:p>
            <w:pPr>
              <w:spacing w:after="0"/>
              <w:rPr>
                <w:sz w:val="19"/>
                <w:szCs w:val="19"/>
                <w:color w:val="auto"/>
              </w:rPr>
            </w:pPr>
          </w:p>
        </w:tc>
      </w:tr>
      <w:tr>
        <w:trPr>
          <w:trHeight w:val="210"/>
        </w:trPr>
        <w:tc>
          <w:tcPr>
            <w:tcW w:w="14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6"/>
                <w:szCs w:val="16"/>
                <w:b w:val="1"/>
                <w:bCs w:val="1"/>
                <w:color w:val="auto"/>
              </w:rPr>
              <w:t>Total Applebee's restaurants, end of period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1,661</w:t>
            </w:r>
          </w:p>
        </w:tc>
        <w:tc>
          <w:tcPr>
            <w:tcW w:w="19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1,673</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1,661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1,673</w:t>
            </w:r>
          </w:p>
        </w:tc>
        <w:tc>
          <w:tcPr>
            <w:tcW w:w="44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Domestic</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90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1,574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44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6"/>
                <w:szCs w:val="16"/>
                <w:color w:val="auto"/>
              </w:rPr>
              <w:t>International</w:t>
            </w: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1900" w:type="dxa"/>
            <w:vAlign w:val="bottom"/>
            <w:gridSpan w:val="2"/>
          </w:tcPr>
          <w:p>
            <w:pPr>
              <w:jc w:val="right"/>
              <w:ind w:right="439"/>
              <w:spacing w:after="0"/>
              <w:rPr>
                <w:sz w:val="20"/>
                <w:szCs w:val="20"/>
                <w:color w:val="auto"/>
              </w:rPr>
            </w:pPr>
            <w:r>
              <w:rPr>
                <w:rFonts w:ascii="Arial" w:cs="Arial" w:eastAsia="Arial" w:hAnsi="Arial"/>
                <w:sz w:val="16"/>
                <w:szCs w:val="16"/>
                <w:color w:val="auto"/>
              </w:rPr>
              <w:t>99</w:t>
            </w: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440" w:type="dxa"/>
            <w:vAlign w:val="bottom"/>
          </w:tcPr>
          <w:p>
            <w:pPr>
              <w:spacing w:after="0"/>
              <w:rPr>
                <w:sz w:val="20"/>
                <w:szCs w:val="20"/>
                <w:color w:val="auto"/>
              </w:rPr>
            </w:pPr>
          </w:p>
        </w:tc>
      </w:tr>
      <w:tr>
        <w:trPr>
          <w:trHeight w:val="904"/>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20" w:type="dxa"/>
            <w:vAlign w:val="bottom"/>
          </w:tcPr>
          <w:p>
            <w:pPr>
              <w:jc w:val="right"/>
              <w:ind w:right="799"/>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1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Restaurant Development Activity (continued)</w:t>
            </w:r>
          </w:p>
        </w:tc>
        <w:tc>
          <w:tcPr>
            <w:tcW w:w="30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5"/>
                <w:szCs w:val="15"/>
                <w:b w:val="1"/>
                <w:bCs w:val="1"/>
                <w:color w:val="auto"/>
              </w:rPr>
              <w:t>Three Months Ended June 30,</w:t>
            </w:r>
          </w:p>
        </w:tc>
        <w:tc>
          <w:tcPr>
            <w:tcW w:w="25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6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4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line="161" w:lineRule="exact"/>
              <w:rPr>
                <w:sz w:val="20"/>
                <w:szCs w:val="20"/>
                <w:color w:val="auto"/>
              </w:rPr>
            </w:pPr>
            <w:r>
              <w:rPr>
                <w:rFonts w:ascii="Arial" w:cs="Arial" w:eastAsia="Arial" w:hAnsi="Arial"/>
                <w:sz w:val="16"/>
                <w:szCs w:val="16"/>
                <w:b w:val="1"/>
                <w:bCs w:val="1"/>
                <w:color w:val="auto"/>
              </w:rPr>
              <w:t>IHOP</w:t>
            </w:r>
          </w:p>
        </w:tc>
        <w:tc>
          <w:tcPr>
            <w:tcW w:w="47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Summary - beginning of period:</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1,600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Area license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7"/>
                <w:szCs w:val="17"/>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IHOP restaurants, beginning of period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1,790</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1,756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Franchise/area license restaurants opened: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Domestic franchise</w:t>
            </w: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8</w:t>
            </w: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Domestic area license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International franchise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franchise/area license restaurants opened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Franchise/area license restaurants permanently closed:</w:t>
            </w: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Domestic 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Domestic area license</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International franchise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6"/>
                <w:szCs w:val="16"/>
                <w:color w:val="auto"/>
              </w:rPr>
              <w:t>Total franchise/area license restaurants permanently closed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franchise/area license restaurant 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Refranchised by the Company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gridSpan w:val="2"/>
            <w:vMerge w:val="continue"/>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Franchise restaurants reacquired by the Company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Net increase in franchise/area license restaurants</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8</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Summary - end of period: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1,608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Area license</w:t>
            </w:r>
          </w:p>
        </w:tc>
        <w:tc>
          <w:tcPr>
            <w:tcW w:w="1320" w:type="dxa"/>
            <w:vAlign w:val="bottom"/>
          </w:tcPr>
          <w:p>
            <w:pPr>
              <w:jc w:val="right"/>
              <w:spacing w:after="0"/>
              <w:rPr>
                <w:sz w:val="20"/>
                <w:szCs w:val="20"/>
                <w:color w:val="auto"/>
              </w:rPr>
            </w:pPr>
            <w:r>
              <w:rPr>
                <w:rFonts w:ascii="Arial" w:cs="Arial" w:eastAsia="Arial" w:hAnsi="Arial"/>
                <w:sz w:val="16"/>
                <w:szCs w:val="16"/>
                <w:color w:val="auto"/>
              </w:rPr>
              <w:t>156</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156</w:t>
            </w: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Company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Total IHOP restaurants, end of period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1,790</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1,764</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1,790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Domestic</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6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1,665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1320" w:type="dxa"/>
            <w:vAlign w:val="bottom"/>
          </w:tcPr>
          <w:p>
            <w:pPr>
              <w:jc w:val="right"/>
              <w:spacing w:after="0"/>
              <w:rPr>
                <w:sz w:val="20"/>
                <w:szCs w:val="20"/>
                <w:color w:val="auto"/>
              </w:rPr>
            </w:pPr>
            <w:r>
              <w:rPr>
                <w:rFonts w:ascii="Arial" w:cs="Arial" w:eastAsia="Arial" w:hAnsi="Arial"/>
                <w:sz w:val="16"/>
                <w:szCs w:val="16"/>
                <w:color w:val="auto"/>
              </w:rPr>
              <w:t>109</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99</w:t>
            </w:r>
          </w:p>
        </w:tc>
        <w:tc>
          <w:tcPr>
            <w:tcW w:w="1080" w:type="dxa"/>
            <w:vAlign w:val="bottom"/>
          </w:tcPr>
          <w:p>
            <w:pPr>
              <w:jc w:val="right"/>
              <w:spacing w:after="0"/>
              <w:rPr>
                <w:sz w:val="20"/>
                <w:szCs w:val="20"/>
                <w:color w:val="auto"/>
              </w:rPr>
            </w:pPr>
            <w:r>
              <w:rPr>
                <w:rFonts w:ascii="Arial" w:cs="Arial" w:eastAsia="Arial" w:hAnsi="Arial"/>
                <w:sz w:val="16"/>
                <w:szCs w:val="16"/>
                <w:color w:val="auto"/>
              </w:rPr>
              <w:t>109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47 franchise groups operated 137 Fuzzy's restaurants in 18 states within the United States and we had one company-owned restaurant in Texas, totaling 138 restaurants. Fuzzy's average weekly sales for the three and six months ended June 30, 2023 were $33,685 and $32,136, respectively.</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restaurant counts and activity presented above do not include one domestic Applebee's ghost kitchen (small kitchens with no store-front presence, used to fill off-premise orders), 12 international Applebee's ghost kitchens and 41 international IHOP ghost kitchens.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Closures of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Six Months Ended June 30, 2023 and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6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200" w:type="dxa"/>
            <w:vAlign w:val="bottom"/>
          </w:tcPr>
          <w:p>
            <w:pPr>
              <w:spacing w:after="0"/>
              <w:rPr>
                <w:sz w:val="18"/>
                <w:szCs w:val="18"/>
                <w:color w:val="auto"/>
              </w:rPr>
            </w:pPr>
          </w:p>
        </w:tc>
        <w:tc>
          <w:tcPr>
            <w:tcW w:w="252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Favorable</w:t>
            </w:r>
          </w:p>
        </w:tc>
        <w:tc>
          <w:tcPr>
            <w:tcW w:w="360" w:type="dxa"/>
            <w:vAlign w:val="bottom"/>
          </w:tcPr>
          <w:p>
            <w:pPr>
              <w:spacing w:after="0"/>
              <w:rPr>
                <w:sz w:val="18"/>
                <w:szCs w:val="18"/>
                <w:color w:val="auto"/>
              </w:rPr>
            </w:pPr>
          </w:p>
        </w:tc>
        <w:tc>
          <w:tcPr>
            <w:tcW w:w="23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2"/>
              </w:rPr>
              <w:t>Six Months Ended 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6"/>
              <w:spacing w:after="0"/>
              <w:rPr>
                <w:sz w:val="20"/>
                <w:szCs w:val="20"/>
                <w:color w:val="auto"/>
              </w:rPr>
            </w:pPr>
            <w:r>
              <w:rPr>
                <w:rFonts w:ascii="Arial" w:cs="Arial" w:eastAsia="Arial" w:hAnsi="Arial"/>
                <w:sz w:val="16"/>
                <w:szCs w:val="16"/>
                <w:b w:val="1"/>
                <w:bCs w:val="1"/>
                <w:color w:val="auto"/>
                <w:w w:val="95"/>
              </w:rPr>
              <w:t>Favorable</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(Unfavorable)</w:t>
            </w: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restart"/>
          </w:tcPr>
          <w:p>
            <w:pPr>
              <w:jc w:val="center"/>
              <w:ind w:right="56"/>
              <w:spacing w:after="0" w:line="108" w:lineRule="exact"/>
              <w:rPr>
                <w:sz w:val="20"/>
                <w:szCs w:val="20"/>
                <w:color w:val="auto"/>
              </w:rPr>
            </w:pPr>
            <w:r>
              <w:rPr>
                <w:rFonts w:ascii="Arial" w:cs="Arial" w:eastAsia="Arial" w:hAnsi="Arial"/>
                <w:sz w:val="12"/>
                <w:szCs w:val="12"/>
                <w:b w:val="1"/>
                <w:bCs w:val="1"/>
                <w:color w:val="auto"/>
              </w:rPr>
              <w:t>(Unfavorable)</w:t>
            </w:r>
          </w:p>
        </w:tc>
        <w:tc>
          <w:tcPr>
            <w:tcW w:w="0" w:type="dxa"/>
            <w:vAlign w:val="bottom"/>
          </w:tcPr>
          <w:p>
            <w:pPr>
              <w:spacing w:after="0"/>
              <w:rPr>
                <w:sz w:val="1"/>
                <w:szCs w:val="1"/>
                <w:color w:val="auto"/>
              </w:rPr>
            </w:pPr>
          </w:p>
        </w:tc>
      </w:tr>
      <w:tr>
        <w:trPr>
          <w:trHeight w:val="34"/>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Variance</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Variance</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177.9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357.9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20"/>
                <w:szCs w:val="20"/>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operations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Financing operations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208.4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422.2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tcPr>
          <w:p>
            <w:pPr>
              <w:ind w:left="20"/>
              <w:spacing w:after="0" w:line="203" w:lineRule="exact"/>
              <w:rPr>
                <w:sz w:val="20"/>
                <w:szCs w:val="20"/>
                <w:color w:val="auto"/>
              </w:rPr>
            </w:pPr>
            <w:r>
              <w:rPr>
                <w:rFonts w:ascii="Arial" w:cs="Arial" w:eastAsia="Arial" w:hAnsi="Arial"/>
                <w:sz w:val="18"/>
                <w:szCs w:val="18"/>
                <w:color w:val="auto"/>
              </w:rPr>
              <w:t>Change vs. prior period</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 for the three and six months ended June 30, 2023 decreased compared with the same periods of the prior year, primarily due to the decrease in company restaurant operations as a result of refranchising of Applebee's company-operated restaurants, partially offset by increases in Applebee's and IHOP franchise operations revenue and the inclusion of Fuzzy's franchise operations revenue. Smaller changes in rental and financing revenues are discussed in the sections that follow.</w:t>
      </w:r>
    </w:p>
    <w:p>
      <w:pPr>
        <w:spacing w:after="0" w:line="200" w:lineRule="exact"/>
        <w:rPr>
          <w:sz w:val="20"/>
          <w:szCs w:val="20"/>
          <w:color w:val="auto"/>
        </w:rPr>
      </w:pP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Gross Profit</w:t>
            </w:r>
          </w:p>
        </w:tc>
        <w:tc>
          <w:tcPr>
            <w:tcW w:w="180" w:type="dxa"/>
            <w:vAlign w:val="bottom"/>
          </w:tcPr>
          <w:p>
            <w:pPr>
              <w:spacing w:after="0"/>
              <w:rPr>
                <w:sz w:val="17"/>
                <w:szCs w:val="17"/>
                <w:color w:val="auto"/>
              </w:rPr>
            </w:pPr>
          </w:p>
        </w:tc>
        <w:tc>
          <w:tcPr>
            <w:tcW w:w="248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w w:val="95"/>
              </w:rPr>
              <w:t>Three Months Ended 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Favorable</w:t>
            </w:r>
          </w:p>
        </w:tc>
        <w:tc>
          <w:tcPr>
            <w:tcW w:w="340" w:type="dxa"/>
            <w:vAlign w:val="bottom"/>
          </w:tcPr>
          <w:p>
            <w:pPr>
              <w:spacing w:after="0"/>
              <w:rPr>
                <w:sz w:val="17"/>
                <w:szCs w:val="17"/>
                <w:color w:val="auto"/>
              </w:rPr>
            </w:pPr>
          </w:p>
        </w:tc>
        <w:tc>
          <w:tcPr>
            <w:tcW w:w="22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91"/>
              </w:rPr>
              <w:t>Six Months Ended June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7"/>
              </w:rPr>
              <w:t>(Unfavorable)</w:t>
            </w: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center"/>
              <w:ind w:right="77"/>
              <w:spacing w:after="0" w:line="122"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Variance</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78"/>
              <w:spacing w:after="0"/>
              <w:rPr>
                <w:sz w:val="20"/>
                <w:szCs w:val="20"/>
                <w:color w:val="auto"/>
              </w:rPr>
            </w:pPr>
            <w:r>
              <w:rPr>
                <w:rFonts w:ascii="Arial" w:cs="Arial" w:eastAsia="Arial" w:hAnsi="Arial"/>
                <w:sz w:val="18"/>
                <w:szCs w:val="18"/>
                <w:color w:val="auto"/>
                <w:w w:val="87"/>
              </w:rPr>
              <w:t>3.6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1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678"/>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operations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638"/>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Financing operations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8"/>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97.3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78"/>
              <w:spacing w:after="0"/>
              <w:rPr>
                <w:sz w:val="20"/>
                <w:szCs w:val="20"/>
                <w:color w:val="auto"/>
              </w:rPr>
            </w:pPr>
            <w:r>
              <w:rPr>
                <w:rFonts w:ascii="Arial" w:cs="Arial" w:eastAsia="Arial" w:hAnsi="Arial"/>
                <w:sz w:val="18"/>
                <w:szCs w:val="18"/>
                <w:color w:val="auto"/>
                <w:w w:val="87"/>
              </w:rPr>
              <w:t>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20" w:type="dxa"/>
            <w:vAlign w:val="bottom"/>
          </w:tcPr>
          <w:p>
            <w:pPr>
              <w:ind w:left="20"/>
              <w:spacing w:after="0"/>
              <w:rPr>
                <w:sz w:val="20"/>
                <w:szCs w:val="20"/>
                <w:color w:val="auto"/>
              </w:rPr>
            </w:pPr>
            <w:r>
              <w:rPr>
                <w:rFonts w:ascii="Arial" w:cs="Arial" w:eastAsia="Arial" w:hAnsi="Arial"/>
                <w:sz w:val="18"/>
                <w:szCs w:val="18"/>
                <w:color w:val="auto"/>
              </w:rPr>
              <w:t>Change vs. prior period</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gross profit for the three and six months ended June 30, 2023 increased compared with the same periods of the prior year, primarily due to the increased revenue from franchise operations, partially offset by the refranchising of Applebee's company-operated restaurants.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4"/>
        </w:trPr>
        <w:tc>
          <w:tcPr>
            <w:tcW w:w="102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Favorable</w:t>
            </w:r>
          </w:p>
        </w:tc>
        <w:tc>
          <w:tcPr>
            <w:tcW w:w="260" w:type="dxa"/>
            <w:vAlign w:val="bottom"/>
          </w:tcPr>
          <w:p>
            <w:pPr>
              <w:spacing w:after="0"/>
              <w:rPr>
                <w:sz w:val="24"/>
                <w:szCs w:val="24"/>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316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Franchise Operations</w:t>
            </w: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5"/>
              </w:rPr>
              <w:t>(Unfavorable)</w:t>
            </w: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40"/>
              <w:spacing w:after="0" w:line="126"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38"/>
        </w:trPr>
        <w:tc>
          <w:tcPr>
            <w:tcW w:w="31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Variance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00" w:type="dxa"/>
            <w:vAlign w:val="bottom"/>
            <w:gridSpan w:val="7"/>
          </w:tcPr>
          <w:p>
            <w:pPr>
              <w:ind w:left="20"/>
              <w:spacing w:after="0"/>
              <w:rPr>
                <w:sz w:val="20"/>
                <w:szCs w:val="20"/>
                <w:color w:val="auto"/>
              </w:rPr>
            </w:pPr>
            <w:r>
              <w:rPr>
                <w:rFonts w:ascii="Arial" w:cs="Arial" w:eastAsia="Arial" w:hAnsi="Arial"/>
                <w:sz w:val="14"/>
                <w:szCs w:val="14"/>
                <w:b w:val="1"/>
                <w:bCs w:val="1"/>
                <w:color w:val="auto"/>
                <w:w w:val="93"/>
              </w:rPr>
              <w:t>(In millions, except number of restaurants)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60" w:type="dxa"/>
            <w:vAlign w:val="bottom"/>
            <w:gridSpan w:val="2"/>
          </w:tcPr>
          <w:p>
            <w:pPr>
              <w:ind w:left="20"/>
              <w:spacing w:after="0" w:line="232" w:lineRule="exact"/>
              <w:rPr>
                <w:sz w:val="20"/>
                <w:szCs w:val="20"/>
                <w:color w:val="auto"/>
              </w:rPr>
            </w:pPr>
            <w:r>
              <w:rPr>
                <w:rFonts w:ascii="Arial" w:cs="Arial" w:eastAsia="Arial" w:hAnsi="Arial"/>
                <w:sz w:val="16"/>
                <w:szCs w:val="16"/>
                <w:color w:val="auto"/>
              </w:rPr>
              <w:t>Effective Franchise Restaurants:</w:t>
            </w:r>
            <w:r>
              <w:rPr>
                <w:rFonts w:ascii="Arial" w:cs="Arial" w:eastAsia="Arial" w:hAnsi="Arial"/>
                <w:sz w:val="21"/>
                <w:szCs w:val="21"/>
                <w:color w:val="auto"/>
                <w:vertAlign w:val="superscript"/>
              </w:rPr>
              <w:t>(1)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Applebee’s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40"/>
              <w:spacing w:after="0"/>
              <w:rPr>
                <w:sz w:val="20"/>
                <w:szCs w:val="20"/>
                <w:color w:val="auto"/>
              </w:rPr>
            </w:pPr>
            <w:r>
              <w:rPr>
                <w:rFonts w:ascii="Arial" w:cs="Arial" w:eastAsia="Arial" w:hAnsi="Arial"/>
                <w:sz w:val="16"/>
                <w:szCs w:val="16"/>
                <w:color w:val="auto"/>
              </w:rPr>
              <w:t>IHOP</w:t>
            </w:r>
          </w:p>
        </w:tc>
        <w:tc>
          <w:tcPr>
            <w:tcW w:w="22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Applebee’s franchise fees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44.4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43.9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88.0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IHOP franchise fees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Advertising fees</w:t>
            </w:r>
          </w:p>
        </w:tc>
        <w:tc>
          <w:tcPr>
            <w:tcW w:w="22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Fuzzy's franchise fees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6"/>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Total franchise revenues</w:t>
            </w:r>
          </w:p>
        </w:tc>
        <w:tc>
          <w:tcPr>
            <w:tcW w:w="22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168.3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357.9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Expenses: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Applebee’s</w:t>
            </w:r>
          </w:p>
        </w:tc>
        <w:tc>
          <w:tcPr>
            <w:tcW w:w="22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IHOP</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Advertising expenses</w:t>
            </w:r>
          </w:p>
        </w:tc>
        <w:tc>
          <w:tcPr>
            <w:tcW w:w="22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Fuzzy's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Total franchise expenses</w:t>
            </w:r>
          </w:p>
        </w:tc>
        <w:tc>
          <w:tcPr>
            <w:tcW w:w="22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Gross Profit: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Applebee’s</w:t>
            </w:r>
          </w:p>
        </w:tc>
        <w:tc>
          <w:tcPr>
            <w:tcW w:w="22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IHOP</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Fuzzy's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franchise gross profit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60" w:type="dxa"/>
            <w:vAlign w:val="bottom"/>
            <w:gridSpan w:val="2"/>
          </w:tcPr>
          <w:p>
            <w:pPr>
              <w:ind w:left="20"/>
              <w:spacing w:after="0" w:line="190" w:lineRule="exact"/>
              <w:rPr>
                <w:sz w:val="20"/>
                <w:szCs w:val="20"/>
                <w:color w:val="auto"/>
              </w:rPr>
            </w:pPr>
            <w:r>
              <w:rPr>
                <w:rFonts w:ascii="Arial" w:cs="Arial" w:eastAsia="Arial" w:hAnsi="Arial"/>
                <w:sz w:val="16"/>
                <w:szCs w:val="16"/>
                <w:color w:val="auto"/>
              </w:rPr>
              <w:t xml:space="preserve">Gross profit as % of franchise revenue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50.9 %</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16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Gross profit as % of franchise fees </w:t>
            </w:r>
            <w:r>
              <w:rPr>
                <w:rFonts w:ascii="Arial" w:cs="Arial" w:eastAsia="Arial" w:hAnsi="Arial"/>
                <w:sz w:val="21"/>
                <w:szCs w:val="21"/>
                <w:color w:val="auto"/>
                <w:vertAlign w:val="superscript"/>
              </w:rPr>
              <w:t>(2)(3)</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7" w:lineRule="exact"/>
        <w:rPr>
          <w:sz w:val="20"/>
          <w:szCs w:val="20"/>
          <w:color w:val="auto"/>
        </w:rPr>
      </w:pPr>
    </w:p>
    <w:p>
      <w:pPr>
        <w:ind w:left="180" w:hanging="172"/>
        <w:spacing w:after="0" w:line="237" w:lineRule="auto"/>
        <w:tabs>
          <w:tab w:leader="none" w:pos="153"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4" w:lineRule="exact"/>
        <w:rPr>
          <w:rFonts w:ascii="Arial" w:cs="Arial" w:eastAsia="Arial" w:hAnsi="Arial"/>
          <w:sz w:val="9"/>
          <w:szCs w:val="9"/>
          <w:color w:val="auto"/>
        </w:rPr>
      </w:pPr>
    </w:p>
    <w:p>
      <w:pPr>
        <w:ind w:left="180" w:hanging="172"/>
        <w:spacing w:after="0" w:line="221" w:lineRule="auto"/>
        <w:tabs>
          <w:tab w:leader="none" w:pos="165"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Applebee's franchise fee revenue for the three months ended June 30, 2023 increased 1.2% as compared with the same period of the prior year, primarily due to a $0.5 million increase in Applebee's international revenue, $0.3 million in termination fees offset by the unfavorable impact on royalties of a 1.0% decrease in domestic same-restaurant sales. Applebee's franchise fee revenue for the six months ended June 30, 2023 increased 2.3% as compared with the same period of the prior year primarily due to the favorable impact on royalties of a 2.5% increase in domestic same-restaurant sales and an increase in termination fees.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Applebee's franchise expenses for the three and six months ended June 30, 2023 increased $0.5 million and $1.1 million, respectively, compared with the same periods of the prior year primarily due to an increase in bad debt and other operating expenses.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IHOP's franchise fee revenue for the three and six months ended June 30, 2023 increased 7.4% and 11.6%, respectively, as compared with the same periods of the prior year, primarily due to favorable domestic same-restaurant sales which resulted in higher sales of proprietary products (primarily pancake and waffle dry mix) and increased royalties.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IHOP's franchise expenses for the three and six months ended June 30, 2023 increased $3.5 million and $5.8 million, respectively, as compared with same periods of the prior year, primarily due to an increase in cost of proprietary products (primarily pancake and waffle dry mix) and an increase in bad debt expense.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and expense by brand for the three and six months ended June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4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36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3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w:t>
            </w:r>
          </w:p>
        </w:tc>
        <w:tc>
          <w:tcPr>
            <w:tcW w:w="360" w:type="dxa"/>
            <w:vAlign w:val="bottom"/>
          </w:tcPr>
          <w:p>
            <w:pPr>
              <w:spacing w:after="0"/>
              <w:rPr>
                <w:sz w:val="19"/>
                <w:szCs w:val="19"/>
                <w:color w:val="auto"/>
              </w:rPr>
            </w:pPr>
          </w:p>
        </w:tc>
        <w:tc>
          <w:tcPr>
            <w:tcW w:w="8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Increase</w:t>
            </w:r>
          </w:p>
        </w:tc>
      </w:tr>
      <w:tr>
        <w:trPr>
          <w:trHeight w:val="26"/>
        </w:trPr>
        <w:tc>
          <w:tcPr>
            <w:tcW w:w="36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3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2"/>
        </w:trPr>
        <w:tc>
          <w:tcPr>
            <w:tcW w:w="3640" w:type="dxa"/>
            <w:vAlign w:val="bottom"/>
          </w:tcPr>
          <w:p>
            <w:pPr>
              <w:ind w:left="20"/>
              <w:spacing w:after="0"/>
              <w:rPr>
                <w:sz w:val="20"/>
                <w:szCs w:val="20"/>
                <w:color w:val="auto"/>
              </w:rPr>
            </w:pPr>
            <w:r>
              <w:rPr>
                <w:rFonts w:ascii="Arial" w:cs="Arial" w:eastAsia="Arial" w:hAnsi="Arial"/>
                <w:sz w:val="18"/>
                <w:szCs w:val="18"/>
                <w:color w:val="auto"/>
              </w:rPr>
              <w:t>Advertising Revenues and Expenses: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Applebee’s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45.6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IHOP</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Fuzzy's</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Total advertising revenues and expenses</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76.0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3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Applebee’s advertising revenue and expense for the three months ended June 30, 2023 increased slightly compared to the same period of the prior year, primarily due to an increase in effective restaurants from the refranchising of 69 Company owned restaurants in October 2022. This was partially offset by the 1.0% decrease in domestic franchise same-restaurant sales. IHOP advertising revenue and expense for the three months ended June 30, 2023 increased compared to the same period of the prior year, primarily due to the 2.1% increase in domestic franchise same-restaurant sales.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Applebee's and IHOP's advertising revenue and expense for the six months ended June 30, 2023 increased 3.2% and 5.7%, respectively, compared to the same period of the prior year primarily due to the increase in their respective domestic franchise same-restaurant sales.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Rental Operations</w:t>
            </w:r>
          </w:p>
        </w:tc>
        <w:tc>
          <w:tcPr>
            <w:tcW w:w="260" w:type="dxa"/>
            <w:vAlign w:val="bottom"/>
          </w:tcPr>
          <w:p>
            <w:pPr>
              <w:spacing w:after="0"/>
              <w:rPr>
                <w:sz w:val="17"/>
                <w:szCs w:val="17"/>
                <w:color w:val="auto"/>
              </w:rPr>
            </w:pPr>
          </w:p>
        </w:tc>
        <w:tc>
          <w:tcPr>
            <w:tcW w:w="24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380" w:type="dxa"/>
            <w:vAlign w:val="bottom"/>
          </w:tcPr>
          <w:p>
            <w:pPr>
              <w:spacing w:after="0"/>
              <w:rPr>
                <w:sz w:val="17"/>
                <w:szCs w:val="17"/>
                <w:color w:val="auto"/>
              </w:rPr>
            </w:pPr>
          </w:p>
        </w:tc>
        <w:tc>
          <w:tcPr>
            <w:tcW w:w="22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5"/>
              </w:rPr>
              <w:t>(Unfavorable)</w:t>
            </w: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59"/>
              <w:spacing w:after="0" w:line="122"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620"/>
              <w:spacing w:after="0"/>
              <w:rPr>
                <w:sz w:val="20"/>
                <w:szCs w:val="20"/>
                <w:color w:val="auto"/>
              </w:rPr>
            </w:pPr>
            <w:r>
              <w:rPr>
                <w:rFonts w:ascii="Arial" w:cs="Arial" w:eastAsia="Arial" w:hAnsi="Arial"/>
                <w:sz w:val="18"/>
                <w:szCs w:val="18"/>
                <w:color w:val="auto"/>
                <w:w w:val="87"/>
              </w:rPr>
              <w:t>0.3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61.4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80"/>
              <w:spacing w:after="0"/>
              <w:rPr>
                <w:sz w:val="20"/>
                <w:szCs w:val="20"/>
                <w:color w:val="auto"/>
              </w:rPr>
            </w:pPr>
            <w:r>
              <w:rPr>
                <w:rFonts w:ascii="Arial" w:cs="Arial" w:eastAsia="Arial" w:hAnsi="Arial"/>
                <w:sz w:val="18"/>
                <w:szCs w:val="18"/>
                <w:color w:val="auto"/>
                <w:w w:val="91"/>
              </w:rPr>
              <w:t>(0.4)</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 gross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80"/>
              <w:spacing w:after="0"/>
              <w:rPr>
                <w:sz w:val="20"/>
                <w:szCs w:val="20"/>
                <w:color w:val="auto"/>
              </w:rPr>
            </w:pPr>
            <w:r>
              <w:rPr>
                <w:rFonts w:ascii="Arial" w:cs="Arial" w:eastAsia="Arial" w:hAnsi="Arial"/>
                <w:sz w:val="18"/>
                <w:szCs w:val="18"/>
                <w:color w:val="auto"/>
                <w:w w:val="91"/>
              </w:rPr>
              <w:t>(0.1)</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17.5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w w:val="89"/>
              </w:rPr>
              <w:t>28.5 %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40"/>
              <w:spacing w:after="0" w:line="203" w:lineRule="exact"/>
              <w:rPr>
                <w:sz w:val="20"/>
                <w:szCs w:val="20"/>
                <w:color w:val="auto"/>
              </w:rPr>
            </w:pPr>
            <w:r>
              <w:rPr>
                <w:rFonts w:ascii="Arial" w:cs="Arial" w:eastAsia="Arial" w:hAnsi="Arial"/>
                <w:sz w:val="18"/>
                <w:szCs w:val="18"/>
                <w:color w:val="auto"/>
                <w:w w:val="92"/>
              </w:rPr>
              <w:t>24.0 %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34"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on actual amounts, not rounded amounts presented above.</w:t>
      </w:r>
    </w:p>
    <w:p>
      <w:pPr>
        <w:spacing w:after="0" w:line="9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Rental segment revenue for the three months ended June 30, 2023 increased from the same period of the prior year, primarily due to operating lease renewals and extensions and an increase in variable sublease income, such as common area maintenance payments received from franchisees and remitted to landlords. Rental segment expenses for the three months ended June 30, 2023 increased as compared to the same period of the prior year, primarily due to an increase in lease-related expenses consistent with the increase in variable sublease income as well as due to operating lease and renewals.</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Rental operations gross profit for the six months ended June 30, 2023 increased as compared to the same period of the prior year, primarily due to lease buyouts and operating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Restaurant Operations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2520" w:type="dxa"/>
            <w:vAlign w:val="bottom"/>
            <w:gridSpan w:val="5"/>
          </w:tcPr>
          <w:p>
            <w:pPr>
              <w:jc w:val="right"/>
              <w:ind w:right="312"/>
              <w:spacing w:after="0"/>
              <w:rPr>
                <w:sz w:val="20"/>
                <w:szCs w:val="20"/>
                <w:color w:val="auto"/>
              </w:rPr>
            </w:pPr>
            <w:r>
              <w:rPr>
                <w:rFonts w:ascii="Arial" w:cs="Arial" w:eastAsia="Arial" w:hAnsi="Arial"/>
                <w:sz w:val="13"/>
                <w:szCs w:val="13"/>
                <w:b w:val="1"/>
                <w:bCs w:val="1"/>
                <w:color w:val="auto"/>
              </w:rPr>
              <w:t>Three Months Ended 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Favorable</w:t>
            </w:r>
          </w:p>
        </w:tc>
        <w:tc>
          <w:tcPr>
            <w:tcW w:w="400" w:type="dxa"/>
            <w:vAlign w:val="bottom"/>
          </w:tcPr>
          <w:p>
            <w:pPr>
              <w:spacing w:after="0"/>
              <w:rPr>
                <w:sz w:val="13"/>
                <w:szCs w:val="13"/>
                <w:color w:val="auto"/>
              </w:rPr>
            </w:pPr>
          </w:p>
        </w:tc>
        <w:tc>
          <w:tcPr>
            <w:tcW w:w="212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w w:val="96"/>
              </w:rPr>
              <w:t>Six Months Ended June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9"/>
              <w:spacing w:after="0"/>
              <w:rPr>
                <w:sz w:val="20"/>
                <w:szCs w:val="20"/>
                <w:color w:val="auto"/>
              </w:rPr>
            </w:pPr>
            <w:r>
              <w:rPr>
                <w:rFonts w:ascii="Arial" w:cs="Arial" w:eastAsia="Arial" w:hAnsi="Arial"/>
                <w:sz w:val="13"/>
                <w:szCs w:val="13"/>
                <w:b w:val="1"/>
                <w:bCs w:val="1"/>
                <w:color w:val="auto"/>
                <w:w w:val="87"/>
              </w:rPr>
              <w:t>Favorable</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3"/>
                <w:szCs w:val="13"/>
                <w:b w:val="1"/>
                <w:bCs w:val="1"/>
                <w:color w:val="auto"/>
                <w:w w:val="90"/>
              </w:rPr>
              <w:t>(Unfavorable)</w:t>
            </w: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restart"/>
          </w:tcPr>
          <w:p>
            <w:pPr>
              <w:jc w:val="center"/>
              <w:ind w:right="39"/>
              <w:spacing w:after="0" w:line="122" w:lineRule="exact"/>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61"/>
        </w:trPr>
        <w:tc>
          <w:tcPr>
            <w:tcW w:w="358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5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Variance</w:t>
            </w: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3"/>
                <w:szCs w:val="13"/>
                <w:b w:val="1"/>
                <w:bCs w:val="1"/>
                <w:color w:val="auto"/>
                <w:w w:val="88"/>
              </w:rPr>
              <w:t>Variance</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Restaurants</w:t>
            </w:r>
          </w:p>
        </w:tc>
        <w:tc>
          <w:tcPr>
            <w:tcW w:w="7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3"/>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Applebee's company restaurant sales </w:t>
            </w:r>
            <w:r>
              <w:rPr>
                <w:rFonts w:ascii="Arial" w:cs="Arial" w:eastAsia="Arial" w:hAnsi="Arial"/>
                <w:sz w:val="23"/>
                <w:szCs w:val="23"/>
                <w:color w:val="auto"/>
                <w:vertAlign w:val="superscript"/>
              </w:rPr>
              <w:t>(1)</w:t>
            </w: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line="243" w:lineRule="exact"/>
              <w:rPr>
                <w:sz w:val="20"/>
                <w:szCs w:val="20"/>
                <w:color w:val="auto"/>
              </w:rPr>
            </w:pPr>
            <w:r>
              <w:rPr>
                <w:rFonts w:ascii="Arial" w:cs="Arial" w:eastAsia="Arial" w:hAnsi="Arial"/>
                <w:sz w:val="18"/>
                <w:szCs w:val="18"/>
                <w:color w:val="auto"/>
                <w:w w:val="98"/>
              </w:rPr>
              <w:t xml:space="preserve">Applebee's company restaurant expenses </w:t>
            </w:r>
            <w:r>
              <w:rPr>
                <w:rFonts w:ascii="Arial" w:cs="Arial" w:eastAsia="Arial" w:hAnsi="Arial"/>
                <w:sz w:val="23"/>
                <w:szCs w:val="23"/>
                <w:color w:val="auto"/>
                <w:w w:val="98"/>
                <w:vertAlign w:val="superscript"/>
              </w:rPr>
              <w:t>(1)</w:t>
            </w:r>
          </w:p>
        </w:tc>
        <w:tc>
          <w:tcPr>
            <w:tcW w:w="740" w:type="dxa"/>
            <w:vAlign w:val="bottom"/>
          </w:tcPr>
          <w:p>
            <w:pPr>
              <w:spacing w:after="0"/>
              <w:rPr>
                <w:sz w:val="21"/>
                <w:szCs w:val="21"/>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Fuzzy's company restaurant sales </w:t>
            </w:r>
            <w:r>
              <w:rPr>
                <w:rFonts w:ascii="Arial" w:cs="Arial" w:eastAsia="Arial" w:hAnsi="Arial"/>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Fuzzy's company restaurant expenses </w:t>
            </w:r>
            <w:r>
              <w:rPr>
                <w:rFonts w:ascii="Arial" w:cs="Arial" w:eastAsia="Arial" w:hAnsi="Arial"/>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0.5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gross profit</w:t>
            </w: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(3)</w:t>
            </w: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9.3 %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ind w:left="160" w:hanging="152"/>
        <w:spacing w:after="0" w:line="207"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Related to 69 Applebee's company-operated restaurants that were still operating through October 2022.</w:t>
      </w: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Related to three Fuzzy's company-operated restaurants that were acquired in December 2022 of which two restaurants were refranchised in April 2023.</w:t>
      </w:r>
    </w:p>
    <w:p>
      <w:pPr>
        <w:spacing w:after="0" w:line="9" w:lineRule="exact"/>
        <w:rPr>
          <w:rFonts w:ascii="Arial" w:cs="Arial" w:eastAsia="Arial" w:hAnsi="Arial"/>
          <w:sz w:val="9"/>
          <w:szCs w:val="9"/>
          <w:color w:val="auto"/>
        </w:rPr>
      </w:pPr>
    </w:p>
    <w:p>
      <w:pPr>
        <w:ind w:left="160" w:hanging="152"/>
        <w:spacing w:after="0" w:line="203"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on actual amounts, not rounded amounts presented above.</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Applebee's company restaurant gross profit for the three and six months ended June 30, 2023 decreased 100% compared to the same period of 2022, due to the refranchising of the company-operated restaurants in October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company restaurant operations included Fuzzy's restaurants, following the acquisition of Fuzzy's in December 2022 of which two restaurants were refranchised in April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segment restaurant expenses may include costs associated with reacquired restaurants in the process of being refranchised. There were no reacquired restaurants expenses during the six months ended June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revenue and gross profit for the three and six months ended June 30, 2023 declined compared to the same period of the prior year, primarily due to progressive decline in interest income as note balances are repaid.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G&amp;A Expenses</w:t>
            </w:r>
          </w:p>
        </w:tc>
        <w:tc>
          <w:tcPr>
            <w:tcW w:w="200" w:type="dxa"/>
            <w:vAlign w:val="bottom"/>
          </w:tcPr>
          <w:p>
            <w:pPr>
              <w:spacing w:after="0"/>
              <w:rPr>
                <w:sz w:val="18"/>
                <w:szCs w:val="18"/>
                <w:color w:val="auto"/>
              </w:rPr>
            </w:pPr>
          </w:p>
        </w:tc>
        <w:tc>
          <w:tcPr>
            <w:tcW w:w="224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340" w:type="dxa"/>
            <w:vAlign w:val="bottom"/>
          </w:tcPr>
          <w:p>
            <w:pPr>
              <w:spacing w:after="0"/>
              <w:rPr>
                <w:sz w:val="18"/>
                <w:szCs w:val="18"/>
                <w:color w:val="auto"/>
              </w:rPr>
            </w:pPr>
          </w:p>
        </w:tc>
        <w:tc>
          <w:tcPr>
            <w:tcW w:w="210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(Unfavorable)</w:t>
            </w: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64"/>
              <w:spacing w:after="0" w:line="126"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38"/>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G&amp;A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for the three months ended June 30, 2023 increased 8.6% compared to the same period of the prior year, primarily due to the stopping of our IHOP Flip'd initiative as well as increases in professional services and software maintenance expenses partially offset by a decrease in personnel-related costs. Included in total G&amp;A expenses for the three months ended June 30, 2023 was $1.2 million of expense related to Fuzzy's, which was acquired in December 2022.</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G&amp;A expenses for the six months ended June 30, 2023 increased 15.6% compared to the same period of the prior year, primarily due to increases in professional services, software maintenance and occupancy costs as well as the stopping of our IHOP Flip'd initiative. Included in total G&amp;A expenses for the six months ended June 30, 2023 was $3.1 million of expense related to Fuzzy's, which was acquired in December 2022.</w:t>
      </w:r>
    </w:p>
    <w:p>
      <w:pPr>
        <w:spacing w:after="0" w:line="9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3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Other Income and Expense Items</w:t>
            </w:r>
          </w:p>
        </w:tc>
        <w:tc>
          <w:tcPr>
            <w:tcW w:w="180" w:type="dxa"/>
            <w:vAlign w:val="bottom"/>
          </w:tcPr>
          <w:p>
            <w:pPr>
              <w:spacing w:after="0"/>
              <w:rPr>
                <w:sz w:val="18"/>
                <w:szCs w:val="18"/>
                <w:color w:val="auto"/>
              </w:rPr>
            </w:pPr>
          </w:p>
        </w:tc>
        <w:tc>
          <w:tcPr>
            <w:tcW w:w="224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340" w:type="dxa"/>
            <w:vAlign w:val="bottom"/>
          </w:tcPr>
          <w:p>
            <w:pPr>
              <w:spacing w:after="0"/>
              <w:rPr>
                <w:sz w:val="18"/>
                <w:szCs w:val="18"/>
                <w:color w:val="auto"/>
              </w:rPr>
            </w:pPr>
          </w:p>
        </w:tc>
        <w:tc>
          <w:tcPr>
            <w:tcW w:w="208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(Unfavorable)</w:t>
            </w: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ind w:right="56"/>
              <w:spacing w:after="0" w:line="126"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38"/>
        </w:trPr>
        <w:tc>
          <w:tcPr>
            <w:tcW w:w="3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Variance</w:t>
            </w: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576"/>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Closure and impairment charges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left="576"/>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36"/>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(gain) on disposition of assets</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1"/>
              </w:rPr>
              <w:t>(3.6)</w:t>
            </w: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576"/>
              <w:spacing w:after="0"/>
              <w:rPr>
                <w:sz w:val="20"/>
                <w:szCs w:val="20"/>
                <w:color w:val="auto"/>
              </w:rPr>
            </w:pPr>
            <w:r>
              <w:rPr>
                <w:rFonts w:ascii="Arial" w:cs="Arial" w:eastAsia="Arial" w:hAnsi="Arial"/>
                <w:sz w:val="18"/>
                <w:szCs w:val="18"/>
                <w:color w:val="auto"/>
                <w:w w:val="91"/>
              </w:rPr>
              <w:t>(7.3)</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 and 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repaid the entire outstanding balance of approximately $585.1 million of its 2019 Class A-2 Notes during the three months ended June 30, 2023 and recognized a $1.7 million loss on extinguishment of debt from the write-off of the related remaining issuance costs. This loss was offset by a $1.7 million gain on extinguishment of debt from the purchase of $67.9 million of its 2019 Class A-2 Notes under par during the six months ended June 30, 2023.</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for the three and six months ended June 30, 2023 increased compared to the same periods of the prior comparative periods primarily due to the increase in outstanding debt balance and interest rate on our Credit Facility partially offset by the increase in interest income from improved yields.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(gain) on disposition of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loss on disposition of assets for the three and six months ended June 30, 2023 primarily related to the disposition of certain IHOP Flip'd assets. The gain on disposition of assets for the three and six months ended June 30, 2022 primarily related to the sale of land and buildings for three IHOP restaurants located on sites owned by us and termination of an IHOP restaurant lease.</w:t>
      </w:r>
    </w:p>
    <w:p>
      <w:pPr>
        <w:spacing w:after="0" w:line="1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Income Taxes</w:t>
            </w:r>
          </w:p>
        </w:tc>
        <w:tc>
          <w:tcPr>
            <w:tcW w:w="220" w:type="dxa"/>
            <w:vAlign w:val="bottom"/>
          </w:tcPr>
          <w:p>
            <w:pPr>
              <w:spacing w:after="0"/>
              <w:rPr>
                <w:sz w:val="17"/>
                <w:szCs w:val="17"/>
                <w:color w:val="auto"/>
              </w:rPr>
            </w:pPr>
          </w:p>
        </w:tc>
        <w:tc>
          <w:tcPr>
            <w:tcW w:w="230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w w:val="97"/>
              </w:rPr>
              <w:t>Three Months Ended June 30,</w:t>
            </w:r>
          </w:p>
        </w:tc>
        <w:tc>
          <w:tcPr>
            <w:tcW w:w="280" w:type="dxa"/>
            <w:vAlign w:val="bottom"/>
          </w:tcPr>
          <w:p>
            <w:pPr>
              <w:spacing w:after="0"/>
              <w:rPr>
                <w:sz w:val="17"/>
                <w:szCs w:val="17"/>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b w:val="1"/>
                <w:bCs w:val="1"/>
                <w:color w:val="auto"/>
                <w:w w:val="93"/>
              </w:rPr>
              <w:t>Favorable</w:t>
            </w:r>
          </w:p>
        </w:tc>
        <w:tc>
          <w:tcPr>
            <w:tcW w:w="380" w:type="dxa"/>
            <w:vAlign w:val="bottom"/>
          </w:tcPr>
          <w:p>
            <w:pPr>
              <w:spacing w:after="0"/>
              <w:rPr>
                <w:sz w:val="17"/>
                <w:szCs w:val="17"/>
                <w:color w:val="auto"/>
              </w:rPr>
            </w:pPr>
          </w:p>
        </w:tc>
        <w:tc>
          <w:tcPr>
            <w:tcW w:w="216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w w:val="95"/>
              </w:rPr>
              <w:t>(Unfavorable)</w:t>
            </w: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vMerge w:val="restart"/>
          </w:tcPr>
          <w:p>
            <w:pPr>
              <w:jc w:val="center"/>
              <w:ind w:right="79"/>
              <w:spacing w:after="0" w:line="126"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Variance</w:t>
            </w: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800"/>
              <w:spacing w:after="0"/>
              <w:rPr>
                <w:sz w:val="20"/>
                <w:szCs w:val="20"/>
                <w:color w:val="auto"/>
              </w:rPr>
            </w:pPr>
            <w:r>
              <w:rPr>
                <w:rFonts w:ascii="Arial" w:cs="Arial" w:eastAsia="Arial" w:hAnsi="Arial"/>
                <w:sz w:val="14"/>
                <w:szCs w:val="14"/>
                <w:b w:val="1"/>
                <w:bCs w:val="1"/>
                <w:color w:val="auto"/>
                <w:w w:val="99"/>
              </w:rPr>
              <w:t>(In millions)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6.2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680"/>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320"/>
              <w:spacing w:after="0"/>
              <w:rPr>
                <w:sz w:val="20"/>
                <w:szCs w:val="20"/>
                <w:color w:val="auto"/>
              </w:rPr>
            </w:pPr>
            <w:r>
              <w:rPr>
                <w:rFonts w:ascii="Arial" w:cs="Arial" w:eastAsia="Arial" w:hAnsi="Arial"/>
                <w:sz w:val="18"/>
                <w:szCs w:val="18"/>
                <w:color w:val="auto"/>
              </w:rPr>
              <w:t>14.9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ind w:left="400"/>
              <w:spacing w:after="0"/>
              <w:rPr>
                <w:sz w:val="20"/>
                <w:szCs w:val="20"/>
                <w:color w:val="auto"/>
              </w:rPr>
            </w:pPr>
            <w:r>
              <w:rPr>
                <w:rFonts w:ascii="Arial" w:cs="Arial" w:eastAsia="Arial" w:hAnsi="Arial"/>
                <w:sz w:val="18"/>
                <w:szCs w:val="18"/>
                <w:color w:val="auto"/>
              </w:rPr>
              <w:t>17.9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6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1.0 %</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24.7 %</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26.8 %</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5"/>
              </w:rPr>
              <w:t>2.1 %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Comparison of the Three and Six Months Ended June 30, 2023 and 2022."</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the three and six months ended June 30, 2023 was different than the rate of the prior comparable period primarily due to the recognition of higher excess tax benefits from stock-based compensation and lower non-deductible executive compensation.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provisions of our long-term debt potentially impacting liquidity are summarized below. See Note 7 - Long-Term Debt, of the Notes to the Consolidated Financial Statements, for additional detail on long-term debt, including the balances outstanding at June 30, 2023 and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 of the 2019 Class A-2-I Notes, refer to Note 8 of the Notes to Consolidated Financial Statements included in the Company’s Annual Report on Form 10-K for the year ended December 31, 2022.</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final maturity of the 2019 Class A-2-II Notes is in June 2049, but it is anticipated that, unless repaid earlier, the 2019 Class A-2-II Notes will be repaid in June 2026.</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renewal date of the Credit Facility is June 2027, subject to two additional one-year extensions at the option of the Company upon the satisfaction of certain conditions.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Payment of Principal and Interest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Exceeding the leverage ratio of 5.25x does not violate any covenant related to the Class A-2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our leverage ratio was approximately 4.5x. Therefore, quarterly principal payments are not required.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Make-whole Premiums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voluntarily repay the Class A-2 Notes at any time; however, if repaid prior to certain dates we would be required to pay make-whole premiums. As of June 30, 2023, there was no make-whole premium associated with voluntary prepayment of the 2019 Class A-2-II Notes. As of June 30, 2023, the make-whole premium associated with voluntary prepayment of the 2023 Class A-2 Notes was approximately $45.1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June 30, 2023, based on the probability-weighted discounted cash flows associated with either event.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Covenants and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long-term debt is subject to a series of covenants and restrictions customary for transactions of this type, including maintenance of a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DSCR for the reporting period ended June 30, 2023 was approximately 3.7x.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the outstanding balance of the Credit Facility was $100 million. The amount of $3.4 million was pledged against the Credit Facility for outstanding letters of credit, leaving $221.6 million of the Credit Facility available for borrowing at June 30,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six months ended June 30, 2023 was 7.46%.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per share for the six months ended June 30,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49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10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Dividends paid per common share</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and 2022, the Company paid dividends of $16.0 million and $14.6 million,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2023, the Board of Directors declared a second quarter 2023 cash dividend of $0.51 per share of common stock, paid on July 7, 2023 to the stockholders of record as of the close of business on June 20,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repurchased 212,492 shares of common stock at a cost of $14.0 million. Cumulatively, the Company repurchased 1,362,081 shares at a cost of $92.7 million under the 2022 Repurchase Program.</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six months ended June 30,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summary, our cash flows for the six months ended June 30, 2023 and June 30,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6"/>
                <w:szCs w:val="16"/>
                <w:b w:val="1"/>
                <w:bCs w:val="1"/>
                <w:color w:val="auto"/>
                <w:w w:val="98"/>
              </w:rPr>
              <w:t>Six Months Ended June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Variance</w:t>
            </w:r>
          </w:p>
        </w:tc>
      </w:tr>
      <w:tr>
        <w:trPr>
          <w:trHeight w:val="191"/>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85"/>
              </w:rPr>
              <w:t>12.8</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left="552"/>
              <w:spacing w:after="0"/>
              <w:rPr>
                <w:sz w:val="20"/>
                <w:szCs w:val="20"/>
                <w:color w:val="auto"/>
              </w:rPr>
            </w:pPr>
            <w:r>
              <w:rPr>
                <w:rFonts w:ascii="Arial" w:cs="Arial" w:eastAsia="Arial" w:hAnsi="Arial"/>
                <w:sz w:val="18"/>
                <w:szCs w:val="18"/>
                <w:color w:val="auto"/>
                <w:w w:val="93"/>
              </w:rPr>
              <w:t>(15.8)</w:t>
            </w:r>
          </w:p>
        </w:tc>
      </w:tr>
      <w:tr>
        <w:trPr>
          <w:trHeight w:val="23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93"/>
              </w:rPr>
              <w:t>(69.6)</w:t>
            </w:r>
          </w:p>
        </w:tc>
      </w:tr>
      <w:tr>
        <w:trPr>
          <w:trHeight w:val="223"/>
        </w:trPr>
        <w:tc>
          <w:tcPr>
            <w:tcW w:w="6500" w:type="dxa"/>
            <w:vAlign w:val="bottom"/>
          </w:tcPr>
          <w:p>
            <w:pPr>
              <w:ind w:left="14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93"/>
              </w:rPr>
              <w:t>(72.6)</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provided by operating activities increased $12.8 million during the six months ended June 30, 2023 compared to the same period of the prior year. Our net income plus the non-cash reconciling items shown in our statements of cash flows (primarily depreciation, impairment and closure charges, stock-based compensation and deferred taxes) decreased $3.2 million from 2022. This was primarily due to an increase in G&amp;A expense and other income and expenses, partially offset by an increase in gross profit. Net changes in working capital used $26.7 million of cash during the six months ended June 30, 2023 compared to using cash of $42.7 million during the same period of the prior year, a favorable change of $16.0 million. The favorable change in working capital was primarily due to a decrease in payments for corporate bonuses and other employee compensation and the timing of disbursements.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Investing activities used net cash of $16.6 million for the six months ended June 30, 2023 compared to investing activities provided net cash of $0.8 million for the six months ended June 30, 2022, an unfavorable change of $15.8 million. Capital expenditures of $23 million was partially offset by principal receipts from notes, equipment contracts and other long-term receivables of $4.2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used net cash of $194.3 million for the six months ended June 30, 2023. The net increase in cash used by financing activities was primarily due to the repayment and issuance of long-term debt of $159.7 million during the second quarter of 2023. This was partially offset by a decrease of repurchase of common stock of $88.4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total cash balances, net of revolving credit facility borrowings, as of June 30, 2023 and December 31,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4"/>
              </w:rPr>
              <w:t>December 31, 2022</w:t>
            </w:r>
          </w:p>
        </w:tc>
      </w:tr>
      <w:tr>
        <w:trPr>
          <w:trHeight w:val="191"/>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331"/>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650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2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Revolving credit facility borrowing</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6500" w:type="dxa"/>
            <w:vAlign w:val="bottom"/>
          </w:tcPr>
          <w:p>
            <w:pPr>
              <w:ind w:left="140"/>
              <w:spacing w:after="0"/>
              <w:rPr>
                <w:sz w:val="20"/>
                <w:szCs w:val="20"/>
                <w:color w:val="auto"/>
              </w:rPr>
            </w:pPr>
            <w:r>
              <w:rPr>
                <w:rFonts w:ascii="Arial" w:cs="Arial" w:eastAsia="Arial" w:hAnsi="Arial"/>
                <w:sz w:val="18"/>
                <w:szCs w:val="18"/>
                <w:color w:val="auto"/>
              </w:rPr>
              <w:t>Total cash, restricted cash and cash equivalents,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1"/>
        </w:trPr>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$73.5 million and $96.6 million of cash held for gift card programs and advertising funds as of June 30, 2023 and December 31, 2022, respectively. The decrease in cash and cash equivalents between June 30, 2023 and December 31, 2022 was primarily due to repayment of long-term debt, additions to property and equipment, payments to repurchase common stock, dividend payments and other payments including employee bonuses and advertising.</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7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Variance</w:t>
            </w:r>
          </w:p>
        </w:tc>
      </w:tr>
      <w:tr>
        <w:trPr>
          <w:trHeight w:val="191"/>
        </w:trPr>
        <w:tc>
          <w:tcPr>
            <w:tcW w:w="6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Principal receipts from notes and equipment contracts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additions to property and equipment</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Adjusted free cash flow</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free cash flow for the six months ended June 30, 2023 improved compared to the same period of the prior year due to the increase in cash flows provided by operating activities, partially offset by the increase in capital expenditures and a decrease in receipts from notes and equipment contracts receivable.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contractual obligations as disclosed in our Annual Report on Form 10-K for the year ended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5"/>
        <w:spacing w:after="0" w:line="263" w:lineRule="auto"/>
        <w:rPr>
          <w:sz w:val="20"/>
          <w:szCs w:val="20"/>
          <w:color w:val="auto"/>
        </w:rPr>
      </w:pPr>
      <w:r>
        <w:rPr>
          <w:rFonts w:ascii="Arial" w:cs="Arial" w:eastAsia="Arial" w:hAnsi="Arial"/>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2022. During the six months ended June 30, 2023, there were no significant changes in our critical accounting policies or in our critical accounting estimates.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from the information contained in the Company’s Annual Report on Form 10-K for the year ended December 31,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40" w:firstLine="45"/>
        <w:spacing w:after="0" w:line="277"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Total number of</w:t>
            </w:r>
          </w:p>
        </w:tc>
        <w:tc>
          <w:tcPr>
            <w:tcW w:w="2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vMerge w:val="restart"/>
          </w:tcPr>
          <w:p>
            <w:pPr>
              <w:jc w:val="center"/>
              <w:ind w:right="4"/>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0"/>
              </w:rPr>
              <w:t>Average price</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part of publicly</w:t>
            </w:r>
          </w:p>
        </w:tc>
        <w:tc>
          <w:tcPr>
            <w:tcW w:w="220" w:type="dxa"/>
            <w:vAlign w:val="bottom"/>
          </w:tcPr>
          <w:p>
            <w:pPr>
              <w:spacing w:after="0"/>
              <w:rPr>
                <w:sz w:val="12"/>
                <w:szCs w:val="12"/>
                <w:color w:val="auto"/>
              </w:rPr>
            </w:pPr>
          </w:p>
        </w:tc>
        <w:tc>
          <w:tcPr>
            <w:tcW w:w="1820" w:type="dxa"/>
            <w:vAlign w:val="bottom"/>
          </w:tcPr>
          <w:p>
            <w:pPr>
              <w:jc w:val="center"/>
              <w:ind w:right="4"/>
              <w:spacing w:after="0" w:line="145"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5"/>
              </w:rPr>
              <w:t>paid per</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20" w:type="dxa"/>
            <w:vAlign w:val="bottom"/>
          </w:tcPr>
          <w:p>
            <w:pPr>
              <w:spacing w:after="0"/>
              <w:rPr>
                <w:sz w:val="12"/>
                <w:szCs w:val="12"/>
                <w:color w:val="auto"/>
              </w:rPr>
            </w:pPr>
          </w:p>
        </w:tc>
        <w:tc>
          <w:tcPr>
            <w:tcW w:w="18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 (a)</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22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jc w:val="center"/>
              <w:ind w:right="4"/>
              <w:spacing w:after="0"/>
              <w:rPr>
                <w:sz w:val="20"/>
                <w:szCs w:val="20"/>
                <w:color w:val="auto"/>
              </w:rPr>
            </w:pPr>
            <w:r>
              <w:rPr>
                <w:rFonts w:ascii="Arial" w:cs="Arial" w:eastAsia="Arial" w:hAnsi="Arial"/>
                <w:sz w:val="14"/>
                <w:szCs w:val="14"/>
                <w:b w:val="1"/>
                <w:bCs w:val="1"/>
                <w:color w:val="auto"/>
                <w:w w:val="92"/>
              </w:rPr>
              <w:t>plans or programs (b)</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 2023 - April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67.21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74,382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161,282,000</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May 1, 2023 - May 28, 2023</w:t>
            </w:r>
          </w:p>
        </w:tc>
        <w:tc>
          <w:tcPr>
            <w:tcW w:w="1520" w:type="dxa"/>
            <w:vAlign w:val="bottom"/>
          </w:tcPr>
          <w:p>
            <w:pPr>
              <w:jc w:val="right"/>
              <w:spacing w:after="0"/>
              <w:rPr>
                <w:sz w:val="20"/>
                <w:szCs w:val="20"/>
                <w:color w:val="auto"/>
              </w:rPr>
            </w:pPr>
            <w:r>
              <w:rPr>
                <w:rFonts w:ascii="Arial" w:cs="Arial" w:eastAsia="Arial" w:hAnsi="Arial"/>
                <w:sz w:val="16"/>
                <w:szCs w:val="16"/>
                <w:color w:val="auto"/>
              </w:rPr>
              <w:t>30,763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64.35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30,305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159,333,000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29, 2023 - July 2,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62.43</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157,266,000</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144,360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65.33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137,632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157,266,000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right="240" w:hanging="252"/>
        <w:spacing w:after="0" w:line="230" w:lineRule="auto"/>
        <w:tabs>
          <w:tab w:leader="none" w:pos="16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1" w:lineRule="exact"/>
        <w:rPr>
          <w:rFonts w:ascii="Arial" w:cs="Arial" w:eastAsia="Arial" w:hAnsi="Arial"/>
          <w:sz w:val="19"/>
          <w:szCs w:val="19"/>
          <w:color w:val="auto"/>
          <w:vertAlign w:val="superscript"/>
        </w:rPr>
      </w:pPr>
    </w:p>
    <w:p>
      <w:pPr>
        <w:jc w:val="both"/>
        <w:ind w:left="260" w:right="240" w:hanging="252"/>
        <w:spacing w:after="0" w:line="233" w:lineRule="auto"/>
        <w:tabs>
          <w:tab w:leader="none" w:pos="268"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On February 17, 2022, the Company's Board of Directors authorized a share repurchase program, effective April 1, 2022, of up to $250 million (the “2022 Repurchase Program”). In connection with the approval of the 2022 Repurchase Program, the 2019 Share Repurchase Program terminated effective April 1, 2022. The 2022 Repurchase Program, as approved by the Board of Directors, does not require the repurchase of a specific number of shares and can be terminated at any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239"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auto"/>
        </w:rPr>
        <w:t>During the fiscal quarter ended June 30, 2023,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9680" w:type="dxa"/>
            <w:vAlign w:val="bottom"/>
            <w:gridSpan w:val="20"/>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Amended and Restated Certificate of Incorporation of Dine Brands Global, Inc. (Exhibit 3.1 to Registrant’s Form 8-K filed May 15,</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2023 is incorporated herein by reference).</w:t>
              </w:r>
            </w:hyperlink>
          </w:p>
        </w:tc>
        <w:tc>
          <w:tcPr>
            <w:tcW w:w="648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9680" w:type="dxa"/>
            <w:vAlign w:val="bottom"/>
            <w:gridSpan w:val="20"/>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Amended and Restated Bylaws of Dine Brands Global, Inc. (Exhibit 3.2 to Registrant’s Form 8-K filed May 15, 2023 is incorporated</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herein by reference).</w:t>
              </w:r>
            </w:hyperlink>
          </w:p>
        </w:tc>
        <w:tc>
          <w:tcPr>
            <w:tcW w:w="8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9680" w:type="dxa"/>
            <w:vAlign w:val="bottom"/>
            <w:gridSpan w:val="20"/>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Second Amended and Restated Base Indenture, dated as of April 17, 2023, among Applebee’s Funding LLC and IHOP Funding LLC,</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9620" w:type="dxa"/>
            <w:vAlign w:val="bottom"/>
            <w:tcBorders>
              <w:top w:val="single" w:sz="8" w:color="0000FF"/>
            </w:tcBorders>
            <w:gridSpan w:val="17"/>
          </w:tcPr>
          <w:p>
            <w:pPr>
              <w:spacing w:after="0" w:line="169"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each as a Co-Issuer, and Citibank, N.A., as Trustee and Securities Intermediary (Exhibit 4.1 to Registrant's Form 8-K filed April 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2023 is incorporated herein by reference).</w:t>
              </w:r>
            </w:hyperlink>
          </w:p>
        </w:tc>
        <w:tc>
          <w:tcPr>
            <w:tcW w:w="6460" w:type="dxa"/>
            <w:vAlign w:val="bottom"/>
            <w:tcBorders>
              <w:top w:val="single" w:sz="8" w:color="0000FF"/>
            </w:tcBorders>
            <w:gridSpan w:val="9"/>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9680" w:type="dxa"/>
            <w:vAlign w:val="bottom"/>
            <w:gridSpan w:val="2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Series 2023-1 Supplemental Indenture, dated April 17, 2023, among Applebee’s Funding LLC and IHOP Funding LLC, each as a Co-</w:t>
              </w:r>
            </w:hyperlink>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640" w:type="dxa"/>
            <w:vAlign w:val="bottom"/>
            <w:tcBorders>
              <w:top w:val="single" w:sz="8" w:color="0000FF"/>
            </w:tcBorders>
            <w:gridSpan w:val="18"/>
          </w:tcPr>
          <w:p>
            <w:pPr>
              <w:spacing w:after="0" w:line="169" w:lineRule="exact"/>
              <w:rPr>
                <w:rFonts w:ascii="Arial" w:cs="Arial" w:eastAsia="Arial" w:hAnsi="Arial"/>
                <w:sz w:val="18"/>
                <w:szCs w:val="18"/>
                <w:color w:val="0000FF"/>
                <w:w w:val="97"/>
              </w:rPr>
            </w:pPr>
            <w:hyperlink r:id="rId67">
              <w:r>
                <w:rPr>
                  <w:rFonts w:ascii="Arial" w:cs="Arial" w:eastAsia="Arial" w:hAnsi="Arial"/>
                  <w:sz w:val="18"/>
                  <w:szCs w:val="18"/>
                  <w:color w:val="0000FF"/>
                  <w:w w:val="97"/>
                </w:rPr>
                <w:t>Issuer, and Citibank, N.A., as Trustee and Securities Intermediary (Exhibit 4.2 to Registrant's Form 8-K filed April 17, 2023 is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4760" w:type="dxa"/>
            <w:vAlign w:val="bottom"/>
            <w:tcBorders>
              <w:top w:val="single" w:sz="8" w:color="0000FF"/>
            </w:tcBorders>
            <w:gridSpan w:val="6"/>
          </w:tcPr>
          <w:p>
            <w:pPr>
              <w:spacing w:after="0" w:line="136" w:lineRule="exact"/>
              <w:rPr>
                <w:rFonts w:ascii="Arial" w:cs="Arial" w:eastAsia="Arial" w:hAnsi="Arial"/>
                <w:sz w:val="15"/>
                <w:szCs w:val="15"/>
                <w:color w:val="0000FF"/>
              </w:rPr>
            </w:pPr>
            <w:hyperlink r:id="rId67">
              <w:r>
                <w:rPr>
                  <w:rFonts w:ascii="Arial" w:cs="Arial" w:eastAsia="Arial" w:hAnsi="Arial"/>
                  <w:sz w:val="15"/>
                  <w:szCs w:val="15"/>
                  <w:color w:val="0000FF"/>
                </w:rPr>
                <w:t>incorporated herein by reference).</w:t>
              </w:r>
            </w:hyperlink>
          </w:p>
        </w:tc>
        <w:tc>
          <w:tcPr>
            <w:tcW w:w="960" w:type="dxa"/>
            <w:vAlign w:val="bottom"/>
            <w:tcBorders>
              <w:top w:val="single" w:sz="8" w:color="0000FF"/>
            </w:tcBorders>
          </w:tcPr>
          <w:p>
            <w:pPr>
              <w:spacing w:after="0"/>
              <w:rPr>
                <w:sz w:val="11"/>
                <w:szCs w:val="11"/>
                <w:color w:val="auto"/>
              </w:rPr>
            </w:pPr>
          </w:p>
        </w:tc>
        <w:tc>
          <w:tcPr>
            <w:tcW w:w="29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9680" w:type="dxa"/>
            <w:vAlign w:val="bottom"/>
            <w:gridSpan w:val="20"/>
          </w:tcPr>
          <w:p>
            <w:pPr>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Third Amended and Restated Management Agreement, dated as of April 17, 2023, among Applebee’s Funding LLC and IHOP</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Funding LLC, each as a Co-Issuer, other securitization entities party thereto from time to time, the Corporation as the Manager,</w:t>
              </w:r>
            </w:hyperlink>
          </w:p>
        </w:tc>
        <w:tc>
          <w:tcPr>
            <w:tcW w:w="80" w:type="dxa"/>
            <w:vAlign w:val="bottom"/>
            <w:tcBorders>
              <w:bottom w:val="single" w:sz="8" w:color="0000FF"/>
            </w:tcBorders>
          </w:tcPr>
          <w:p>
            <w:pPr>
              <w:spacing w:after="0"/>
              <w:rPr>
                <w:sz w:val="14"/>
                <w:szCs w:val="14"/>
                <w:color w:val="auto"/>
              </w:rPr>
            </w:pPr>
          </w:p>
        </w:tc>
        <w:tc>
          <w:tcPr>
            <w:tcW w:w="500" w:type="dxa"/>
            <w:vAlign w:val="bottom"/>
            <w:gridSpan w:val="8"/>
            <w:vMerge w:val="restart"/>
          </w:tcPr>
          <w:p>
            <w:pPr>
              <w:spacing w:after="0"/>
              <w:rPr>
                <w:rFonts w:ascii="Arial" w:cs="Arial" w:eastAsia="Arial" w:hAnsi="Arial"/>
                <w:sz w:val="18"/>
                <w:szCs w:val="18"/>
                <w:color w:val="0000FF"/>
                <w:w w:val="87"/>
              </w:rPr>
            </w:pPr>
            <w:hyperlink r:id="rId68">
              <w:r>
                <w:rPr>
                  <w:rFonts w:ascii="Arial" w:cs="Arial" w:eastAsia="Arial" w:hAnsi="Arial"/>
                  <w:sz w:val="18"/>
                  <w:szCs w:val="18"/>
                  <w:color w:val="0000FF"/>
                  <w:w w:val="87"/>
                </w:rPr>
                <w:t>10.1 to</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9180" w:type="dxa"/>
            <w:vAlign w:val="bottom"/>
            <w:gridSpan w:val="12"/>
          </w:tcPr>
          <w:p>
            <w:pPr>
              <w:spacing w:after="0" w:line="15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Applebee’s Services, Inc. and International House of Pancakes, LLC as Sub-managers, and Citibank, N.A., as Trustee (Exhibit</w:t>
              </w:r>
            </w:hyperlink>
          </w:p>
        </w:tc>
        <w:tc>
          <w:tcPr>
            <w:tcW w:w="5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96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Registrant's Form 8-K filed April 17, 2023 is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 10.2</w:t>
            </w:r>
          </w:p>
        </w:tc>
        <w:tc>
          <w:tcPr>
            <w:tcW w:w="9680" w:type="dxa"/>
            <w:vAlign w:val="bottom"/>
            <w:gridSpan w:val="20"/>
          </w:tcPr>
          <w:p>
            <w:pPr>
              <w:spacing w:after="0"/>
              <w:rPr>
                <w:sz w:val="20"/>
                <w:szCs w:val="20"/>
                <w:color w:val="auto"/>
              </w:rPr>
            </w:pPr>
            <w:r>
              <w:rPr>
                <w:rFonts w:ascii="Arial" w:cs="Arial" w:eastAsia="Arial" w:hAnsi="Arial"/>
                <w:sz w:val="18"/>
                <w:szCs w:val="18"/>
                <w:color w:val="0000FF"/>
              </w:rPr>
              <w:t>Amendment to Employment Agreement dated as of May 15, 2023 by and between the Corporation and John W. Peyton.</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*31.1</w:t>
            </w:r>
          </w:p>
        </w:tc>
        <w:tc>
          <w:tcPr>
            <w:tcW w:w="87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Chief Executive Officer pursuant to Rule 13a-14(a) of the Securities Exchange Act of 1934, as amended.</w:t>
            </w:r>
          </w:p>
        </w:tc>
        <w:tc>
          <w:tcPr>
            <w:tcW w:w="9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*31.2</w:t>
            </w:r>
          </w:p>
        </w:tc>
        <w:tc>
          <w:tcPr>
            <w:tcW w:w="9680" w:type="dxa"/>
            <w:vAlign w:val="bottom"/>
            <w:gridSpan w:val="20"/>
          </w:tcPr>
          <w:p>
            <w:pPr>
              <w:spacing w:after="0"/>
              <w:rPr>
                <w:sz w:val="20"/>
                <w:szCs w:val="20"/>
                <w:color w:val="auto"/>
              </w:rPr>
            </w:pPr>
            <w:r>
              <w:rPr>
                <w:rFonts w:ascii="Arial" w:cs="Arial" w:eastAsia="Arial" w:hAnsi="Arial"/>
                <w:sz w:val="18"/>
                <w:szCs w:val="18"/>
                <w:color w:val="0000FF"/>
              </w:rPr>
              <w:t>Certification of Chief Financial Officer pursuant to Rule 13a-14(a) of the Securities Exchange Act of 1934, as amended.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80" w:type="dxa"/>
            <w:vAlign w:val="bottom"/>
            <w:gridSpan w:val="6"/>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*32.1</w:t>
            </w:r>
          </w:p>
        </w:tc>
        <w:tc>
          <w:tcPr>
            <w:tcW w:w="9680" w:type="dxa"/>
            <w:vAlign w:val="bottom"/>
            <w:gridSpan w:val="20"/>
          </w:tcPr>
          <w:p>
            <w:pPr>
              <w:spacing w:after="0"/>
              <w:rPr>
                <w:sz w:val="20"/>
                <w:szCs w:val="20"/>
                <w:color w:val="auto"/>
              </w:rPr>
            </w:pPr>
            <w:r>
              <w:rPr>
                <w:rFonts w:ascii="Arial" w:cs="Arial" w:eastAsia="Arial" w:hAnsi="Arial"/>
                <w:sz w:val="18"/>
                <w:szCs w:val="18"/>
                <w:color w:val="0E32E1"/>
                <w:w w:val="94"/>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560" w:type="dxa"/>
            <w:vAlign w:val="bottom"/>
            <w:tcBorders>
              <w:top w:val="single" w:sz="8" w:color="0E32E1"/>
              <w:bottom w:val="single" w:sz="8" w:color="0E32E1"/>
            </w:tcBorders>
            <w:gridSpan w:val="3"/>
          </w:tcPr>
          <w:p>
            <w:pPr>
              <w:spacing w:after="0" w:line="156" w:lineRule="exact"/>
              <w:rPr>
                <w:sz w:val="20"/>
                <w:szCs w:val="20"/>
                <w:color w:val="auto"/>
              </w:rPr>
            </w:pPr>
            <w:r>
              <w:rPr>
                <w:rFonts w:ascii="Arial" w:cs="Arial" w:eastAsia="Arial" w:hAnsi="Arial"/>
                <w:sz w:val="18"/>
                <w:szCs w:val="18"/>
                <w:color w:val="0E32E1"/>
                <w:w w:val="95"/>
              </w:rPr>
              <w:t>Oxley Act of 2002.**</w:t>
            </w:r>
          </w:p>
        </w:tc>
        <w:tc>
          <w:tcPr>
            <w:tcW w:w="7720" w:type="dxa"/>
            <w:vAlign w:val="bottom"/>
            <w:tcBorders>
              <w:top w:val="single" w:sz="8" w:color="0E32E1"/>
            </w:tcBorders>
            <w:gridSpan w:val="10"/>
          </w:tcPr>
          <w:p>
            <w:pPr>
              <w:spacing w:after="0"/>
              <w:rPr>
                <w:sz w:val="13"/>
                <w:szCs w:val="13"/>
                <w:color w:val="auto"/>
              </w:rPr>
            </w:pPr>
          </w:p>
        </w:tc>
        <w:tc>
          <w:tcPr>
            <w:tcW w:w="4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*32.2</w:t>
            </w:r>
          </w:p>
        </w:tc>
        <w:tc>
          <w:tcPr>
            <w:tcW w:w="9680" w:type="dxa"/>
            <w:vAlign w:val="bottom"/>
            <w:tcBorders>
              <w:bottom w:val="single" w:sz="8" w:color="0E32E1"/>
            </w:tcBorders>
            <w:gridSpan w:val="20"/>
          </w:tcPr>
          <w:p>
            <w:pPr>
              <w:spacing w:after="0"/>
              <w:rPr>
                <w:sz w:val="20"/>
                <w:szCs w:val="20"/>
                <w:color w:val="auto"/>
              </w:rPr>
            </w:pPr>
            <w:r>
              <w:rPr>
                <w:rFonts w:ascii="Arial" w:cs="Arial" w:eastAsia="Arial" w:hAnsi="Arial"/>
                <w:sz w:val="18"/>
                <w:szCs w:val="18"/>
                <w:color w:val="0E32E1"/>
                <w:w w:val="90"/>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9680" w:type="dxa"/>
            <w:vAlign w:val="bottom"/>
            <w:gridSpan w:val="20"/>
          </w:tcPr>
          <w:p>
            <w:pPr>
              <w:spacing w:after="0" w:line="169" w:lineRule="exact"/>
              <w:rPr>
                <w:sz w:val="20"/>
                <w:szCs w:val="20"/>
                <w:color w:val="auto"/>
              </w:rPr>
            </w:pPr>
            <w:r>
              <w:rPr>
                <w:rFonts w:ascii="Arial" w:cs="Arial" w:eastAsia="Arial" w:hAnsi="Arial"/>
                <w:sz w:val="18"/>
                <w:szCs w:val="18"/>
                <w:color w:val="0E32E1"/>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E32E1"/>
          </w:tcPr>
          <w:p>
            <w:pPr>
              <w:spacing w:after="0" w:line="20" w:lineRule="exact"/>
              <w:rPr>
                <w:sz w:val="1"/>
                <w:szCs w:val="1"/>
                <w:color w:val="auto"/>
              </w:rPr>
            </w:pPr>
          </w:p>
        </w:tc>
        <w:tc>
          <w:tcPr>
            <w:tcW w:w="86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8"/>
              </w:rPr>
              <w:t>101.INS</w:t>
            </w:r>
          </w:p>
        </w:tc>
        <w:tc>
          <w:tcPr>
            <w:tcW w:w="9680" w:type="dxa"/>
            <w:vAlign w:val="bottom"/>
            <w:gridSpan w:val="20"/>
          </w:tcPr>
          <w:p>
            <w:pPr>
              <w:spacing w:after="0" w:line="19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680" w:type="dxa"/>
            <w:vAlign w:val="bottom"/>
            <w:gridSpan w:val="20"/>
          </w:tcPr>
          <w:p>
            <w:pPr>
              <w:ind w:left="24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1"/>
        </w:trPr>
        <w:tc>
          <w:tcPr>
            <w:tcW w:w="980" w:type="dxa"/>
            <w:vAlign w:val="bottom"/>
          </w:tcPr>
          <w:p>
            <w:pPr>
              <w:jc w:val="right"/>
              <w:ind w:right="230"/>
              <w:spacing w:after="0"/>
              <w:rPr>
                <w:sz w:val="20"/>
                <w:szCs w:val="20"/>
                <w:color w:val="auto"/>
              </w:rPr>
            </w:pPr>
            <w:r>
              <w:rPr>
                <w:rFonts w:ascii="Arial" w:cs="Arial" w:eastAsia="Arial" w:hAnsi="Arial"/>
                <w:sz w:val="18"/>
                <w:szCs w:val="18"/>
                <w:color w:val="auto"/>
                <w:w w:val="87"/>
              </w:rPr>
              <w:t>101.SCH</w:t>
            </w:r>
          </w:p>
        </w:tc>
        <w:tc>
          <w:tcPr>
            <w:tcW w:w="9680" w:type="dxa"/>
            <w:vAlign w:val="bottom"/>
            <w:gridSpan w:val="20"/>
          </w:tcPr>
          <w:p>
            <w:pPr>
              <w:spacing w:after="0"/>
              <w:rPr>
                <w:sz w:val="20"/>
                <w:szCs w:val="20"/>
                <w:color w:val="auto"/>
              </w:rPr>
            </w:pPr>
            <w:r>
              <w:rPr>
                <w:rFonts w:ascii="Arial" w:cs="Arial" w:eastAsia="Arial" w:hAnsi="Arial"/>
                <w:sz w:val="18"/>
                <w:szCs w:val="18"/>
                <w:color w:val="auto"/>
              </w:rPr>
              <w:t>Inline XBRL Schema Document.***</w:t>
            </w:r>
          </w:p>
        </w:tc>
        <w:tc>
          <w:tcPr>
            <w:tcW w:w="0" w:type="dxa"/>
            <w:vAlign w:val="bottom"/>
          </w:tcPr>
          <w:p>
            <w:pPr>
              <w:spacing w:after="0"/>
              <w:rPr>
                <w:sz w:val="1"/>
                <w:szCs w:val="1"/>
                <w:color w:val="auto"/>
              </w:rPr>
            </w:pPr>
          </w:p>
        </w:tc>
      </w:tr>
      <w:tr>
        <w:trPr>
          <w:trHeight w:val="229"/>
        </w:trPr>
        <w:tc>
          <w:tcPr>
            <w:tcW w:w="980" w:type="dxa"/>
            <w:vAlign w:val="bottom"/>
          </w:tcPr>
          <w:p>
            <w:pPr>
              <w:jc w:val="right"/>
              <w:ind w:right="230"/>
              <w:spacing w:after="0"/>
              <w:rPr>
                <w:sz w:val="20"/>
                <w:szCs w:val="20"/>
                <w:color w:val="auto"/>
              </w:rPr>
            </w:pPr>
            <w:r>
              <w:rPr>
                <w:rFonts w:ascii="Arial" w:cs="Arial" w:eastAsia="Arial" w:hAnsi="Arial"/>
                <w:sz w:val="18"/>
                <w:szCs w:val="18"/>
                <w:color w:val="auto"/>
                <w:w w:val="91"/>
              </w:rPr>
              <w:t>101.CAL</w:t>
            </w:r>
          </w:p>
        </w:tc>
        <w:tc>
          <w:tcPr>
            <w:tcW w:w="9680" w:type="dxa"/>
            <w:vAlign w:val="bottom"/>
            <w:gridSpan w:val="20"/>
          </w:tcPr>
          <w:p>
            <w:pPr>
              <w:spacing w:after="0"/>
              <w:rPr>
                <w:sz w:val="20"/>
                <w:szCs w:val="20"/>
                <w:color w:val="auto"/>
              </w:rPr>
            </w:pPr>
            <w:r>
              <w:rPr>
                <w:rFonts w:ascii="Arial" w:cs="Arial" w:eastAsia="Arial" w:hAnsi="Arial"/>
                <w:sz w:val="18"/>
                <w:szCs w:val="18"/>
                <w:color w:val="auto"/>
              </w:rPr>
              <w:t>Inline XBRL Calculation Linkbase Document.***</w:t>
            </w:r>
          </w:p>
        </w:tc>
        <w:tc>
          <w:tcPr>
            <w:tcW w:w="0" w:type="dxa"/>
            <w:vAlign w:val="bottom"/>
          </w:tcPr>
          <w:p>
            <w:pPr>
              <w:spacing w:after="0"/>
              <w:rPr>
                <w:sz w:val="1"/>
                <w:szCs w:val="1"/>
                <w:color w:val="auto"/>
              </w:rPr>
            </w:pPr>
          </w:p>
        </w:tc>
      </w:tr>
      <w:tr>
        <w:trPr>
          <w:trHeight w:val="230"/>
        </w:trPr>
        <w:tc>
          <w:tcPr>
            <w:tcW w:w="980" w:type="dxa"/>
            <w:vAlign w:val="bottom"/>
          </w:tcPr>
          <w:p>
            <w:pPr>
              <w:jc w:val="right"/>
              <w:ind w:right="230"/>
              <w:spacing w:after="0"/>
              <w:rPr>
                <w:sz w:val="20"/>
                <w:szCs w:val="20"/>
                <w:color w:val="auto"/>
              </w:rPr>
            </w:pPr>
            <w:r>
              <w:rPr>
                <w:rFonts w:ascii="Arial" w:cs="Arial" w:eastAsia="Arial" w:hAnsi="Arial"/>
                <w:sz w:val="18"/>
                <w:szCs w:val="18"/>
                <w:color w:val="auto"/>
                <w:w w:val="90"/>
              </w:rPr>
              <w:t>101.DEF</w:t>
            </w:r>
          </w:p>
        </w:tc>
        <w:tc>
          <w:tcPr>
            <w:tcW w:w="9680" w:type="dxa"/>
            <w:vAlign w:val="bottom"/>
            <w:gridSpan w:val="20"/>
          </w:tcPr>
          <w:p>
            <w:pPr>
              <w:spacing w:after="0"/>
              <w:rPr>
                <w:sz w:val="20"/>
                <w:szCs w:val="20"/>
                <w:color w:val="auto"/>
              </w:rPr>
            </w:pPr>
            <w:r>
              <w:rPr>
                <w:rFonts w:ascii="Arial" w:cs="Arial" w:eastAsia="Arial" w:hAnsi="Arial"/>
                <w:sz w:val="18"/>
                <w:szCs w:val="18"/>
                <w:color w:val="auto"/>
              </w:rPr>
              <w:t>Inline XBRL Definition Linkbase Document.***</w:t>
            </w:r>
          </w:p>
        </w:tc>
        <w:tc>
          <w:tcPr>
            <w:tcW w:w="0" w:type="dxa"/>
            <w:vAlign w:val="bottom"/>
          </w:tcPr>
          <w:p>
            <w:pPr>
              <w:spacing w:after="0"/>
              <w:rPr>
                <w:sz w:val="1"/>
                <w:szCs w:val="1"/>
                <w:color w:val="auto"/>
              </w:rPr>
            </w:pPr>
          </w:p>
        </w:tc>
      </w:tr>
      <w:tr>
        <w:trPr>
          <w:trHeight w:val="242"/>
        </w:trPr>
        <w:tc>
          <w:tcPr>
            <w:tcW w:w="980" w:type="dxa"/>
            <w:vAlign w:val="bottom"/>
          </w:tcPr>
          <w:p>
            <w:pPr>
              <w:jc w:val="right"/>
              <w:ind w:right="230"/>
              <w:spacing w:after="0"/>
              <w:rPr>
                <w:sz w:val="20"/>
                <w:szCs w:val="20"/>
                <w:color w:val="auto"/>
              </w:rPr>
            </w:pPr>
            <w:r>
              <w:rPr>
                <w:rFonts w:ascii="Arial" w:cs="Arial" w:eastAsia="Arial" w:hAnsi="Arial"/>
                <w:sz w:val="18"/>
                <w:szCs w:val="18"/>
                <w:color w:val="auto"/>
                <w:w w:val="92"/>
              </w:rPr>
              <w:t>101.LAB</w:t>
            </w:r>
          </w:p>
        </w:tc>
        <w:tc>
          <w:tcPr>
            <w:tcW w:w="9680" w:type="dxa"/>
            <w:vAlign w:val="bottom"/>
            <w:gridSpan w:val="20"/>
          </w:tcPr>
          <w:p>
            <w:pPr>
              <w:spacing w:after="0"/>
              <w:rPr>
                <w:sz w:val="20"/>
                <w:szCs w:val="20"/>
                <w:color w:val="auto"/>
              </w:rPr>
            </w:pPr>
            <w:r>
              <w:rPr>
                <w:rFonts w:ascii="Arial" w:cs="Arial" w:eastAsia="Arial" w:hAnsi="Arial"/>
                <w:sz w:val="18"/>
                <w:szCs w:val="18"/>
                <w:color w:val="auto"/>
              </w:rPr>
              <w:t>Inline XBRL Label Linkbase Document.***</w:t>
            </w:r>
          </w:p>
        </w:tc>
        <w:tc>
          <w:tcPr>
            <w:tcW w:w="0" w:type="dxa"/>
            <w:vAlign w:val="bottom"/>
          </w:tcPr>
          <w:p>
            <w:pPr>
              <w:spacing w:after="0"/>
              <w:rPr>
                <w:sz w:val="1"/>
                <w:szCs w:val="1"/>
                <w:color w:val="auto"/>
              </w:rPr>
            </w:pPr>
          </w:p>
        </w:tc>
      </w:tr>
      <w:tr>
        <w:trPr>
          <w:trHeight w:val="230"/>
        </w:trPr>
        <w:tc>
          <w:tcPr>
            <w:tcW w:w="980" w:type="dxa"/>
            <w:vAlign w:val="bottom"/>
          </w:tcPr>
          <w:p>
            <w:pPr>
              <w:jc w:val="right"/>
              <w:ind w:right="230"/>
              <w:spacing w:after="0"/>
              <w:rPr>
                <w:sz w:val="20"/>
                <w:szCs w:val="20"/>
                <w:color w:val="auto"/>
              </w:rPr>
            </w:pPr>
            <w:r>
              <w:rPr>
                <w:rFonts w:ascii="Arial" w:cs="Arial" w:eastAsia="Arial" w:hAnsi="Arial"/>
                <w:sz w:val="18"/>
                <w:szCs w:val="18"/>
                <w:color w:val="auto"/>
                <w:w w:val="88"/>
              </w:rPr>
              <w:t>101.PRE</w:t>
            </w:r>
          </w:p>
        </w:tc>
        <w:tc>
          <w:tcPr>
            <w:tcW w:w="9680" w:type="dxa"/>
            <w:vAlign w:val="bottom"/>
            <w:gridSpan w:val="20"/>
          </w:tcPr>
          <w:p>
            <w:pPr>
              <w:spacing w:after="0"/>
              <w:rPr>
                <w:sz w:val="20"/>
                <w:szCs w:val="20"/>
                <w:color w:val="auto"/>
              </w:rPr>
            </w:pPr>
            <w:r>
              <w:rPr>
                <w:rFonts w:ascii="Arial" w:cs="Arial" w:eastAsia="Arial" w:hAnsi="Arial"/>
                <w:sz w:val="18"/>
                <w:szCs w:val="18"/>
                <w:color w:val="auto"/>
              </w:rPr>
              <w:t>Inline XBRL Presentation Linkbase Document.***</w:t>
            </w:r>
          </w:p>
        </w:tc>
        <w:tc>
          <w:tcPr>
            <w:tcW w:w="0" w:type="dxa"/>
            <w:vAlign w:val="bottom"/>
          </w:tcPr>
          <w:p>
            <w:pPr>
              <w:spacing w:after="0"/>
              <w:rPr>
                <w:sz w:val="1"/>
                <w:szCs w:val="1"/>
                <w:color w:val="auto"/>
              </w:rPr>
            </w:pPr>
          </w:p>
        </w:tc>
      </w:tr>
    </w:tbl>
    <w:p>
      <w:pPr>
        <w:ind w:left="1420" w:hanging="641"/>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500" w:hanging="492"/>
        <w:spacing w:after="0" w:line="250" w:lineRule="auto"/>
        <w:tabs>
          <w:tab w:leader="none" w:pos="3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21"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contract, compensatory plan or arrangement in which directors or executive officers are eligible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Dine Brands Global, Inc.</w:t>
      </w:r>
    </w:p>
    <w:p>
      <w:pPr>
        <w:ind w:left="4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79" w:lineRule="exact"/>
        <w:rPr>
          <w:sz w:val="20"/>
          <w:szCs w:val="20"/>
          <w:color w:val="auto"/>
        </w:rPr>
      </w:pPr>
    </w:p>
    <w:p>
      <w:pPr>
        <w:ind w:left="840"/>
        <w:spacing w:after="0"/>
        <w:tabs>
          <w:tab w:leader="none" w:pos="5820" w:val="left"/>
          <w:tab w:leader="none" w:pos="7440" w:val="left"/>
        </w:tabs>
        <w:rPr>
          <w:sz w:val="20"/>
          <w:szCs w:val="20"/>
          <w:color w:val="auto"/>
        </w:rPr>
      </w:pPr>
      <w:r>
        <w:rPr>
          <w:rFonts w:ascii="Arial" w:cs="Arial" w:eastAsia="Arial" w:hAnsi="Arial"/>
          <w:sz w:val="18"/>
          <w:szCs w:val="18"/>
          <w:color w:val="auto"/>
        </w:rPr>
        <w:t>Dated: 3rd day of August,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2571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John W. Peyton</w:t>
      </w:r>
    </w:p>
    <w:p>
      <w:pPr>
        <w:jc w:val="center"/>
        <w:ind w:left="5020"/>
        <w:spacing w:after="0" w:line="203" w:lineRule="auto"/>
        <w:rPr>
          <w:sz w:val="20"/>
          <w:szCs w:val="20"/>
          <w:color w:val="auto"/>
        </w:rPr>
      </w:pPr>
      <w:r>
        <w:rPr>
          <w:rFonts w:ascii="Arial" w:cs="Arial" w:eastAsia="Arial" w:hAnsi="Arial"/>
          <w:sz w:val="18"/>
          <w:szCs w:val="18"/>
          <w:i w:val="1"/>
          <w:iCs w:val="1"/>
          <w:color w:val="auto"/>
        </w:rPr>
        <w:t>Chief Executive Officer</w:t>
      </w:r>
    </w:p>
    <w:p>
      <w:pPr>
        <w:jc w:val="cente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63" w:lineRule="exact"/>
        <w:rPr>
          <w:sz w:val="20"/>
          <w:szCs w:val="20"/>
          <w:color w:val="auto"/>
        </w:rPr>
      </w:pPr>
    </w:p>
    <w:p>
      <w:pPr>
        <w:ind w:left="840"/>
        <w:spacing w:after="0"/>
        <w:tabs>
          <w:tab w:leader="none" w:pos="5820" w:val="left"/>
          <w:tab w:leader="none" w:pos="7440" w:val="left"/>
        </w:tabs>
        <w:rPr>
          <w:sz w:val="20"/>
          <w:szCs w:val="20"/>
          <w:color w:val="auto"/>
        </w:rPr>
      </w:pPr>
      <w:r>
        <w:rPr>
          <w:rFonts w:ascii="Arial" w:cs="Arial" w:eastAsia="Arial" w:hAnsi="Arial"/>
          <w:sz w:val="18"/>
          <w:szCs w:val="18"/>
          <w:color w:val="auto"/>
        </w:rPr>
        <w:t>Dated: 3rd day of August,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2571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Vance Y. Chang</w:t>
      </w:r>
    </w:p>
    <w:p>
      <w:pPr>
        <w:jc w:val="center"/>
        <w:ind w:left="502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5020"/>
        <w:spacing w:after="0"/>
        <w:rPr>
          <w:sz w:val="20"/>
          <w:szCs w:val="20"/>
          <w:color w:val="auto"/>
        </w:rPr>
      </w:pPr>
      <w:r>
        <w:rPr>
          <w:rFonts w:ascii="Arial" w:cs="Arial" w:eastAsia="Arial" w:hAnsi="Arial"/>
          <w:sz w:val="18"/>
          <w:szCs w:val="18"/>
          <w:i w:val="1"/>
          <w:iCs w:val="1"/>
          <w:color w:val="auto"/>
        </w:rPr>
        <w:t>(Principal Financial Officer)</w:t>
      </w:r>
    </w:p>
    <w:p>
      <w:pPr>
        <w:spacing w:after="0" w:line="250" w:lineRule="exact"/>
        <w:rPr>
          <w:sz w:val="20"/>
          <w:szCs w:val="20"/>
          <w:color w:val="auto"/>
        </w:rPr>
      </w:pPr>
    </w:p>
    <w:p>
      <w:pPr>
        <w:ind w:left="840"/>
        <w:spacing w:after="0"/>
        <w:tabs>
          <w:tab w:leader="none" w:pos="5820" w:val="left"/>
          <w:tab w:leader="none" w:pos="7560" w:val="left"/>
        </w:tabs>
        <w:rPr>
          <w:sz w:val="20"/>
          <w:szCs w:val="20"/>
          <w:color w:val="auto"/>
        </w:rPr>
      </w:pPr>
      <w:r>
        <w:rPr>
          <w:rFonts w:ascii="Arial" w:cs="Arial" w:eastAsia="Arial" w:hAnsi="Arial"/>
          <w:sz w:val="18"/>
          <w:szCs w:val="18"/>
          <w:color w:val="auto"/>
        </w:rPr>
        <w:t>Dated: 3rd day of August,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5717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Allison Hall</w:t>
      </w:r>
    </w:p>
    <w:p>
      <w:pPr>
        <w:ind w:left="7240"/>
        <w:spacing w:after="0" w:line="203" w:lineRule="auto"/>
        <w:rPr>
          <w:sz w:val="20"/>
          <w:szCs w:val="20"/>
          <w:color w:val="auto"/>
        </w:rPr>
      </w:pPr>
      <w:r>
        <w:rPr>
          <w:rFonts w:ascii="Arial" w:cs="Arial" w:eastAsia="Arial" w:hAnsi="Arial"/>
          <w:sz w:val="18"/>
          <w:szCs w:val="18"/>
          <w:i w:val="1"/>
          <w:iCs w:val="1"/>
          <w:color w:val="auto"/>
        </w:rPr>
        <w:t>Chief Accounting Officer</w:t>
      </w:r>
    </w:p>
    <w:p>
      <w:pPr>
        <w:ind w:left="70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22" w:right="37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AMENDMENT TO EMPLOYMENT AGREEMENT</w:t>
      </w:r>
    </w:p>
    <w:p>
      <w:pPr>
        <w:spacing w:after="0" w:line="200" w:lineRule="exact"/>
        <w:rPr>
          <w:sz w:val="20"/>
          <w:szCs w:val="20"/>
          <w:color w:val="auto"/>
        </w:rPr>
      </w:pPr>
    </w:p>
    <w:p>
      <w:pPr>
        <w:spacing w:after="0" w:line="272" w:lineRule="exact"/>
        <w:rPr>
          <w:sz w:val="20"/>
          <w:szCs w:val="20"/>
          <w:color w:val="auto"/>
        </w:rPr>
      </w:pPr>
    </w:p>
    <w:p>
      <w:pPr>
        <w:jc w:val="both"/>
        <w:ind w:right="160"/>
        <w:spacing w:after="0" w:line="260" w:lineRule="auto"/>
        <w:rPr>
          <w:sz w:val="20"/>
          <w:szCs w:val="20"/>
          <w:color w:val="auto"/>
        </w:rPr>
      </w:pPr>
      <w:r>
        <w:rPr>
          <w:rFonts w:ascii="Arial" w:cs="Arial" w:eastAsia="Arial" w:hAnsi="Arial"/>
          <w:sz w:val="20"/>
          <w:szCs w:val="20"/>
          <w:color w:val="auto"/>
        </w:rPr>
        <w:t>This Amendment (“</w:t>
      </w:r>
      <w:r>
        <w:rPr>
          <w:rFonts w:ascii="Arial" w:cs="Arial" w:eastAsia="Arial" w:hAnsi="Arial"/>
          <w:sz w:val="20"/>
          <w:szCs w:val="20"/>
          <w:b w:val="1"/>
          <w:bCs w:val="1"/>
          <w:color w:val="auto"/>
        </w:rPr>
        <w:t>Amendment</w:t>
      </w:r>
      <w:r>
        <w:rPr>
          <w:rFonts w:ascii="Arial" w:cs="Arial" w:eastAsia="Arial" w:hAnsi="Arial"/>
          <w:sz w:val="20"/>
          <w:szCs w:val="20"/>
          <w:color w:val="auto"/>
        </w:rPr>
        <w:t>”) is made effective as of May 15, 2023 by and between Dine Brands Global, Inc., a Delaware corporation (the “</w:t>
      </w:r>
      <w:r>
        <w:rPr>
          <w:rFonts w:ascii="Arial" w:cs="Arial" w:eastAsia="Arial" w:hAnsi="Arial"/>
          <w:sz w:val="20"/>
          <w:szCs w:val="20"/>
          <w:b w:val="1"/>
          <w:bCs w:val="1"/>
          <w:color w:val="auto"/>
        </w:rPr>
        <w:t>Corporation</w:t>
      </w:r>
      <w:r>
        <w:rPr>
          <w:rFonts w:ascii="Arial" w:cs="Arial" w:eastAsia="Arial" w:hAnsi="Arial"/>
          <w:sz w:val="20"/>
          <w:szCs w:val="20"/>
          <w:color w:val="auto"/>
        </w:rPr>
        <w:t>”), and John W. Peyton (the “</w:t>
      </w:r>
      <w:r>
        <w:rPr>
          <w:rFonts w:ascii="Arial" w:cs="Arial" w:eastAsia="Arial" w:hAnsi="Arial"/>
          <w:sz w:val="20"/>
          <w:szCs w:val="20"/>
          <w:b w:val="1"/>
          <w:bCs w:val="1"/>
          <w:color w:val="auto"/>
        </w:rPr>
        <w:t>Executive</w:t>
      </w:r>
      <w:r>
        <w:rPr>
          <w:rFonts w:ascii="Arial" w:cs="Arial" w:eastAsia="Arial" w:hAnsi="Arial"/>
          <w:sz w:val="20"/>
          <w:szCs w:val="20"/>
          <w:color w:val="auto"/>
        </w:rPr>
        <w:t>”) as an amendment to the Employment Agreement between the parties effective November 13, 2020 (the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mutually desire to amend the Employment Agreement as set forth herein.</w:t>
      </w:r>
    </w:p>
    <w:p>
      <w:pPr>
        <w:spacing w:after="0" w:line="121" w:lineRule="exact"/>
        <w:rPr>
          <w:sz w:val="20"/>
          <w:szCs w:val="20"/>
          <w:color w:val="auto"/>
        </w:rPr>
      </w:pPr>
    </w:p>
    <w:p>
      <w:pPr>
        <w:ind w:right="440"/>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promises and the mutual terms and conditions hereof, the Corporation and the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 as follows:</w:t>
      </w:r>
    </w:p>
    <w:p>
      <w:pPr>
        <w:spacing w:after="0" w:line="42" w:lineRule="exact"/>
        <w:rPr>
          <w:sz w:val="20"/>
          <w:szCs w:val="20"/>
          <w:color w:val="auto"/>
        </w:rPr>
      </w:pPr>
    </w:p>
    <w:p>
      <w:pPr>
        <w:ind w:left="660" w:hanging="4"/>
        <w:spacing w:after="0" w:line="281" w:lineRule="auto"/>
        <w:tabs>
          <w:tab w:leader="none" w:pos="1308"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Effective July 1, 2023, Subsection b. of Section 5 of the Employment Agreement is hereby amended to read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47" w:lineRule="exact"/>
        <w:rPr>
          <w:rFonts w:ascii="Arial" w:cs="Arial" w:eastAsia="Arial" w:hAnsi="Arial"/>
          <w:sz w:val="20"/>
          <w:szCs w:val="20"/>
          <w:color w:val="auto"/>
        </w:rPr>
      </w:pPr>
    </w:p>
    <w:p>
      <w:pPr>
        <w:ind w:left="980" w:right="140"/>
        <w:spacing w:after="0" w:line="265" w:lineRule="auto"/>
        <w:tabs>
          <w:tab w:leader="none" w:pos="1167"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Annual Incentives. The Executive shall be paid such additional compensation and bonuses as may be determined and authorized in the discretion of the Compensation Committee, subject to ratification by the Board. The Executive’s target annual bonus, to be payable under the Corporation’s annual incentive plan, shall be 100% of the Executive’s Base Salary, with a maximum payout of 200% of the Executive’s Base Salary;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effective July 1, 2023 (and applicable on a prorated basis to the portion of the Corporation’s 2023 fiscal year beginning on such date), the Executive’s target annual bonus will increase to 150% of the Executive’s Base Salary, with a maximum payout of 300% of the Executive’s Base Salary. Such annual bonus shall be considered earned and payable if the Executive is employed on the last day of the applicable fiscal year, regardless of whether this Agreement expires or the Executive’s employment terminates after such date. The Compensation Committee will develop and approve the performance goals applicable to the Executive’s annual bonus, after soliciting and considering the input of the Executive.</w:t>
      </w:r>
    </w:p>
    <w:p>
      <w:pPr>
        <w:spacing w:after="0" w:line="65" w:lineRule="exact"/>
        <w:rPr>
          <w:rFonts w:ascii="Arial" w:cs="Arial" w:eastAsia="Arial" w:hAnsi="Arial"/>
          <w:sz w:val="19"/>
          <w:szCs w:val="19"/>
          <w:color w:val="auto"/>
        </w:rPr>
      </w:pPr>
    </w:p>
    <w:p>
      <w:pPr>
        <w:ind w:left="660" w:right="160" w:hanging="4"/>
        <w:spacing w:after="0" w:line="286" w:lineRule="auto"/>
        <w:tabs>
          <w:tab w:leader="none" w:pos="1308"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Agreement, as amended by this Agreement, sets forth the entire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supersedes all prior agreements or understandings, whether written or oral, with respect to the subject matter hereof and all agreements, acknowledgments, designations and directions of the Executive made or given under any Corporation policy statement or benefit program. Except as expressly amended herein, all other terms and conditions of the Employment Agreement shall remain unmodified and in full force and effect. No terms, conditions, warranties, other than those contained herein, and no amendments or modifications hereto shall be binding unless made in writing and signed by the parties hereto.</w:t>
      </w:r>
    </w:p>
    <w:p>
      <w:pPr>
        <w:spacing w:after="0" w:line="59" w:lineRule="exact"/>
        <w:rPr>
          <w:rFonts w:ascii="Arial" w:cs="Arial" w:eastAsia="Arial" w:hAnsi="Arial"/>
          <w:sz w:val="18"/>
          <w:szCs w:val="18"/>
          <w:color w:val="auto"/>
        </w:rPr>
      </w:pPr>
    </w:p>
    <w:p>
      <w:pPr>
        <w:ind w:left="660" w:right="360" w:hanging="4"/>
        <w:spacing w:after="0" w:line="258" w:lineRule="auto"/>
        <w:tabs>
          <w:tab w:leader="none" w:pos="1308"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extend to and be binding upon and inure to the benefit of the parties hereto,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heirs, representatives, successors and assigns. This Amendment may not be assigned by the Executive, but may be assigned by the Corporation to any person or entity that succeeds to the ownership or operation of the business in which the Executive is primarily employed by the Corporation.</w:t>
      </w:r>
    </w:p>
    <w:p>
      <w:pPr>
        <w:spacing w:after="0" w:line="64" w:lineRule="exact"/>
        <w:rPr>
          <w:rFonts w:ascii="Arial" w:cs="Arial" w:eastAsia="Arial" w:hAnsi="Arial"/>
          <w:sz w:val="20"/>
          <w:szCs w:val="20"/>
          <w:color w:val="auto"/>
        </w:rPr>
      </w:pPr>
    </w:p>
    <w:p>
      <w:pPr>
        <w:ind w:left="660" w:right="200" w:hanging="4"/>
        <w:spacing w:after="0" w:line="308" w:lineRule="auto"/>
        <w:tabs>
          <w:tab w:leader="none" w:pos="1308"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No purported waiver of a breach or default will be valid unless specifically stated in writing by the waiving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No such waiver waives any subsequent breach or default of the same or any other terms in this Amendment.</w:t>
      </w:r>
    </w:p>
    <w:p>
      <w:pPr>
        <w:sectPr>
          <w:pgSz w:w="11900" w:h="16838" w:orient="portrait"/>
          <w:cols w:equalWidth="0" w:num="1">
            <w:col w:w="11200"/>
          </w:cols>
          <w:pgMar w:left="320" w:top="468" w:right="37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4"/>
        <w:spacing w:after="0" w:line="308" w:lineRule="auto"/>
        <w:tabs>
          <w:tab w:leader="none" w:pos="1308"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Amendment may be executed in any number of counterparts and by any electronic means,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an original and all of which, when taken together, shall constitute one and the same agreement.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and the Executive have executed this Amendment as of the date and year first above written.</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20" w:type="dxa"/>
            <w:vAlign w:val="bottom"/>
          </w:tcPr>
          <w:p>
            <w:pPr>
              <w:ind w:left="20"/>
              <w:spacing w:after="0"/>
              <w:rPr>
                <w:sz w:val="20"/>
                <w:szCs w:val="20"/>
                <w:color w:val="auto"/>
              </w:rPr>
            </w:pPr>
            <w:r>
              <w:rPr>
                <w:rFonts w:ascii="Arial" w:cs="Arial" w:eastAsia="Arial" w:hAnsi="Arial"/>
                <w:sz w:val="20"/>
                <w:szCs w:val="20"/>
                <w:b w:val="1"/>
                <w:bCs w:val="1"/>
                <w:color w:val="auto"/>
              </w:rPr>
              <w:t>EXECUTIVE:</w:t>
            </w:r>
          </w:p>
        </w:tc>
        <w:tc>
          <w:tcPr>
            <w:tcW w:w="9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20"/>
                <w:szCs w:val="20"/>
                <w:b w:val="1"/>
                <w:bCs w:val="1"/>
                <w:color w:val="auto"/>
              </w:rPr>
              <w:t>Dine Brands Global, Inc.:</w:t>
            </w:r>
          </w:p>
        </w:tc>
      </w:tr>
      <w:tr>
        <w:trPr>
          <w:trHeight w:val="78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By: /s/ John W. Peyton</w:t>
            </w:r>
          </w:p>
        </w:tc>
        <w:tc>
          <w:tcPr>
            <w:tcW w:w="98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By: /s/ Christine K. Son</w:t>
            </w:r>
          </w:p>
        </w:tc>
      </w:tr>
      <w:tr>
        <w:trPr>
          <w:trHeight w:val="249"/>
        </w:trPr>
        <w:tc>
          <w:tcPr>
            <w:tcW w:w="4920" w:type="dxa"/>
            <w:vAlign w:val="bottom"/>
          </w:tcPr>
          <w:p>
            <w:pPr>
              <w:ind w:left="240"/>
              <w:spacing w:after="0"/>
              <w:rPr>
                <w:sz w:val="20"/>
                <w:szCs w:val="20"/>
                <w:color w:val="auto"/>
              </w:rPr>
            </w:pPr>
            <w:r>
              <w:rPr>
                <w:rFonts w:ascii="Arial" w:cs="Arial" w:eastAsia="Arial" w:hAnsi="Arial"/>
                <w:sz w:val="20"/>
                <w:szCs w:val="20"/>
                <w:color w:val="auto"/>
              </w:rPr>
              <w:t>John W. Peyton</w:t>
            </w:r>
          </w:p>
        </w:tc>
        <w:tc>
          <w:tcPr>
            <w:tcW w:w="98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20"/>
                <w:szCs w:val="20"/>
                <w:color w:val="auto"/>
              </w:rPr>
              <w:t>Name: Christine K Son</w:t>
            </w:r>
          </w:p>
        </w:tc>
      </w:tr>
      <w:tr>
        <w:trPr>
          <w:trHeight w:val="195"/>
        </w:trPr>
        <w:tc>
          <w:tcPr>
            <w:tcW w:w="4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900" w:type="dxa"/>
            <w:vAlign w:val="bottom"/>
          </w:tcPr>
          <w:p>
            <w:pPr>
              <w:ind w:left="20"/>
              <w:spacing w:after="0" w:line="195" w:lineRule="exact"/>
              <w:rPr>
                <w:sz w:val="20"/>
                <w:szCs w:val="20"/>
                <w:color w:val="auto"/>
              </w:rPr>
            </w:pPr>
            <w:r>
              <w:rPr>
                <w:rFonts w:ascii="Arial" w:cs="Arial" w:eastAsia="Arial" w:hAnsi="Arial"/>
                <w:sz w:val="20"/>
                <w:szCs w:val="20"/>
                <w:color w:val="auto"/>
                <w:w w:val="96"/>
              </w:rPr>
              <w:t>Title: Senior Vice President, Legal, General Counsel and</w:t>
            </w:r>
          </w:p>
        </w:tc>
      </w:tr>
      <w:tr>
        <w:trPr>
          <w:trHeight w:val="250"/>
        </w:trPr>
        <w:tc>
          <w:tcPr>
            <w:tcW w:w="4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20"/>
                <w:szCs w:val="20"/>
                <w:color w:val="auto"/>
              </w:rPr>
              <w:t>Secretary</w:t>
            </w:r>
          </w:p>
        </w:tc>
      </w:tr>
    </w:tbl>
    <w:p>
      <w:pPr>
        <w:sectPr>
          <w:pgSz w:w="11900" w:h="16838" w:orient="portrait"/>
          <w:cols w:equalWidth="0" w:num="1">
            <w:col w:w="11240"/>
          </w:cols>
          <w:pgMar w:left="320" w:top="468"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117" w:lineRule="exact"/>
        <w:rPr>
          <w:rFonts w:ascii="Arial" w:cs="Arial" w:eastAsia="Arial" w:hAnsi="Arial"/>
          <w:sz w:val="18"/>
          <w:szCs w:val="18"/>
          <w:color w:val="auto"/>
        </w:rPr>
      </w:pPr>
    </w:p>
    <w:p>
      <w:pPr>
        <w:ind w:firstLine="8"/>
        <w:spacing w:after="0" w:line="342" w:lineRule="auto"/>
        <w:tabs>
          <w:tab w:leader="none" w:pos="7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6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8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firstLine="656"/>
        <w:spacing w:after="0" w:line="263" w:lineRule="auto"/>
        <w:tabs>
          <w:tab w:leader="none" w:pos="9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656"/>
        <w:spacing w:after="0" w:line="263"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656"/>
        <w:spacing w:after="0" w:line="308" w:lineRule="auto"/>
        <w:tabs>
          <w:tab w:leader="none" w:pos="1179"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firstLine="656"/>
        <w:spacing w:after="0" w:line="263" w:lineRule="auto"/>
        <w:tabs>
          <w:tab w:leader="none" w:pos="9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8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656"/>
        <w:spacing w:after="0" w:line="277" w:lineRule="auto"/>
        <w:tabs>
          <w:tab w:leader="none" w:pos="91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656"/>
        <w:spacing w:after="0" w:line="277" w:lineRule="auto"/>
        <w:tabs>
          <w:tab w:leader="none" w:pos="10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880"/>
        <w:spacing w:after="0"/>
        <w:tabs>
          <w:tab w:leader="none" w:pos="8580" w:val="left"/>
        </w:tabs>
        <w:rPr>
          <w:sz w:val="20"/>
          <w:szCs w:val="20"/>
          <w:color w:val="auto"/>
        </w:rPr>
      </w:pPr>
      <w:r>
        <w:rPr>
          <w:rFonts w:ascii="Arial" w:cs="Arial" w:eastAsia="Arial" w:hAnsi="Arial"/>
          <w:sz w:val="18"/>
          <w:szCs w:val="18"/>
          <w:color w:val="auto"/>
        </w:rPr>
        <w:t>Dated: 3rd day of August, 2023</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14605</wp:posOffset>
            </wp:positionV>
            <wp:extent cx="23742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55"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John W. Peyton</w:t>
      </w:r>
    </w:p>
    <w:p>
      <w:pPr>
        <w:jc w:val="center"/>
        <w:ind w:left="7300"/>
        <w:spacing w:after="0" w:line="219" w:lineRule="auto"/>
        <w:rPr>
          <w:sz w:val="20"/>
          <w:szCs w:val="20"/>
          <w:color w:val="auto"/>
        </w:rPr>
      </w:pPr>
      <w:r>
        <w:rPr>
          <w:rFonts w:ascii="Arial" w:cs="Arial" w:eastAsia="Arial" w:hAnsi="Arial"/>
          <w:sz w:val="18"/>
          <w:szCs w:val="18"/>
          <w:i w:val="1"/>
          <w:iCs w:val="1"/>
          <w:color w:val="auto"/>
        </w:rPr>
        <w:t>Chief Executive Officer</w:t>
      </w:r>
    </w:p>
    <w:p>
      <w:pPr>
        <w:ind w:left="82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0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117" w:lineRule="exact"/>
        <w:rPr>
          <w:rFonts w:ascii="Arial" w:cs="Arial" w:eastAsia="Arial" w:hAnsi="Arial"/>
          <w:sz w:val="18"/>
          <w:szCs w:val="18"/>
          <w:color w:val="auto"/>
        </w:rPr>
      </w:pPr>
    </w:p>
    <w:p>
      <w:pPr>
        <w:ind w:right="100" w:firstLine="8"/>
        <w:spacing w:after="0" w:line="342"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00" w:firstLine="8"/>
        <w:spacing w:after="0" w:line="263" w:lineRule="auto"/>
        <w:tabs>
          <w:tab w:leader="none" w:pos="6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656"/>
        <w:spacing w:after="0" w:line="263" w:lineRule="auto"/>
        <w:tabs>
          <w:tab w:leader="none" w:pos="13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132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00" w:firstLine="656"/>
        <w:spacing w:after="0" w:line="308" w:lineRule="auto"/>
        <w:tabs>
          <w:tab w:leader="none" w:pos="132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180" w:firstLine="656"/>
        <w:spacing w:after="0" w:line="263" w:lineRule="auto"/>
        <w:tabs>
          <w:tab w:leader="none" w:pos="132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60" w:firstLine="8"/>
        <w:spacing w:after="0" w:line="342" w:lineRule="auto"/>
        <w:tabs>
          <w:tab w:leader="none" w:pos="6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40" w:firstLine="656"/>
        <w:spacing w:after="0" w:line="308" w:lineRule="auto"/>
        <w:tabs>
          <w:tab w:leader="none" w:pos="1301"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20" w:firstLine="656"/>
        <w:spacing w:after="0" w:line="277" w:lineRule="auto"/>
        <w:tabs>
          <w:tab w:leader="none" w:pos="13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880"/>
        <w:spacing w:after="0"/>
        <w:tabs>
          <w:tab w:leader="none" w:pos="8560" w:val="left"/>
        </w:tabs>
        <w:rPr>
          <w:sz w:val="20"/>
          <w:szCs w:val="20"/>
          <w:color w:val="auto"/>
        </w:rPr>
      </w:pPr>
      <w:r>
        <w:rPr>
          <w:rFonts w:ascii="Arial" w:cs="Arial" w:eastAsia="Arial" w:hAnsi="Arial"/>
          <w:sz w:val="18"/>
          <w:szCs w:val="18"/>
          <w:color w:val="auto"/>
        </w:rPr>
        <w:t>Dated: 3rd day of August, 2023</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14605</wp:posOffset>
            </wp:positionV>
            <wp:extent cx="234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Vance Y. Chang</w:t>
      </w:r>
    </w:p>
    <w:p>
      <w:pPr>
        <w:jc w:val="center"/>
        <w:ind w:left="724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04"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June 30, 2023, as filed with the Securities and Exchange Commission on the 3rd day of August, 2023 (the “Report”), John W. Peyton, as Chief Executive Officer of the Company, hereby certifies, pursuant to 18 U.S.C. Section 1350, as adopted pursuant to Section 906 of the Sarbanes-Oxley Act of 2002, to the best of his knowledge, that:</w:t>
      </w:r>
    </w:p>
    <w:p>
      <w:pPr>
        <w:spacing w:after="0" w:line="217" w:lineRule="exact"/>
        <w:rPr>
          <w:sz w:val="20"/>
          <w:szCs w:val="20"/>
          <w:color w:val="auto"/>
        </w:rPr>
      </w:pPr>
    </w:p>
    <w:p>
      <w:pPr>
        <w:ind w:left="1660" w:hanging="518"/>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15" w:lineRule="exact"/>
        <w:rPr>
          <w:rFonts w:ascii="Arial" w:cs="Arial" w:eastAsia="Arial" w:hAnsi="Arial"/>
          <w:sz w:val="16"/>
          <w:szCs w:val="16"/>
          <w:color w:val="auto"/>
        </w:rPr>
      </w:pPr>
    </w:p>
    <w:p>
      <w:pPr>
        <w:ind w:left="1760" w:hanging="618"/>
        <w:spacing w:after="0"/>
        <w:tabs>
          <w:tab w:leader="none" w:pos="1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20" w:lineRule="exact"/>
        <w:rPr>
          <w:sz w:val="20"/>
          <w:szCs w:val="20"/>
          <w:color w:val="auto"/>
        </w:rPr>
      </w:pPr>
    </w:p>
    <w:p>
      <w:pPr>
        <w:ind w:left="20"/>
        <w:spacing w:after="0"/>
        <w:tabs>
          <w:tab w:leader="none" w:pos="900" w:val="left"/>
          <w:tab w:leader="none" w:pos="8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3rd day of August, 2023</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713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55"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John W. Peyton</w:t>
      </w:r>
    </w:p>
    <w:p>
      <w:pPr>
        <w:jc w:val="center"/>
        <w:ind w:left="7580"/>
        <w:spacing w:after="0" w:line="203" w:lineRule="auto"/>
        <w:rPr>
          <w:sz w:val="20"/>
          <w:szCs w:val="20"/>
          <w:color w:val="auto"/>
        </w:rPr>
      </w:pPr>
      <w:r>
        <w:rPr>
          <w:rFonts w:ascii="Arial" w:cs="Arial" w:eastAsia="Arial" w:hAnsi="Arial"/>
          <w:sz w:val="18"/>
          <w:szCs w:val="18"/>
          <w:i w:val="1"/>
          <w:iCs w:val="1"/>
          <w:color w:val="auto"/>
        </w:rPr>
        <w:t>Chief Executive Officer</w:t>
      </w:r>
    </w:p>
    <w:p>
      <w:pPr>
        <w:jc w:val="cente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3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4"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June 30, 2023, as filed with the Securities and Exchange Commission on the 3rd day of August, 2023 (the “Report”), Vance Y. Chang, as Chief Financial Officer of the Company, hereby certifies, pursuant to 18 U.S.C. Section 1350, as adopted pursuant to Section 906 of the Sarbanes-Oxley Act of 2002, to the best of his knowledge, that:</w:t>
      </w:r>
    </w:p>
    <w:p>
      <w:pPr>
        <w:spacing w:after="0" w:line="217" w:lineRule="exact"/>
        <w:rPr>
          <w:sz w:val="20"/>
          <w:szCs w:val="20"/>
          <w:color w:val="auto"/>
        </w:rPr>
      </w:pPr>
    </w:p>
    <w:p>
      <w:pPr>
        <w:ind w:left="1660" w:hanging="518"/>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15" w:lineRule="exact"/>
        <w:rPr>
          <w:rFonts w:ascii="Arial" w:cs="Arial" w:eastAsia="Arial" w:hAnsi="Arial"/>
          <w:sz w:val="16"/>
          <w:szCs w:val="16"/>
          <w:color w:val="auto"/>
        </w:rPr>
      </w:pPr>
    </w:p>
    <w:p>
      <w:pPr>
        <w:ind w:left="1760" w:hanging="618"/>
        <w:spacing w:after="0"/>
        <w:tabs>
          <w:tab w:leader="none" w:pos="1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20" w:lineRule="exact"/>
        <w:rPr>
          <w:sz w:val="20"/>
          <w:szCs w:val="20"/>
          <w:color w:val="auto"/>
        </w:rPr>
      </w:pPr>
    </w:p>
    <w:p>
      <w:pPr>
        <w:ind w:left="20"/>
        <w:spacing w:after="0"/>
        <w:tabs>
          <w:tab w:leader="none" w:pos="900" w:val="left"/>
          <w:tab w:leader="none" w:pos="8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3rd day of August, 2023</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54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5"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Vance Y. Chang</w:t>
      </w:r>
    </w:p>
    <w:p>
      <w:pPr>
        <w:jc w:val="center"/>
        <w:ind w:left="766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7660"/>
        <w:spacing w:after="0"/>
        <w:rPr>
          <w:sz w:val="20"/>
          <w:szCs w:val="20"/>
          <w:color w:val="auto"/>
        </w:rPr>
      </w:pPr>
      <w:r>
        <w:rPr>
          <w:rFonts w:ascii="Arial" w:cs="Arial" w:eastAsia="Arial" w:hAnsi="Arial"/>
          <w:sz w:val="18"/>
          <w:szCs w:val="18"/>
          <w:i w:val="1"/>
          <w:iCs w:val="1"/>
          <w:color w:val="auto"/>
        </w:rPr>
        <w:t>(Principal Financial Officer)</w:t>
      </w:r>
    </w:p>
    <w:p>
      <w:pPr>
        <w:spacing w:after="0" w:line="3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2"/>
    </w:lvl>
  </w:abstractNum>
  <w:abstractNum w:abstractNumId="12">
    <w:nsid w:val="436C6125"/>
    <w:multiLevelType w:val="hybridMultilevel"/>
    <w:lvl w:ilvl="0">
      <w:lvlJc w:val="left"/>
      <w:lvlText w:val="(%1)"/>
      <w:numFmt w:val="lowerLetter"/>
      <w:start w:val="3"/>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
      <w:numFmt w:val="bullet"/>
      <w:start w:val="1"/>
    </w:lvl>
    <w:lvl w:ilvl="1">
      <w:lvlJc w:val="left"/>
      <w:lvlText w:val="%2"/>
      <w:numFmt w:val="decimal"/>
      <w:start w:val="104"/>
    </w:lvl>
  </w:abstractNum>
  <w:abstractNum w:abstractNumId="19">
    <w:nsid w:val="75A2A8D4"/>
    <w:multiLevelType w:val="hybridMultilevel"/>
    <w:lvl w:ilvl="0">
      <w:lvlJc w:val="left"/>
      <w:lvlText w:val="**"/>
      <w:numFmt w:val="bullet"/>
      <w:start w:val="1"/>
    </w:lvl>
    <w:lvl w:ilvl="1">
      <w:lvlJc w:val="left"/>
      <w:lvlText w:val="%2"/>
      <w:numFmt w:val="decimal"/>
      <w:start w:val="1"/>
    </w:lvl>
  </w:abstractNum>
  <w:abstractNum w:abstractNumId="20">
    <w:nsid w:val="8EDBDAB"/>
    <w:multiLevelType w:val="hybridMultilevel"/>
    <w:lvl w:ilvl="0">
      <w:lvlJc w:val="left"/>
      <w:lvlText w:val="***"/>
      <w:numFmt w:val="bullet"/>
      <w:start w:val="1"/>
    </w:lvl>
    <w:lvl w:ilvl="1">
      <w:lvlJc w:val="left"/>
      <w:lvlText w:val="%2"/>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2."/>
      <w:numFmt w:val="lowerLetter"/>
      <w:start w:val="2"/>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64" Type="http://schemas.openxmlformats.org/officeDocument/2006/relationships/hyperlink" Target="https://www.sec.gov/Archives/edgar/data/49754/000119312523144214/d462889dex31.htm" TargetMode="External"/><Relationship Id="rId65" Type="http://schemas.openxmlformats.org/officeDocument/2006/relationships/hyperlink" Target="https://www.sec.gov/Archives/edgar/data/49754/000119312523144214/d462889dex32.htm" TargetMode="External"/><Relationship Id="rId66" Type="http://schemas.openxmlformats.org/officeDocument/2006/relationships/hyperlink" Target="https://www.sec.gov/Archives/edgar/data/49754/000119312523103657/d461220dex41.htm" TargetMode="External"/><Relationship Id="rId67" Type="http://schemas.openxmlformats.org/officeDocument/2006/relationships/hyperlink" Target="https://www.sec.gov/Archives/edgar/data/49754/000119312523103657/d461220dex42.htm" TargetMode="External"/><Relationship Id="rId68" Type="http://schemas.openxmlformats.org/officeDocument/2006/relationships/hyperlink" Target="https://www.sec.gov/Archives/edgar/data/49754/000119312523103657/d4612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2023-08-03T06:40:26Z</dcterms:created>
  <dcterms:modified xsi:type="dcterms:W3CDTF">2023-08-03T06:40:26Z</dcterms:modified>
</cp:coreProperties>
</file>