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1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line="215" w:lineRule="auto"/>
        <w:rPr>
          <w:sz w:val="20"/>
          <w:szCs w:val="20"/>
          <w:color w:val="auto"/>
        </w:rPr>
      </w:pPr>
      <w:r>
        <w:rPr>
          <w:rFonts w:ascii="Times New Roman" w:cs="Times New Roman" w:eastAsia="Times New Roman" w:hAnsi="Times New Roman"/>
          <w:sz w:val="18"/>
          <w:szCs w:val="18"/>
          <w:b w:val="1"/>
          <w:bCs w:val="1"/>
          <w:color w:val="auto"/>
        </w:rPr>
        <w:t>Washington, D.C. 20549</w:t>
      </w:r>
    </w:p>
    <w:p>
      <w:pPr>
        <w:ind w:left="3400"/>
        <w:spacing w:after="0" w:line="238" w:lineRule="auto"/>
        <w:rPr>
          <w:sz w:val="20"/>
          <w:szCs w:val="20"/>
          <w:color w:val="auto"/>
        </w:rPr>
      </w:pPr>
      <w:r>
        <w:rPr>
          <w:rFonts w:ascii="Times New Roman" w:cs="Times New Roman" w:eastAsia="Times New Roman" w:hAnsi="Times New Roman"/>
          <w:sz w:val="18"/>
          <w:szCs w:val="18"/>
          <w:color w:val="auto"/>
        </w:rPr>
        <w:t>__________________________________________________</w:t>
      </w:r>
    </w:p>
    <w:p>
      <w:pPr>
        <w:jc w:val="center"/>
        <w:ind w:right="-19"/>
        <w:spacing w:after="0" w:line="220" w:lineRule="auto"/>
        <w:rPr>
          <w:sz w:val="20"/>
          <w:szCs w:val="20"/>
          <w:color w:val="auto"/>
        </w:rPr>
      </w:pPr>
      <w:r>
        <w:rPr>
          <w:rFonts w:ascii="Times New Roman" w:cs="Times New Roman" w:eastAsia="Times New Roman" w:hAnsi="Times New Roman"/>
          <w:sz w:val="32"/>
          <w:szCs w:val="32"/>
          <w:b w:val="1"/>
          <w:bCs w:val="1"/>
          <w:color w:val="auto"/>
        </w:rPr>
        <w:t>FORM 10-Q</w:t>
      </w:r>
    </w:p>
    <w:p>
      <w:pPr>
        <w:ind w:left="60"/>
        <w:spacing w:after="0" w:line="231" w:lineRule="auto"/>
        <w:rPr>
          <w:sz w:val="20"/>
          <w:szCs w:val="20"/>
          <w:color w:val="auto"/>
        </w:rPr>
      </w:pPr>
      <w:r>
        <w:rPr>
          <w:rFonts w:ascii="Times New Roman" w:cs="Times New Roman" w:eastAsia="Times New Roman" w:hAnsi="Times New Roman"/>
          <w:sz w:val="18"/>
          <w:szCs w:val="18"/>
          <w:b w:val="1"/>
          <w:bCs w:val="1"/>
          <w:color w:val="auto"/>
        </w:rPr>
        <w:t>(Mark One)</w:t>
      </w:r>
    </w:p>
    <w:p>
      <w:pPr>
        <w:spacing w:after="0" w:line="1" w:lineRule="exact"/>
        <w:rPr>
          <w:sz w:val="24"/>
          <w:szCs w:val="24"/>
          <w:color w:val="auto"/>
        </w:rPr>
      </w:pPr>
    </w:p>
    <w:p>
      <w:pPr>
        <w:ind w:right="520" w:firstLine="324"/>
        <w:spacing w:after="0" w:line="230" w:lineRule="auto"/>
        <w:tabs>
          <w:tab w:leader="none" w:pos="742" w:val="left"/>
        </w:tabs>
        <w:numPr>
          <w:ilvl w:val="0"/>
          <w:numId w:val="1"/>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QUARTERLY REPORT PURSUANT TO SECTION 13 OR 15(d) OF THE SECURITIES EXCHANGE ACT OF 1934</w:t>
      </w:r>
    </w:p>
    <w:p>
      <w:pPr>
        <w:jc w:val="center"/>
        <w:ind w:right="-79"/>
        <w:spacing w:after="0" w:line="231" w:lineRule="auto"/>
        <w:rPr>
          <w:sz w:val="20"/>
          <w:szCs w:val="20"/>
          <w:color w:val="auto"/>
        </w:rPr>
      </w:pPr>
      <w:r>
        <w:rPr>
          <w:rFonts w:ascii="Times New Roman" w:cs="Times New Roman" w:eastAsia="Times New Roman" w:hAnsi="Times New Roman"/>
          <w:sz w:val="18"/>
          <w:szCs w:val="18"/>
          <w:b w:val="1"/>
          <w:bCs w:val="1"/>
          <w:color w:val="auto"/>
        </w:rPr>
        <w:t>For the quarterly period ended September 30, 2022</w:t>
      </w:r>
    </w:p>
    <w:p>
      <w:pPr>
        <w:jc w:val="center"/>
        <w:ind w:right="-79"/>
        <w:spacing w:after="0" w:line="215" w:lineRule="auto"/>
        <w:rPr>
          <w:sz w:val="20"/>
          <w:szCs w:val="20"/>
          <w:color w:val="auto"/>
        </w:rPr>
      </w:pPr>
      <w:r>
        <w:rPr>
          <w:rFonts w:ascii="Times New Roman" w:cs="Times New Roman" w:eastAsia="Times New Roman" w:hAnsi="Times New Roman"/>
          <w:sz w:val="18"/>
          <w:szCs w:val="18"/>
          <w:b w:val="1"/>
          <w:bCs w:val="1"/>
          <w:color w:val="auto"/>
        </w:rPr>
        <w:t>OR</w:t>
      </w:r>
    </w:p>
    <w:p>
      <w:pPr>
        <w:ind w:left="700" w:hanging="376"/>
        <w:spacing w:after="0" w:line="219" w:lineRule="auto"/>
        <w:tabs>
          <w:tab w:leader="none" w:pos="700" w:val="left"/>
        </w:tabs>
        <w:numPr>
          <w:ilvl w:val="0"/>
          <w:numId w:val="2"/>
        </w:numPr>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TRANSITION REPORT PURSUANT TO SECTION 13 OR 15(d) OF THE SECURITIES EXCHANGE ACT OF</w:t>
      </w:r>
    </w:p>
    <w:p>
      <w:pPr>
        <w:spacing w:after="0" w:line="215" w:lineRule="auto"/>
        <w:rPr>
          <w:rFonts w:ascii="MS PGothic" w:cs="MS PGothic" w:eastAsia="MS PGothic" w:hAnsi="MS PGothic"/>
          <w:sz w:val="21"/>
          <w:szCs w:val="21"/>
          <w:color w:val="auto"/>
        </w:rPr>
      </w:pPr>
      <w:r>
        <w:rPr>
          <w:rFonts w:ascii="Times New Roman" w:cs="Times New Roman" w:eastAsia="Times New Roman" w:hAnsi="Times New Roman"/>
          <w:sz w:val="21"/>
          <w:szCs w:val="21"/>
          <w:b w:val="1"/>
          <w:bCs w:val="1"/>
          <w:color w:val="auto"/>
        </w:rPr>
        <w:t>1934</w:t>
      </w:r>
    </w:p>
    <w:p>
      <w:pPr>
        <w:spacing w:after="0" w:line="1" w:lineRule="exact"/>
        <w:rPr>
          <w:sz w:val="24"/>
          <w:szCs w:val="24"/>
          <w:color w:val="auto"/>
        </w:rPr>
      </w:pPr>
    </w:p>
    <w:p>
      <w:pPr>
        <w:ind w:left="3680"/>
        <w:spacing w:after="0"/>
        <w:tabs>
          <w:tab w:leader="none" w:pos="67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5"/>
          <w:szCs w:val="15"/>
          <w:b w:val="1"/>
          <w:bCs w:val="1"/>
          <w:color w:val="auto"/>
        </w:rPr>
        <w:t>to</w:t>
      </w:r>
    </w:p>
    <w:p>
      <w:pPr>
        <w:spacing w:after="0" w:line="1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001-15283</w:t>
      </w:r>
    </w:p>
    <w:p>
      <w:pPr>
        <w:spacing w:after="0" w:line="12" w:lineRule="exact"/>
        <w:rPr>
          <w:sz w:val="24"/>
          <w:szCs w:val="24"/>
          <w:color w:val="auto"/>
        </w:rPr>
      </w:pPr>
    </w:p>
    <w:p>
      <w:pPr>
        <w:jc w:val="center"/>
        <w:ind w:right="-19"/>
        <w:spacing w:after="0"/>
        <w:rPr>
          <w:sz w:val="20"/>
          <w:szCs w:val="20"/>
          <w:color w:val="auto"/>
        </w:rPr>
      </w:pPr>
      <w:r>
        <w:rPr>
          <w:sz w:val="1"/>
          <w:szCs w:val="1"/>
          <w:color w:val="auto"/>
        </w:rPr>
        <w:drawing>
          <wp:inline distT="0" distB="0" distL="0" distR="0">
            <wp:extent cx="1127125" cy="5549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27125" cy="554990"/>
                    </a:xfrm>
                    <a:prstGeom prst="rect">
                      <a:avLst/>
                    </a:prstGeom>
                    <a:noFill/>
                    <a:ln>
                      <a:noFill/>
                    </a:ln>
                  </pic:spPr>
                </pic:pic>
              </a:graphicData>
            </a:graphic>
          </wp:inline>
        </w:drawing>
      </w:r>
      <w:r>
        <w:rPr>
          <w:rFonts w:ascii="Times New Roman" w:cs="Times New Roman" w:eastAsia="Times New Roman" w:hAnsi="Times New Roman"/>
          <w:sz w:val="32"/>
          <w:szCs w:val="32"/>
          <w:b w:val="1"/>
          <w:bCs w:val="1"/>
          <w:color w:val="auto"/>
        </w:rPr>
        <w:t xml:space="preserve"> Dine Brands Global, Inc. </w:t>
      </w:r>
      <w:r>
        <w:rPr>
          <w:sz w:val="1"/>
          <w:szCs w:val="1"/>
          <w:color w:val="auto"/>
        </w:rPr>
        <w:drawing>
          <wp:inline distT="0" distB="0" distL="0" distR="0">
            <wp:extent cx="908685" cy="5384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08685" cy="538480"/>
                    </a:xfrm>
                    <a:prstGeom prst="rect">
                      <a:avLst/>
                    </a:prstGeom>
                    <a:noFill/>
                    <a:ln>
                      <a:noFill/>
                    </a:ln>
                  </pic:spPr>
                </pic:pic>
              </a:graphicData>
            </a:graphic>
          </wp:inline>
        </w:drawing>
      </w:r>
    </w:p>
    <w:p>
      <w:pPr>
        <w:spacing w:after="0" w:line="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4" w:lineRule="exact"/>
        <w:rPr>
          <w:sz w:val="24"/>
          <w:szCs w:val="24"/>
          <w:color w:val="auto"/>
        </w:rPr>
      </w:pPr>
    </w:p>
    <w:tbl>
      <w:tblPr>
        <w:tblLayout w:type="fixed"/>
        <w:tblInd w:w="1880" w:type="dxa"/>
        <w:tblCellMar>
          <w:top w:w="0" w:type="dxa"/>
          <w:left w:w="0" w:type="dxa"/>
          <w:bottom w:w="0" w:type="dxa"/>
          <w:right w:w="0" w:type="dxa"/>
        </w:tblCellMar>
      </w:tblPr>
      <w:tr>
        <w:trPr>
          <w:trHeight w:val="210"/>
        </w:trPr>
        <w:tc>
          <w:tcPr>
            <w:tcW w:w="4840" w:type="dxa"/>
            <w:vAlign w:val="bottom"/>
          </w:tcPr>
          <w:p>
            <w:pPr>
              <w:jc w:val="center"/>
              <w:ind w:right="96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2560" w:type="dxa"/>
            <w:vAlign w:val="bottom"/>
          </w:tcPr>
          <w:p>
            <w:pPr>
              <w:jc w:val="center"/>
              <w:ind w:left="161"/>
              <w:spacing w:after="0"/>
              <w:rPr>
                <w:sz w:val="20"/>
                <w:szCs w:val="20"/>
                <w:color w:val="auto"/>
              </w:rPr>
            </w:pPr>
            <w:r>
              <w:rPr>
                <w:rFonts w:ascii="Times New Roman" w:cs="Times New Roman" w:eastAsia="Times New Roman" w:hAnsi="Times New Roman"/>
                <w:sz w:val="16"/>
                <w:szCs w:val="16"/>
                <w:b w:val="1"/>
                <w:bCs w:val="1"/>
                <w:color w:val="auto"/>
                <w:w w:val="98"/>
              </w:rPr>
              <w:t>95-3038279</w:t>
            </w:r>
          </w:p>
        </w:tc>
      </w:tr>
      <w:tr>
        <w:trPr>
          <w:trHeight w:val="212"/>
        </w:trPr>
        <w:tc>
          <w:tcPr>
            <w:tcW w:w="4840" w:type="dxa"/>
            <w:vAlign w:val="bottom"/>
          </w:tcPr>
          <w:p>
            <w:pPr>
              <w:jc w:val="center"/>
              <w:ind w:right="961"/>
              <w:spacing w:after="0"/>
              <w:rPr>
                <w:sz w:val="20"/>
                <w:szCs w:val="20"/>
                <w:color w:val="auto"/>
              </w:rPr>
            </w:pPr>
            <w:r>
              <w:rPr>
                <w:rFonts w:ascii="Times New Roman" w:cs="Times New Roman" w:eastAsia="Times New Roman" w:hAnsi="Times New Roman"/>
                <w:sz w:val="16"/>
                <w:szCs w:val="16"/>
                <w:color w:val="auto"/>
                <w:w w:val="99"/>
              </w:rPr>
              <w:t>(State or other jurisdiction of incorporation or organization)</w:t>
            </w:r>
          </w:p>
        </w:tc>
        <w:tc>
          <w:tcPr>
            <w:tcW w:w="2560" w:type="dxa"/>
            <w:vAlign w:val="bottom"/>
          </w:tcPr>
          <w:p>
            <w:pPr>
              <w:jc w:val="center"/>
              <w:ind w:left="161"/>
              <w:spacing w:after="0"/>
              <w:rPr>
                <w:sz w:val="20"/>
                <w:szCs w:val="20"/>
                <w:color w:val="auto"/>
              </w:rPr>
            </w:pPr>
            <w:r>
              <w:rPr>
                <w:rFonts w:ascii="Times New Roman" w:cs="Times New Roman" w:eastAsia="Times New Roman" w:hAnsi="Times New Roman"/>
                <w:sz w:val="16"/>
                <w:szCs w:val="16"/>
                <w:color w:val="auto"/>
                <w:w w:val="99"/>
              </w:rPr>
              <w:t>(I.R.S. Employer Identification No.)</w:t>
            </w:r>
          </w:p>
        </w:tc>
      </w:tr>
      <w:tr>
        <w:trPr>
          <w:trHeight w:val="212"/>
        </w:trPr>
        <w:tc>
          <w:tcPr>
            <w:tcW w:w="4840" w:type="dxa"/>
            <w:vAlign w:val="bottom"/>
          </w:tcPr>
          <w:p>
            <w:pPr>
              <w:jc w:val="center"/>
              <w:ind w:right="981"/>
              <w:spacing w:after="0"/>
              <w:rPr>
                <w:sz w:val="20"/>
                <w:szCs w:val="20"/>
                <w:color w:val="auto"/>
              </w:rPr>
            </w:pPr>
            <w:r>
              <w:rPr>
                <w:rFonts w:ascii="Times New Roman" w:cs="Times New Roman" w:eastAsia="Times New Roman" w:hAnsi="Times New Roman"/>
                <w:sz w:val="16"/>
                <w:szCs w:val="16"/>
                <w:b w:val="1"/>
                <w:bCs w:val="1"/>
                <w:color w:val="auto"/>
                <w:w w:val="99"/>
              </w:rPr>
              <w:t>450 North Brand Boulevard,</w:t>
            </w:r>
          </w:p>
        </w:tc>
        <w:tc>
          <w:tcPr>
            <w:tcW w:w="2560" w:type="dxa"/>
            <w:vAlign w:val="bottom"/>
          </w:tcPr>
          <w:p>
            <w:pPr>
              <w:jc w:val="center"/>
              <w:ind w:left="161"/>
              <w:spacing w:after="0"/>
              <w:rPr>
                <w:sz w:val="20"/>
                <w:szCs w:val="20"/>
                <w:color w:val="auto"/>
              </w:rPr>
            </w:pPr>
            <w:r>
              <w:rPr>
                <w:rFonts w:ascii="Times New Roman" w:cs="Times New Roman" w:eastAsia="Times New Roman" w:hAnsi="Times New Roman"/>
                <w:sz w:val="16"/>
                <w:szCs w:val="16"/>
                <w:b w:val="1"/>
                <w:bCs w:val="1"/>
                <w:color w:val="auto"/>
                <w:w w:val="98"/>
              </w:rPr>
              <w:t>91203-2346</w:t>
            </w:r>
          </w:p>
        </w:tc>
      </w:tr>
      <w:tr>
        <w:trPr>
          <w:trHeight w:val="212"/>
        </w:trPr>
        <w:tc>
          <w:tcPr>
            <w:tcW w:w="4840" w:type="dxa"/>
            <w:vAlign w:val="bottom"/>
          </w:tcPr>
          <w:p>
            <w:pPr>
              <w:jc w:val="right"/>
              <w:ind w:right="2481"/>
              <w:spacing w:after="0"/>
              <w:rPr>
                <w:sz w:val="20"/>
                <w:szCs w:val="20"/>
                <w:color w:val="auto"/>
              </w:rPr>
            </w:pPr>
            <w:r>
              <w:rPr>
                <w:rFonts w:ascii="Times New Roman" w:cs="Times New Roman" w:eastAsia="Times New Roman" w:hAnsi="Times New Roman"/>
                <w:sz w:val="16"/>
                <w:szCs w:val="16"/>
                <w:b w:val="1"/>
                <w:bCs w:val="1"/>
                <w:color w:val="auto"/>
              </w:rPr>
              <w:t>Glendale, CA</w:t>
            </w:r>
          </w:p>
        </w:tc>
        <w:tc>
          <w:tcPr>
            <w:tcW w:w="2560" w:type="dxa"/>
            <w:vAlign w:val="bottom"/>
          </w:tcPr>
          <w:p>
            <w:pPr>
              <w:spacing w:after="0"/>
              <w:rPr>
                <w:sz w:val="18"/>
                <w:szCs w:val="18"/>
                <w:color w:val="auto"/>
              </w:rPr>
            </w:pPr>
          </w:p>
        </w:tc>
      </w:tr>
      <w:tr>
        <w:trPr>
          <w:trHeight w:val="212"/>
        </w:trPr>
        <w:tc>
          <w:tcPr>
            <w:tcW w:w="4840" w:type="dxa"/>
            <w:vAlign w:val="bottom"/>
          </w:tcPr>
          <w:p>
            <w:pPr>
              <w:jc w:val="center"/>
              <w:ind w:right="961"/>
              <w:spacing w:after="0"/>
              <w:rPr>
                <w:sz w:val="20"/>
                <w:szCs w:val="20"/>
                <w:color w:val="auto"/>
              </w:rPr>
            </w:pPr>
            <w:r>
              <w:rPr>
                <w:rFonts w:ascii="Times New Roman" w:cs="Times New Roman" w:eastAsia="Times New Roman" w:hAnsi="Times New Roman"/>
                <w:sz w:val="16"/>
                <w:szCs w:val="16"/>
                <w:color w:val="auto"/>
                <w:w w:val="99"/>
              </w:rPr>
              <w:t>(Address of principal executive offices)</w:t>
            </w:r>
          </w:p>
        </w:tc>
        <w:tc>
          <w:tcPr>
            <w:tcW w:w="2560" w:type="dxa"/>
            <w:vAlign w:val="bottom"/>
          </w:tcPr>
          <w:p>
            <w:pPr>
              <w:jc w:val="center"/>
              <w:ind w:left="141"/>
              <w:spacing w:after="0"/>
              <w:rPr>
                <w:sz w:val="20"/>
                <w:szCs w:val="20"/>
                <w:color w:val="auto"/>
              </w:rPr>
            </w:pPr>
            <w:r>
              <w:rPr>
                <w:rFonts w:ascii="Times New Roman" w:cs="Times New Roman" w:eastAsia="Times New Roman" w:hAnsi="Times New Roman"/>
                <w:sz w:val="16"/>
                <w:szCs w:val="16"/>
                <w:color w:val="auto"/>
                <w:w w:val="98"/>
              </w:rPr>
              <w:t>(Zip Code)</w:t>
            </w:r>
          </w:p>
        </w:tc>
      </w:tr>
      <w:tr>
        <w:trPr>
          <w:trHeight w:val="517"/>
        </w:trPr>
        <w:tc>
          <w:tcPr>
            <w:tcW w:w="4840" w:type="dxa"/>
            <w:vAlign w:val="bottom"/>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rPr>
              <w:t>(818) 240-6055</w:t>
            </w:r>
          </w:p>
        </w:tc>
        <w:tc>
          <w:tcPr>
            <w:tcW w:w="2560" w:type="dxa"/>
            <w:vAlign w:val="bottom"/>
          </w:tcPr>
          <w:p>
            <w:pPr>
              <w:spacing w:after="0"/>
              <w:rPr>
                <w:sz w:val="24"/>
                <w:szCs w:val="24"/>
                <w:color w:val="auto"/>
              </w:rPr>
            </w:pPr>
          </w:p>
        </w:tc>
      </w:tr>
    </w:tbl>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98"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8"/>
          <w:szCs w:val="18"/>
          <w:color w:val="auto"/>
        </w:rPr>
        <w:t>______________________________________________________________</w:t>
      </w:r>
    </w:p>
    <w:p>
      <w:pPr>
        <w:spacing w:after="0" w:line="204"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5" w:lineRule="exact"/>
        <w:rPr>
          <w:sz w:val="24"/>
          <w:szCs w:val="24"/>
          <w:color w:val="auto"/>
        </w:rPr>
      </w:pPr>
    </w:p>
    <w:tbl>
      <w:tblPr>
        <w:tblLayout w:type="fixed"/>
        <w:tblInd w:w="20" w:type="dxa"/>
        <w:tblCellMar>
          <w:top w:w="0" w:type="dxa"/>
          <w:left w:w="0" w:type="dxa"/>
          <w:bottom w:w="0" w:type="dxa"/>
          <w:right w:w="0" w:type="dxa"/>
        </w:tblCellMar>
      </w:tblPr>
      <w:tr>
        <w:trPr>
          <w:trHeight w:val="186"/>
        </w:trPr>
        <w:tc>
          <w:tcPr>
            <w:tcW w:w="42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Trading symbol(s)</w:t>
            </w:r>
          </w:p>
        </w:tc>
        <w:tc>
          <w:tcPr>
            <w:tcW w:w="4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4"/>
        </w:trPr>
        <w:tc>
          <w:tcPr>
            <w:tcW w:w="40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800" w:type="dxa"/>
            <w:vAlign w:val="bottom"/>
            <w:tcBorders>
              <w:bottom w:val="single" w:sz="8" w:color="auto"/>
            </w:tcBorders>
          </w:tcPr>
          <w:p>
            <w:pPr>
              <w:spacing w:after="0"/>
              <w:rPr>
                <w:sz w:val="2"/>
                <w:szCs w:val="2"/>
                <w:color w:val="auto"/>
              </w:rPr>
            </w:pPr>
          </w:p>
        </w:tc>
        <w:tc>
          <w:tcPr>
            <w:tcW w:w="4200" w:type="dxa"/>
            <w:vAlign w:val="bottom"/>
            <w:tcBorders>
              <w:bottom w:val="single" w:sz="8" w:color="auto"/>
            </w:tcBorders>
          </w:tcPr>
          <w:p>
            <w:pPr>
              <w:spacing w:after="0"/>
              <w:rPr>
                <w:sz w:val="2"/>
                <w:szCs w:val="2"/>
                <w:color w:val="auto"/>
              </w:rPr>
            </w:pPr>
          </w:p>
        </w:tc>
      </w:tr>
      <w:tr>
        <w:trPr>
          <w:trHeight w:val="201"/>
        </w:trPr>
        <w:tc>
          <w:tcPr>
            <w:tcW w:w="40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Common Stock, $0.01 par value</w:t>
            </w:r>
          </w:p>
        </w:tc>
        <w:tc>
          <w:tcPr>
            <w:tcW w:w="180" w:type="dxa"/>
            <w:vAlign w:val="bottom"/>
          </w:tcPr>
          <w:p>
            <w:pPr>
              <w:spacing w:after="0"/>
              <w:rPr>
                <w:sz w:val="17"/>
                <w:szCs w:val="17"/>
                <w:color w:val="auto"/>
              </w:rPr>
            </w:pPr>
          </w:p>
        </w:tc>
        <w:tc>
          <w:tcPr>
            <w:tcW w:w="28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DIN</w:t>
            </w:r>
          </w:p>
        </w:tc>
        <w:tc>
          <w:tcPr>
            <w:tcW w:w="420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New York Stock Exchange</w:t>
            </w:r>
          </w:p>
        </w:tc>
      </w:tr>
    </w:tbl>
    <w:p>
      <w:pPr>
        <w:spacing w:after="0" w:line="251" w:lineRule="exact"/>
        <w:rPr>
          <w:sz w:val="24"/>
          <w:szCs w:val="24"/>
          <w:color w:val="auto"/>
        </w:rPr>
      </w:pPr>
    </w:p>
    <w:p>
      <w:pPr>
        <w:ind w:right="160" w:firstLine="318"/>
        <w:spacing w:after="0" w:line="227"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1" w:lineRule="exact"/>
        <w:rPr>
          <w:sz w:val="24"/>
          <w:szCs w:val="24"/>
          <w:color w:val="auto"/>
        </w:rPr>
      </w:pPr>
    </w:p>
    <w:p>
      <w:pPr>
        <w:ind w:right="180" w:firstLine="362"/>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9" w:lineRule="exact"/>
        <w:rPr>
          <w:sz w:val="24"/>
          <w:szCs w:val="24"/>
          <w:color w:val="auto"/>
        </w:rPr>
      </w:pPr>
    </w:p>
    <w:p>
      <w:pPr>
        <w:jc w:val="both"/>
        <w:ind w:right="140" w:firstLine="362"/>
        <w:spacing w:after="0" w:line="253"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1220" w:type="dxa"/>
        <w:tblCellMar>
          <w:top w:w="0" w:type="dxa"/>
          <w:left w:w="0" w:type="dxa"/>
          <w:bottom w:w="0" w:type="dxa"/>
          <w:right w:w="0" w:type="dxa"/>
        </w:tblCellMar>
      </w:tblPr>
      <w:tr>
        <w:trPr>
          <w:trHeight w:val="217"/>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2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70"/>
              </w:rPr>
              <w:t>☐</w:t>
            </w:r>
          </w:p>
        </w:tc>
        <w:tc>
          <w:tcPr>
            <w:tcW w:w="0" w:type="dxa"/>
            <w:vAlign w:val="bottom"/>
          </w:tcPr>
          <w:p>
            <w:pPr>
              <w:spacing w:after="0"/>
              <w:rPr>
                <w:sz w:val="1"/>
                <w:szCs w:val="1"/>
                <w:color w:val="auto"/>
              </w:rPr>
            </w:pPr>
          </w:p>
        </w:tc>
      </w:tr>
      <w:tr>
        <w:trPr>
          <w:trHeight w:val="278"/>
        </w:trPr>
        <w:tc>
          <w:tcPr>
            <w:tcW w:w="20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20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vMerge w:val="restart"/>
          </w:tcPr>
          <w:p>
            <w:pPr>
              <w:ind w:left="16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vMerge w:val="restart"/>
          </w:tcPr>
          <w:p>
            <w:pPr>
              <w:ind w:left="440"/>
              <w:spacing w:after="0" w:line="171" w:lineRule="exact"/>
              <w:rPr>
                <w:sz w:val="20"/>
                <w:szCs w:val="20"/>
                <w:color w:val="auto"/>
              </w:rPr>
            </w:pPr>
            <w:r>
              <w:rPr>
                <w:rFonts w:ascii="MS PGothic" w:cs="MS PGothic" w:eastAsia="MS PGothic" w:hAnsi="MS PGothic"/>
                <w:sz w:val="17"/>
                <w:szCs w:val="17"/>
                <w:color w:val="auto"/>
                <w:w w:val="70"/>
              </w:rPr>
              <w:t>☐</w:t>
            </w:r>
          </w:p>
        </w:tc>
        <w:tc>
          <w:tcPr>
            <w:tcW w:w="0" w:type="dxa"/>
            <w:vAlign w:val="bottom"/>
          </w:tcPr>
          <w:p>
            <w:pPr>
              <w:spacing w:after="0"/>
              <w:rPr>
                <w:sz w:val="1"/>
                <w:szCs w:val="1"/>
                <w:color w:val="auto"/>
              </w:rPr>
            </w:pPr>
          </w:p>
        </w:tc>
      </w:tr>
      <w:tr>
        <w:trPr>
          <w:trHeight w:val="173"/>
        </w:trPr>
        <w:tc>
          <w:tcPr>
            <w:tcW w:w="200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3980" w:type="dxa"/>
            <w:vAlign w:val="bottom"/>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8"/>
        </w:trPr>
        <w:tc>
          <w:tcPr>
            <w:tcW w:w="200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980" w:type="dxa"/>
            <w:vAlign w:val="bottom"/>
          </w:tcPr>
          <w:p>
            <w:pPr>
              <w:ind w:left="160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40"/>
              <w:spacing w:after="0" w:line="171" w:lineRule="exact"/>
              <w:rPr>
                <w:sz w:val="20"/>
                <w:szCs w:val="20"/>
                <w:color w:val="auto"/>
              </w:rPr>
            </w:pPr>
            <w:r>
              <w:rPr>
                <w:rFonts w:ascii="MS PGothic" w:cs="MS PGothic" w:eastAsia="MS PGothic" w:hAnsi="MS PGothic"/>
                <w:sz w:val="17"/>
                <w:szCs w:val="17"/>
                <w:color w:val="auto"/>
                <w:w w:val="70"/>
              </w:rPr>
              <w:t>☐</w:t>
            </w:r>
          </w:p>
        </w:tc>
        <w:tc>
          <w:tcPr>
            <w:tcW w:w="0" w:type="dxa"/>
            <w:vAlign w:val="bottom"/>
          </w:tcPr>
          <w:p>
            <w:pPr>
              <w:spacing w:after="0"/>
              <w:rPr>
                <w:sz w:val="1"/>
                <w:szCs w:val="1"/>
                <w:color w:val="auto"/>
              </w:rPr>
            </w:pPr>
          </w:p>
        </w:tc>
      </w:tr>
    </w:tbl>
    <w:p>
      <w:pPr>
        <w:spacing w:after="0" w:line="55" w:lineRule="exact"/>
        <w:rPr>
          <w:sz w:val="24"/>
          <w:szCs w:val="24"/>
          <w:color w:val="auto"/>
        </w:rPr>
      </w:pPr>
    </w:p>
    <w:p>
      <w:pPr>
        <w:ind w:right="40" w:firstLine="318"/>
        <w:spacing w:after="0" w:line="211"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81" w:lineRule="exact"/>
        <w:rPr>
          <w:sz w:val="24"/>
          <w:szCs w:val="24"/>
          <w:color w:val="auto"/>
        </w:rPr>
      </w:pPr>
    </w:p>
    <w:p>
      <w:pPr>
        <w:ind w:left="420" w:right="2380" w:hanging="87"/>
        <w:spacing w:after="0" w:line="22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10"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October 25, 2022, the Registrant had 15,678,481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506730</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223"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19" w:lineRule="exact"/>
        <w:rPr>
          <w:sz w:val="20"/>
          <w:szCs w:val="20"/>
          <w:color w:val="auto"/>
        </w:rPr>
      </w:pPr>
    </w:p>
    <w:tbl>
      <w:tblPr>
        <w:tblLayout w:type="fixed"/>
        <w:tblInd w:w="20" w:type="dxa"/>
        <w:tblCellMar>
          <w:top w:w="0" w:type="dxa"/>
          <w:left w:w="0" w:type="dxa"/>
          <w:bottom w:w="0" w:type="dxa"/>
          <w:right w:w="0" w:type="dxa"/>
        </w:tblCellMar>
      </w:tblPr>
      <w:tr>
        <w:trPr>
          <w:trHeight w:val="186"/>
        </w:trPr>
        <w:tc>
          <w:tcPr>
            <w:tcW w:w="6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40" w:type="dxa"/>
            <w:vAlign w:val="bottom"/>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4"/>
        </w:trPr>
        <w:tc>
          <w:tcPr>
            <w:tcW w:w="6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89"/>
              </w:rPr>
              <w:t>PART I.</w:t>
            </w:r>
          </w:p>
        </w:tc>
        <w:tc>
          <w:tcPr>
            <w:tcW w:w="380" w:type="dxa"/>
            <w:vAlign w:val="bottom"/>
            <w:vMerge w:val="restart"/>
          </w:tcPr>
          <w:p>
            <w:pPr>
              <w:spacing w:after="0"/>
              <w:rPr>
                <w:sz w:val="2"/>
                <w:szCs w:val="2"/>
                <w:color w:val="auto"/>
              </w:rPr>
            </w:pPr>
          </w:p>
        </w:tc>
        <w:tc>
          <w:tcPr>
            <w:tcW w:w="964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62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9640" w:type="dxa"/>
            <w:vAlign w:val="bottom"/>
            <w:gridSpan w:val="20"/>
            <w:vMerge w:val="continue"/>
          </w:tcPr>
          <w:p>
            <w:pPr>
              <w:spacing w:after="0"/>
              <w:rPr>
                <w:sz w:val="15"/>
                <w:szCs w:val="15"/>
                <w:color w:val="auto"/>
              </w:rPr>
            </w:pPr>
          </w:p>
        </w:tc>
        <w:tc>
          <w:tcPr>
            <w:tcW w:w="540" w:type="dxa"/>
            <w:vAlign w:val="bottom"/>
            <w:gridSpan w:val="4"/>
          </w:tcPr>
          <w:p>
            <w:pPr>
              <w:jc w:val="right"/>
              <w:ind w:right="20"/>
              <w:spacing w:after="0" w:line="179" w:lineRule="exact"/>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0" w:type="dxa"/>
            <w:vAlign w:val="bottom"/>
            <w:gridSpan w:val="9"/>
          </w:tcPr>
          <w:p>
            <w:pPr>
              <w:spacing w:after="0" w:line="205" w:lineRule="exact"/>
              <w:rPr>
                <w:sz w:val="20"/>
                <w:szCs w:val="20"/>
                <w:color w:val="auto"/>
              </w:rPr>
            </w:pPr>
            <w:r>
              <w:rPr>
                <w:rFonts w:ascii="Times New Roman" w:cs="Times New Roman" w:eastAsia="Times New Roman" w:hAnsi="Times New Roman"/>
                <w:sz w:val="18"/>
                <w:szCs w:val="18"/>
                <w:color w:val="0000FF"/>
              </w:rPr>
              <w:t>Item 1—Financial Statements</w:t>
            </w:r>
          </w:p>
        </w:tc>
        <w:tc>
          <w:tcPr>
            <w:tcW w:w="7440" w:type="dxa"/>
            <w:vAlign w:val="bottom"/>
            <w:gridSpan w:val="11"/>
          </w:tcPr>
          <w:p>
            <w:pPr>
              <w:spacing w:after="0"/>
              <w:rPr>
                <w:sz w:val="17"/>
                <w:szCs w:val="17"/>
                <w:color w:val="auto"/>
              </w:rPr>
            </w:pPr>
          </w:p>
        </w:tc>
        <w:tc>
          <w:tcPr>
            <w:tcW w:w="54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8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Consolidated Balance Sheets - September 30, 2022 (unaudited) and December 31, 2021</w:t>
            </w:r>
          </w:p>
        </w:tc>
        <w:tc>
          <w:tcPr>
            <w:tcW w:w="54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8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000FF"/>
              </w:rPr>
              <w:t>Consolidated Statements of Comprehensive Income (unaudited) - Three and Nine Months Ended September 30, 2022 and 2021</w:t>
            </w:r>
          </w:p>
        </w:tc>
        <w:tc>
          <w:tcPr>
            <w:tcW w:w="54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4</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20" w:type="dxa"/>
            <w:vAlign w:val="bottom"/>
            <w:gridSpan w:val="17"/>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Stockholders' Deficit (unaudited) - Three and Nine Months Ended September 30, 2022 and 2021</w:t>
            </w: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5</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0" w:type="dxa"/>
            <w:vAlign w:val="bottom"/>
            <w:gridSpan w:val="16"/>
          </w:tcPr>
          <w:p>
            <w:pPr>
              <w:spacing w:after="0" w:line="205" w:lineRule="exact"/>
              <w:rPr>
                <w:sz w:val="20"/>
                <w:szCs w:val="20"/>
                <w:color w:val="auto"/>
              </w:rPr>
            </w:pPr>
            <w:r>
              <w:rPr>
                <w:rFonts w:ascii="Times New Roman" w:cs="Times New Roman" w:eastAsia="Times New Roman" w:hAnsi="Times New Roman"/>
                <w:sz w:val="18"/>
                <w:szCs w:val="18"/>
                <w:color w:val="0000FF"/>
                <w:w w:val="97"/>
              </w:rPr>
              <w:t>Consolidated Statements of Cash Flows (unaudited) - Nine Months Ended September 30, 2022 and 2021</w:t>
            </w:r>
          </w:p>
        </w:tc>
        <w:tc>
          <w:tcPr>
            <w:tcW w:w="1420" w:type="dxa"/>
            <w:vAlign w:val="bottom"/>
          </w:tcPr>
          <w:p>
            <w:pPr>
              <w:spacing w:after="0"/>
              <w:rPr>
                <w:sz w:val="17"/>
                <w:szCs w:val="17"/>
                <w:color w:val="auto"/>
              </w:rPr>
            </w:pPr>
          </w:p>
        </w:tc>
        <w:tc>
          <w:tcPr>
            <w:tcW w:w="660" w:type="dxa"/>
            <w:vAlign w:val="bottom"/>
            <w:gridSpan w:val="2"/>
          </w:tcPr>
          <w:p>
            <w:pPr>
              <w:spacing w:after="0"/>
              <w:rPr>
                <w:sz w:val="17"/>
                <w:szCs w:val="17"/>
                <w:color w:val="auto"/>
              </w:rPr>
            </w:pPr>
          </w:p>
        </w:tc>
        <w:tc>
          <w:tcPr>
            <w:tcW w:w="54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7</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208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0" w:type="dxa"/>
            <w:vAlign w:val="bottom"/>
            <w:gridSpan w:val="16"/>
          </w:tcPr>
          <w:p>
            <w:pPr>
              <w:spacing w:after="0" w:line="205" w:lineRule="exact"/>
              <w:rPr>
                <w:sz w:val="20"/>
                <w:szCs w:val="20"/>
                <w:color w:val="auto"/>
              </w:rPr>
            </w:pPr>
            <w:r>
              <w:rPr>
                <w:rFonts w:ascii="Times New Roman" w:cs="Times New Roman" w:eastAsia="Times New Roman" w:hAnsi="Times New Roman"/>
                <w:sz w:val="18"/>
                <w:szCs w:val="18"/>
                <w:color w:val="0000FF"/>
              </w:rPr>
              <w:t>Notes to Consolidated Financial Statements (unaudited)</w:t>
            </w:r>
          </w:p>
        </w:tc>
        <w:tc>
          <w:tcPr>
            <w:tcW w:w="2080" w:type="dxa"/>
            <w:vAlign w:val="bottom"/>
            <w:gridSpan w:val="3"/>
          </w:tcPr>
          <w:p>
            <w:pPr>
              <w:spacing w:after="0"/>
              <w:rPr>
                <w:sz w:val="17"/>
                <w:szCs w:val="17"/>
                <w:color w:val="auto"/>
              </w:rPr>
            </w:pPr>
          </w:p>
        </w:tc>
        <w:tc>
          <w:tcPr>
            <w:tcW w:w="540" w:type="dxa"/>
            <w:vAlign w:val="bottom"/>
            <w:gridSpan w:val="4"/>
          </w:tcPr>
          <w:p>
            <w:pPr>
              <w:jc w:val="right"/>
              <w:ind w:right="20"/>
              <w:spacing w:after="0" w:line="205" w:lineRule="exact"/>
              <w:rPr>
                <w:sz w:val="20"/>
                <w:szCs w:val="20"/>
                <w:color w:val="auto"/>
              </w:rPr>
            </w:pPr>
            <w:r>
              <w:rPr>
                <w:rFonts w:ascii="Times New Roman" w:cs="Times New Roman" w:eastAsia="Times New Roman" w:hAnsi="Times New Roman"/>
                <w:sz w:val="18"/>
                <w:szCs w:val="18"/>
                <w:color w:val="0000FF"/>
              </w:rPr>
              <w:t>8</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18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4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Item 2—Management’s Discussion and Analysis of Financial Condition and Results of Operations</w:t>
            </w:r>
          </w:p>
        </w:tc>
        <w:tc>
          <w:tcPr>
            <w:tcW w:w="52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860" w:type="dxa"/>
            <w:vAlign w:val="bottom"/>
            <w:tcBorders>
              <w:top w:val="single" w:sz="8" w:color="0000FF"/>
              <w:bottom w:val="single" w:sz="8" w:color="0000FF"/>
            </w:tcBorders>
            <w:gridSpan w:val="13"/>
          </w:tcPr>
          <w:p>
            <w:pPr>
              <w:spacing w:after="0" w:line="205" w:lineRule="exact"/>
              <w:rPr>
                <w:sz w:val="20"/>
                <w:szCs w:val="20"/>
                <w:color w:val="auto"/>
              </w:rPr>
            </w:pPr>
            <w:r>
              <w:rPr>
                <w:rFonts w:ascii="Times New Roman" w:cs="Times New Roman" w:eastAsia="Times New Roman" w:hAnsi="Times New Roman"/>
                <w:sz w:val="18"/>
                <w:szCs w:val="18"/>
                <w:color w:val="0000FF"/>
                <w:w w:val="97"/>
              </w:rPr>
              <w:t>Item 3—Quantitative and Qualitative Disclosures about Market Risk</w:t>
            </w:r>
          </w:p>
        </w:tc>
        <w:tc>
          <w:tcPr>
            <w:tcW w:w="2100" w:type="dxa"/>
            <w:vAlign w:val="bottom"/>
            <w:tcBorders>
              <w:top w:val="single" w:sz="8" w:color="0000FF"/>
            </w:tcBorders>
            <w:gridSpan w:val="3"/>
          </w:tcPr>
          <w:p>
            <w:pPr>
              <w:spacing w:after="0"/>
              <w:rPr>
                <w:sz w:val="17"/>
                <w:szCs w:val="17"/>
                <w:color w:val="auto"/>
              </w:rPr>
            </w:pPr>
          </w:p>
        </w:tc>
        <w:tc>
          <w:tcPr>
            <w:tcW w:w="2680" w:type="dxa"/>
            <w:vAlign w:val="bottom"/>
            <w:gridSpan w:val="4"/>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964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Item 4—Controls and Procedures</w:t>
            </w:r>
          </w:p>
        </w:tc>
        <w:tc>
          <w:tcPr>
            <w:tcW w:w="52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1000" w:type="dxa"/>
            <w:vAlign w:val="bottom"/>
            <w:gridSpan w:val="2"/>
            <w:vMerge w:val="continue"/>
          </w:tcPr>
          <w:p>
            <w:pPr>
              <w:spacing w:after="0"/>
              <w:rPr>
                <w:sz w:val="17"/>
                <w:szCs w:val="17"/>
                <w:color w:val="auto"/>
              </w:rPr>
            </w:pPr>
          </w:p>
        </w:tc>
        <w:tc>
          <w:tcPr>
            <w:tcW w:w="2360" w:type="dxa"/>
            <w:vAlign w:val="bottom"/>
            <w:tcBorders>
              <w:top w:val="single" w:sz="8" w:color="0000FF"/>
            </w:tcBorders>
            <w:gridSpan w:val="10"/>
          </w:tcPr>
          <w:p>
            <w:pPr>
              <w:spacing w:after="0" w:line="205" w:lineRule="exact"/>
              <w:rPr>
                <w:sz w:val="20"/>
                <w:szCs w:val="20"/>
                <w:color w:val="auto"/>
              </w:rPr>
            </w:pPr>
            <w:r>
              <w:rPr>
                <w:rFonts w:ascii="Times New Roman" w:cs="Times New Roman" w:eastAsia="Times New Roman" w:hAnsi="Times New Roman"/>
                <w:sz w:val="18"/>
                <w:szCs w:val="18"/>
                <w:color w:val="0000FF"/>
              </w:rPr>
              <w:t>OTHER INFORMATION</w:t>
            </w:r>
          </w:p>
        </w:tc>
        <w:tc>
          <w:tcPr>
            <w:tcW w:w="7280" w:type="dxa"/>
            <w:vAlign w:val="bottom"/>
            <w:gridSpan w:val="10"/>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top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40" w:type="dxa"/>
            <w:vAlign w:val="bottom"/>
            <w:tcBorders>
              <w:bottom w:val="single" w:sz="8" w:color="0000FF"/>
            </w:tcBorders>
            <w:gridSpan w:val="7"/>
          </w:tcPr>
          <w:p>
            <w:pPr>
              <w:spacing w:after="0" w:line="205" w:lineRule="exact"/>
              <w:rPr>
                <w:sz w:val="20"/>
                <w:szCs w:val="20"/>
                <w:color w:val="auto"/>
              </w:rPr>
            </w:pPr>
            <w:r>
              <w:rPr>
                <w:rFonts w:ascii="Times New Roman" w:cs="Times New Roman" w:eastAsia="Times New Roman" w:hAnsi="Times New Roman"/>
                <w:sz w:val="18"/>
                <w:szCs w:val="18"/>
                <w:color w:val="0000FF"/>
                <w:w w:val="96"/>
              </w:rPr>
              <w:t>Item 1—Legal Proceedings</w:t>
            </w:r>
          </w:p>
        </w:tc>
        <w:tc>
          <w:tcPr>
            <w:tcW w:w="7700" w:type="dxa"/>
            <w:vAlign w:val="bottom"/>
            <w:gridSpan w:val="13"/>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4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Item 1A—Risk Factors</w:t>
            </w:r>
          </w:p>
        </w:tc>
        <w:tc>
          <w:tcPr>
            <w:tcW w:w="52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1980" w:type="dxa"/>
            <w:vAlign w:val="bottom"/>
            <w:gridSpan w:val="3"/>
          </w:tcPr>
          <w:p>
            <w:pPr>
              <w:spacing w:after="0" w:line="20" w:lineRule="exact"/>
              <w:rPr>
                <w:sz w:val="1"/>
                <w:szCs w:val="1"/>
                <w:color w:val="auto"/>
              </w:rPr>
            </w:pPr>
          </w:p>
        </w:tc>
        <w:tc>
          <w:tcPr>
            <w:tcW w:w="474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900" w:type="dxa"/>
            <w:vAlign w:val="bottom"/>
            <w:tcBorders>
              <w:bottom w:val="single" w:sz="8" w:color="0000FF"/>
            </w:tcBorders>
            <w:gridSpan w:val="14"/>
          </w:tcPr>
          <w:p>
            <w:pPr>
              <w:spacing w:after="0" w:line="205" w:lineRule="exact"/>
              <w:rPr>
                <w:sz w:val="20"/>
                <w:szCs w:val="20"/>
                <w:color w:val="auto"/>
              </w:rPr>
            </w:pPr>
            <w:r>
              <w:rPr>
                <w:rFonts w:ascii="Times New Roman" w:cs="Times New Roman" w:eastAsia="Times New Roman" w:hAnsi="Times New Roman"/>
                <w:sz w:val="18"/>
                <w:szCs w:val="18"/>
                <w:color w:val="0000FF"/>
                <w:w w:val="97"/>
              </w:rPr>
              <w:t>Item 2—Unregistered Sales of Equity Securities and Use of Proceeds</w:t>
            </w:r>
          </w:p>
        </w:tc>
        <w:tc>
          <w:tcPr>
            <w:tcW w:w="4740" w:type="dxa"/>
            <w:vAlign w:val="bottom"/>
            <w:gridSpan w:val="6"/>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920" w:type="dxa"/>
            <w:vAlign w:val="bottom"/>
            <w:tcBorders>
              <w:bottom w:val="single" w:sz="8" w:color="0000FF"/>
            </w:tcBorders>
            <w:gridSpan w:val="11"/>
          </w:tcPr>
          <w:p>
            <w:pPr>
              <w:spacing w:after="0" w:line="205" w:lineRule="exact"/>
              <w:rPr>
                <w:sz w:val="20"/>
                <w:szCs w:val="20"/>
                <w:color w:val="auto"/>
              </w:rPr>
            </w:pPr>
            <w:r>
              <w:rPr>
                <w:rFonts w:ascii="Times New Roman" w:cs="Times New Roman" w:eastAsia="Times New Roman" w:hAnsi="Times New Roman"/>
                <w:sz w:val="18"/>
                <w:szCs w:val="18"/>
                <w:color w:val="0000FF"/>
                <w:w w:val="97"/>
              </w:rPr>
              <w:t>Item 3—Defaults Upon Senior Securities</w:t>
            </w:r>
          </w:p>
        </w:tc>
        <w:tc>
          <w:tcPr>
            <w:tcW w:w="6720" w:type="dxa"/>
            <w:vAlign w:val="bottom"/>
            <w:gridSpan w:val="9"/>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4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Item 4—Mine Safety Disclosures</w:t>
            </w:r>
          </w:p>
        </w:tc>
        <w:tc>
          <w:tcPr>
            <w:tcW w:w="52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20" w:type="dxa"/>
            <w:vAlign w:val="bottom"/>
            <w:tcBorders>
              <w:top w:val="single" w:sz="8" w:color="0000FF"/>
              <w:bottom w:val="single" w:sz="8" w:color="0000FF"/>
            </w:tcBorders>
            <w:gridSpan w:val="6"/>
          </w:tcPr>
          <w:p>
            <w:pPr>
              <w:spacing w:after="0" w:line="205" w:lineRule="exact"/>
              <w:rPr>
                <w:sz w:val="20"/>
                <w:szCs w:val="20"/>
                <w:color w:val="auto"/>
              </w:rPr>
            </w:pPr>
            <w:r>
              <w:rPr>
                <w:rFonts w:ascii="Times New Roman" w:cs="Times New Roman" w:eastAsia="Times New Roman" w:hAnsi="Times New Roman"/>
                <w:sz w:val="18"/>
                <w:szCs w:val="18"/>
                <w:color w:val="0000FF"/>
                <w:w w:val="96"/>
              </w:rPr>
              <w:t>Item 5—Other Information</w:t>
            </w:r>
          </w:p>
        </w:tc>
        <w:tc>
          <w:tcPr>
            <w:tcW w:w="440" w:type="dxa"/>
            <w:vAlign w:val="bottom"/>
            <w:tcBorders>
              <w:top w:val="single" w:sz="8" w:color="0000FF"/>
            </w:tcBorders>
            <w:gridSpan w:val="4"/>
          </w:tcPr>
          <w:p>
            <w:pPr>
              <w:spacing w:after="0"/>
              <w:rPr>
                <w:sz w:val="17"/>
                <w:szCs w:val="17"/>
                <w:color w:val="auto"/>
              </w:rPr>
            </w:pPr>
          </w:p>
        </w:tc>
        <w:tc>
          <w:tcPr>
            <w:tcW w:w="7280" w:type="dxa"/>
            <w:vAlign w:val="bottom"/>
            <w:gridSpan w:val="10"/>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top w:val="single" w:sz="8" w:color="0000FF"/>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Borders>
              <w:bottom w:val="single" w:sz="8" w:color="0000FF"/>
            </w:tcBorders>
            <w:gridSpan w:val="3"/>
          </w:tcPr>
          <w:p>
            <w:pPr>
              <w:spacing w:after="0" w:line="205" w:lineRule="exact"/>
              <w:rPr>
                <w:sz w:val="20"/>
                <w:szCs w:val="20"/>
                <w:color w:val="auto"/>
              </w:rPr>
            </w:pPr>
            <w:r>
              <w:rPr>
                <w:rFonts w:ascii="Times New Roman" w:cs="Times New Roman" w:eastAsia="Times New Roman" w:hAnsi="Times New Roman"/>
                <w:sz w:val="18"/>
                <w:szCs w:val="18"/>
                <w:color w:val="0000FF"/>
                <w:w w:val="96"/>
              </w:rPr>
              <w:t>Item 6—Exhibits</w:t>
            </w:r>
          </w:p>
        </w:tc>
        <w:tc>
          <w:tcPr>
            <w:tcW w:w="8420" w:type="dxa"/>
            <w:vAlign w:val="bottom"/>
            <w:gridSpan w:val="17"/>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Borders>
              <w:bottom w:val="single" w:sz="8" w:color="0000FF"/>
            </w:tcBorders>
            <w:gridSpan w:val="2"/>
          </w:tcPr>
          <w:p>
            <w:pPr>
              <w:jc w:val="right"/>
              <w:spacing w:after="0" w:line="205" w:lineRule="exact"/>
              <w:rPr>
                <w:sz w:val="20"/>
                <w:szCs w:val="20"/>
                <w:color w:val="auto"/>
              </w:rPr>
            </w:pPr>
            <w:r>
              <w:rPr>
                <w:rFonts w:ascii="Times New Roman" w:cs="Times New Roman" w:eastAsia="Times New Roman" w:hAnsi="Times New Roman"/>
                <w:sz w:val="18"/>
                <w:szCs w:val="18"/>
                <w:color w:val="0000FF"/>
                <w:w w:val="88"/>
              </w:rPr>
              <w:t>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640" w:type="dxa"/>
            <w:vAlign w:val="bottom"/>
            <w:gridSpan w:val="20"/>
          </w:tcPr>
          <w:p>
            <w:pPr>
              <w:spacing w:after="0" w:line="205" w:lineRule="exact"/>
              <w:rPr>
                <w:sz w:val="20"/>
                <w:szCs w:val="20"/>
                <w:color w:val="auto"/>
              </w:rPr>
            </w:pPr>
            <w:r>
              <w:rPr>
                <w:rFonts w:ascii="Times New Roman" w:cs="Times New Roman" w:eastAsia="Times New Roman" w:hAnsi="Times New Roman"/>
                <w:sz w:val="18"/>
                <w:szCs w:val="18"/>
                <w:color w:val="0000FF"/>
              </w:rPr>
              <w:t>Signatures</w:t>
            </w:r>
          </w:p>
        </w:tc>
        <w:tc>
          <w:tcPr>
            <w:tcW w:w="520" w:type="dxa"/>
            <w:vAlign w:val="bottom"/>
            <w:gridSpan w:val="3"/>
          </w:tcPr>
          <w:p>
            <w:pPr>
              <w:jc w:val="right"/>
              <w:spacing w:after="0" w:line="205" w:lineRule="exact"/>
              <w:rPr>
                <w:sz w:val="20"/>
                <w:szCs w:val="20"/>
                <w:color w:val="auto"/>
              </w:rPr>
            </w:pPr>
            <w:r>
              <w:rPr>
                <w:rFonts w:ascii="Times New Roman" w:cs="Times New Roman" w:eastAsia="Times New Roman" w:hAnsi="Times New Roman"/>
                <w:sz w:val="18"/>
                <w:szCs w:val="18"/>
                <w:color w:val="0000FF"/>
              </w:rPr>
              <w:t>47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19" w:lineRule="exact"/>
        <w:rPr>
          <w:sz w:val="20"/>
          <w:szCs w:val="20"/>
          <w:color w:val="auto"/>
        </w:rPr>
      </w:pPr>
    </w:p>
    <w:p>
      <w:pPr>
        <w:ind w:firstLine="318"/>
        <w:spacing w:after="0" w:line="249" w:lineRule="auto"/>
        <w:rPr>
          <w:sz w:val="20"/>
          <w:szCs w:val="20"/>
          <w:color w:val="auto"/>
        </w:rPr>
      </w:pPr>
      <w:r>
        <w:rPr>
          <w:rFonts w:ascii="Times New Roman" w:cs="Times New Roman" w:eastAsia="Times New Roman" w:hAnsi="Times New Roman"/>
          <w:sz w:val="18"/>
          <w:szCs w:val="18"/>
          <w:color w:val="auto"/>
        </w:rPr>
        <w:t>Statements contained in this Quarterly Report on Form 10-Q may constitute “forward-looking statements” within the meaning of Section 27A of the Securities Act of 1933, as amended, and Section 21E of the Securities Exchange Act of 1934, as amended. These statements involve known and unknown risks, uncertainties and other factors, which may cause actual results to be materially different from those expressed or implied in such statements. You can identify these forward-looking statements by words such as “may,” “will,” “would,” “should,” “could,” “expect,” “anticipate,” “believe,” “estimate,” “intend,” “plan,” “goal” and other similar expressions. You should consider our forward-looking statements in light of the risks discussed under the heading “Risk Factors,” as well as our consolidated financial statements, related notes, and the other financial information appearing elsewhere in this report and our other filings with the United States Securities and Exchange Commission. The forward-looking statements contained in this report are made as of the date hereof and Dine Brands Global, Inc. does not intend to, nor does it assume any obligation to, update or supplement any forward-looking statements after the date of this report to reflect actual results or future events or circumstances.</w:t>
      </w:r>
    </w:p>
    <w:p>
      <w:pPr>
        <w:spacing w:after="0" w:line="214" w:lineRule="exact"/>
        <w:rPr>
          <w:sz w:val="20"/>
          <w:szCs w:val="20"/>
          <w:color w:val="auto"/>
        </w:rPr>
      </w:pPr>
    </w:p>
    <w:p>
      <w:pPr>
        <w:ind w:right="20" w:firstLine="318"/>
        <w:spacing w:after="0" w:line="264" w:lineRule="auto"/>
        <w:rPr>
          <w:sz w:val="20"/>
          <w:szCs w:val="20"/>
          <w:color w:val="auto"/>
        </w:rPr>
      </w:pPr>
      <w:r>
        <w:rPr>
          <w:rFonts w:ascii="Times New Roman" w:cs="Times New Roman" w:eastAsia="Times New Roman" w:hAnsi="Times New Roman"/>
          <w:sz w:val="17"/>
          <w:szCs w:val="17"/>
          <w:color w:val="auto"/>
        </w:rPr>
        <w:t>Factors that could cause actual results to differ materially from the projections, forecasts, estimates and expectations discussed in this Quarterly Report on Form 10-Q include, among other things: uncertainty regarding the duration and severity of the ongoing COVID-19 pandemic (including the emergence of variant strains) and its ultimate impact on our business; general economic conditions, including the impact of inflation; our level of indebtedness; compliance with the terms of our securitized debt; our ability to refinance our current indebtedness or obtain additional financing; our dependence on information technology; potential cyber incidents; the implementation of restaurant development plans; our dependence on our franchisees; the concentration of our Applebee’s franchised restaurants in a limited number of franchisees; the financial health of our franchisees, including any insolvency or bankruptcy; credit risks from our IHOP franchisees operating under our previous IHOP business model in which we built and equipped IHOP restaurants and then franchised them to franchisees; insufficient insurance coverage to cover potential risks associated with the ownership and operation of restaurants; our franchisees’ and other licensees’ compliance with our quality standards and trademark usage; general risks associated with the restaurant industry; potential harm to our brands’ reputation; risks of food-borne illness or food tampering; possible future impairment charges; trading volatility and fluctuations in the price of our stock; our ability to achieve the financial guidance we provide to investors; successful implementation of our business strategy; the availability of suitable locations for new restaurants; shortages or interruptions in the supply or delivery of products from third parties or availability of utilities; the management and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20"/>
        <w:spacing w:after="0" w:line="249" w:lineRule="auto"/>
        <w:rPr>
          <w:sz w:val="20"/>
          <w:szCs w:val="20"/>
          <w:color w:val="auto"/>
        </w:rPr>
      </w:pPr>
      <w:r>
        <w:rPr>
          <w:rFonts w:ascii="Times New Roman" w:cs="Times New Roman" w:eastAsia="Times New Roman" w:hAnsi="Times New Roman"/>
          <w:sz w:val="18"/>
          <w:szCs w:val="18"/>
          <w:color w:val="auto"/>
        </w:rPr>
        <w:t>forecasting of appropriate inventory levels; development and implementation of innovative marketing and use of social media; changing health or dietary preference of consumers; risks associated with doing business in international markets; the results of litigation and other legal proceedings; third-party claims with respect to intellectual property assets; delivery initiatives and use of third-party delivery vendors; our allocation of human capital and our ability to attract and retain management and other key employees; compliance with federal, state and local governmental regulations; risks associated with our self-insurance; natural disasters or other serious incidents; our success with development initiatives outside of our core business; the adequacy of our internal controls over financial reporting and future changes in accounting standards; and other matters in the “Risk Factors” section of this report and our Annual Report on Form 10-K for the fiscal year ended December 31, 2021 and in our other filings with the Securities and Exchange Commission, many of which are beyond our control.</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Quarter End</w:t>
      </w:r>
    </w:p>
    <w:p>
      <w:pPr>
        <w:spacing w:after="0" w:line="246"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The Company’s fiscal quarters end on the Sunday closest to the last day of each calendar quarter. For convenience, the fiscal quarters of each year are referred to as ending on March 31, June 30, September 30 and December 31. The first fiscal quarter of 2022 began on January 3, 2022 and ended on April 3, 2022; the second and third fiscal quarters of 2022 ended on July 3, 2022 and October 2, 2022, respectively. The first fiscal quarter of 2021 began on January 4, 2021 and ended on April 4, 2021; the second and third fiscal quarters of 2021 ended on July 4, 2021 and October 3, 2021,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jc w:val="center"/>
        <w:ind w:right="-59"/>
        <w:spacing w:after="0" w:line="217" w:lineRule="auto"/>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amounts)</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6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180" w:type="dxa"/>
            <w:vAlign w:val="bottom"/>
          </w:tcPr>
          <w:p>
            <w:pPr>
              <w:spacing w:after="0"/>
              <w:rPr>
                <w:sz w:val="18"/>
                <w:szCs w:val="18"/>
                <w:color w:val="auto"/>
              </w:rPr>
            </w:pPr>
          </w:p>
        </w:tc>
        <w:tc>
          <w:tcPr>
            <w:tcW w:w="1580" w:type="dxa"/>
            <w:vAlign w:val="bottom"/>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0" w:type="dxa"/>
            <w:vAlign w:val="bottom"/>
          </w:tcPr>
          <w:p>
            <w:pPr>
              <w:spacing w:after="0"/>
              <w:rPr>
                <w:sz w:val="1"/>
                <w:szCs w:val="1"/>
                <w:color w:val="auto"/>
              </w:rPr>
            </w:pPr>
          </w:p>
        </w:tc>
      </w:tr>
      <w:tr>
        <w:trPr>
          <w:trHeight w:val="206"/>
        </w:trPr>
        <w:tc>
          <w:tcPr>
            <w:tcW w:w="7460" w:type="dxa"/>
            <w:vAlign w:val="bottom"/>
          </w:tcPr>
          <w:p>
            <w:pPr>
              <w:ind w:left="346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80" w:type="dxa"/>
            <w:vAlign w:val="bottom"/>
            <w:tcBorders>
              <w:top w:val="single" w:sz="8" w:color="auto"/>
            </w:tcBorders>
          </w:tcPr>
          <w:p>
            <w:pPr>
              <w:spacing w:after="0"/>
              <w:rPr>
                <w:sz w:val="17"/>
                <w:szCs w:val="17"/>
                <w:color w:val="auto"/>
              </w:rPr>
            </w:pPr>
          </w:p>
        </w:tc>
        <w:tc>
          <w:tcPr>
            <w:tcW w:w="1660" w:type="dxa"/>
            <w:vAlign w:val="bottom"/>
            <w:tcBorders>
              <w:top w:val="single" w:sz="8" w:color="auto"/>
            </w:tcBorders>
          </w:tcPr>
          <w:p>
            <w:pPr>
              <w:jc w:val="right"/>
              <w:ind w:right="461"/>
              <w:spacing w:after="0"/>
              <w:rPr>
                <w:sz w:val="20"/>
                <w:szCs w:val="20"/>
                <w:color w:val="auto"/>
              </w:rPr>
            </w:pPr>
            <w:r>
              <w:rPr>
                <w:rFonts w:ascii="Times New Roman" w:cs="Times New Roman" w:eastAsia="Times New Roman" w:hAnsi="Times New Roman"/>
                <w:sz w:val="16"/>
                <w:szCs w:val="16"/>
                <w:color w:val="auto"/>
              </w:rPr>
              <w:t>(Unaudited)</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355,288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361,412</w:t>
            </w:r>
          </w:p>
        </w:tc>
        <w:tc>
          <w:tcPr>
            <w:tcW w:w="0" w:type="dxa"/>
            <w:vAlign w:val="bottom"/>
          </w:tcPr>
          <w:p>
            <w:pPr>
              <w:spacing w:after="0"/>
              <w:rPr>
                <w:sz w:val="1"/>
                <w:szCs w:val="1"/>
                <w:color w:val="auto"/>
              </w:rPr>
            </w:pPr>
          </w:p>
        </w:tc>
      </w:tr>
      <w:tr>
        <w:trPr>
          <w:trHeight w:val="210"/>
        </w:trPr>
        <w:tc>
          <w:tcPr>
            <w:tcW w:w="7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Receivables, net of allowance of $4,205 (2022) and $4,959 (2021)</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89,529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119,968</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cash</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52,517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47,541</w:t>
            </w:r>
          </w:p>
        </w:tc>
        <w:tc>
          <w:tcPr>
            <w:tcW w:w="0" w:type="dxa"/>
            <w:vAlign w:val="bottom"/>
          </w:tcPr>
          <w:p>
            <w:pPr>
              <w:spacing w:after="0"/>
              <w:rPr>
                <w:sz w:val="1"/>
                <w:szCs w:val="1"/>
                <w:color w:val="auto"/>
              </w:rPr>
            </w:pPr>
          </w:p>
        </w:tc>
      </w:tr>
      <w:tr>
        <w:trPr>
          <w:trHeight w:val="210"/>
        </w:trPr>
        <w:tc>
          <w:tcPr>
            <w:tcW w:w="7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Prepaid gift card costs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24,595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28,175</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Prepaid income taxes</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10,529</w:t>
            </w:r>
          </w:p>
        </w:tc>
        <w:tc>
          <w:tcPr>
            <w:tcW w:w="0" w:type="dxa"/>
            <w:vAlign w:val="bottom"/>
          </w:tcPr>
          <w:p>
            <w:pPr>
              <w:spacing w:after="0"/>
              <w:rPr>
                <w:sz w:val="1"/>
                <w:szCs w:val="1"/>
                <w:color w:val="auto"/>
              </w:rPr>
            </w:pPr>
          </w:p>
        </w:tc>
      </w:tr>
      <w:tr>
        <w:trPr>
          <w:trHeight w:val="210"/>
        </w:trPr>
        <w:tc>
          <w:tcPr>
            <w:tcW w:w="7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current assets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6,728</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Assets held for sale</w:t>
            </w: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109,280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46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current assets</w:t>
            </w:r>
          </w:p>
        </w:tc>
        <w:tc>
          <w:tcPr>
            <w:tcW w:w="180" w:type="dxa"/>
            <w:vAlign w:val="bottom"/>
          </w:tcPr>
          <w:p>
            <w:pPr>
              <w:spacing w:after="0"/>
              <w:rPr>
                <w:sz w:val="17"/>
                <w:szCs w:val="17"/>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645,786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574,353</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intangible assets, net</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526,989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539,390</w:t>
            </w:r>
          </w:p>
        </w:tc>
        <w:tc>
          <w:tcPr>
            <w:tcW w:w="0" w:type="dxa"/>
            <w:vAlign w:val="bottom"/>
          </w:tcPr>
          <w:p>
            <w:pPr>
              <w:spacing w:after="0"/>
              <w:rPr>
                <w:sz w:val="1"/>
                <w:szCs w:val="1"/>
                <w:color w:val="auto"/>
              </w:rPr>
            </w:pPr>
          </w:p>
        </w:tc>
      </w:tr>
      <w:tr>
        <w:trPr>
          <w:trHeight w:val="210"/>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298,102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335,428</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247,002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251,628</w:t>
            </w:r>
          </w:p>
        </w:tc>
        <w:tc>
          <w:tcPr>
            <w:tcW w:w="0" w:type="dxa"/>
            <w:vAlign w:val="bottom"/>
          </w:tcPr>
          <w:p>
            <w:pPr>
              <w:spacing w:after="0"/>
              <w:rPr>
                <w:sz w:val="1"/>
                <w:szCs w:val="1"/>
                <w:color w:val="auto"/>
              </w:rPr>
            </w:pPr>
          </w:p>
        </w:tc>
      </w:tr>
      <w:tr>
        <w:trPr>
          <w:trHeight w:val="210"/>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135,368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179,411</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rent receivable</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50,257</w:t>
            </w:r>
          </w:p>
        </w:tc>
        <w:tc>
          <w:tcPr>
            <w:tcW w:w="0" w:type="dxa"/>
            <w:vAlign w:val="bottom"/>
          </w:tcPr>
          <w:p>
            <w:pPr>
              <w:spacing w:after="0"/>
              <w:rPr>
                <w:sz w:val="1"/>
                <w:szCs w:val="1"/>
                <w:color w:val="auto"/>
              </w:rPr>
            </w:pPr>
          </w:p>
        </w:tc>
      </w:tr>
      <w:tr>
        <w:trPr>
          <w:trHeight w:val="210"/>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receivables, net of allowance of $5,498 (2022) and $6,897 (2021)</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43,245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42,493</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Non-current restricted cash</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16,400</w:t>
            </w:r>
          </w:p>
        </w:tc>
        <w:tc>
          <w:tcPr>
            <w:tcW w:w="0" w:type="dxa"/>
            <w:vAlign w:val="bottom"/>
          </w:tcPr>
          <w:p>
            <w:pPr>
              <w:spacing w:after="0"/>
              <w:rPr>
                <w:sz w:val="1"/>
                <w:szCs w:val="1"/>
                <w:color w:val="auto"/>
              </w:rPr>
            </w:pPr>
          </w:p>
        </w:tc>
      </w:tr>
      <w:tr>
        <w:trPr>
          <w:trHeight w:val="210"/>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assets, net</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10,006</w:t>
            </w:r>
          </w:p>
        </w:tc>
        <w:tc>
          <w:tcPr>
            <w:tcW w:w="0" w:type="dxa"/>
            <w:vAlign w:val="bottom"/>
          </w:tcPr>
          <w:p>
            <w:pPr>
              <w:spacing w:after="0"/>
              <w:rPr>
                <w:sz w:val="1"/>
                <w:szCs w:val="1"/>
                <w:color w:val="auto"/>
              </w:rPr>
            </w:pPr>
          </w:p>
        </w:tc>
      </w:tr>
      <w:tr>
        <w:trPr>
          <w:trHeight w:val="232"/>
        </w:trPr>
        <w:tc>
          <w:tcPr>
            <w:tcW w:w="7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assets</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1,972,021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1,999,366</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bottom w:val="single" w:sz="8" w:color="CCEEFF"/>
            </w:tcBorders>
            <w:vMerge w:val="restart"/>
          </w:tcPr>
          <w:p>
            <w:pPr>
              <w:ind w:left="2460"/>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4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7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55,956</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Gift card liability</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126,161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165,530</w:t>
            </w:r>
          </w:p>
        </w:tc>
        <w:tc>
          <w:tcPr>
            <w:tcW w:w="0" w:type="dxa"/>
            <w:vAlign w:val="bottom"/>
          </w:tcPr>
          <w:p>
            <w:pPr>
              <w:spacing w:after="0"/>
              <w:rPr>
                <w:sz w:val="1"/>
                <w:szCs w:val="1"/>
                <w:color w:val="auto"/>
              </w:rPr>
            </w:pPr>
          </w:p>
        </w:tc>
      </w:tr>
      <w:tr>
        <w:trPr>
          <w:trHeight w:val="210"/>
        </w:trPr>
        <w:tc>
          <w:tcPr>
            <w:tcW w:w="7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maturities of operating lease obligations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65,174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72,079</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maturities of finance lease and financing obligations</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8,402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10,693</w:t>
            </w:r>
          </w:p>
        </w:tc>
        <w:tc>
          <w:tcPr>
            <w:tcW w:w="0" w:type="dxa"/>
            <w:vAlign w:val="bottom"/>
          </w:tcPr>
          <w:p>
            <w:pPr>
              <w:spacing w:after="0"/>
              <w:rPr>
                <w:sz w:val="1"/>
                <w:szCs w:val="1"/>
                <w:color w:val="auto"/>
              </w:rPr>
            </w:pPr>
          </w:p>
        </w:tc>
      </w:tr>
      <w:tr>
        <w:trPr>
          <w:trHeight w:val="210"/>
        </w:trPr>
        <w:tc>
          <w:tcPr>
            <w:tcW w:w="7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employee compensation and benefits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20,786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40,785</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Accrued advertising</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38,804</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33,752</w:t>
            </w:r>
          </w:p>
        </w:tc>
        <w:tc>
          <w:tcPr>
            <w:tcW w:w="0" w:type="dxa"/>
            <w:vAlign w:val="bottom"/>
          </w:tcPr>
          <w:p>
            <w:pPr>
              <w:spacing w:after="0"/>
              <w:rPr>
                <w:sz w:val="1"/>
                <w:szCs w:val="1"/>
                <w:color w:val="auto"/>
              </w:rPr>
            </w:pPr>
          </w:p>
        </w:tc>
      </w:tr>
      <w:tr>
        <w:trPr>
          <w:trHeight w:val="210"/>
        </w:trPr>
        <w:tc>
          <w:tcPr>
            <w:tcW w:w="74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Dividends payable</w:t>
            </w:r>
          </w:p>
        </w:tc>
        <w:tc>
          <w:tcPr>
            <w:tcW w:w="180" w:type="dxa"/>
            <w:vAlign w:val="bottom"/>
          </w:tcPr>
          <w:p>
            <w:pPr>
              <w:spacing w:after="0"/>
              <w:rPr>
                <w:sz w:val="18"/>
                <w:szCs w:val="18"/>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6,919</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accrued expenses</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22,975</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25,016</w:t>
            </w:r>
          </w:p>
        </w:tc>
        <w:tc>
          <w:tcPr>
            <w:tcW w:w="0" w:type="dxa"/>
            <w:vAlign w:val="bottom"/>
          </w:tcPr>
          <w:p>
            <w:pPr>
              <w:spacing w:after="0"/>
              <w:rPr>
                <w:sz w:val="1"/>
                <w:szCs w:val="1"/>
                <w:color w:val="auto"/>
              </w:rPr>
            </w:pPr>
          </w:p>
        </w:tc>
      </w:tr>
      <w:tr>
        <w:trPr>
          <w:trHeight w:val="210"/>
        </w:trPr>
        <w:tc>
          <w:tcPr>
            <w:tcW w:w="74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Liabilities held for sale</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96,023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74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519,106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410,730</w:t>
            </w:r>
          </w:p>
        </w:tc>
        <w:tc>
          <w:tcPr>
            <w:tcW w:w="0" w:type="dxa"/>
            <w:vAlign w:val="bottom"/>
          </w:tcPr>
          <w:p>
            <w:pPr>
              <w:spacing w:after="0"/>
              <w:rPr>
                <w:sz w:val="1"/>
                <w:szCs w:val="1"/>
                <w:color w:val="auto"/>
              </w:rPr>
            </w:pPr>
          </w:p>
        </w:tc>
      </w:tr>
      <w:tr>
        <w:trPr>
          <w:trHeight w:val="210"/>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1,281,318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1,279,623</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obligations, less current maturities</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279,620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320,848</w:t>
            </w:r>
          </w:p>
        </w:tc>
        <w:tc>
          <w:tcPr>
            <w:tcW w:w="0" w:type="dxa"/>
            <w:vAlign w:val="bottom"/>
          </w:tcPr>
          <w:p>
            <w:pPr>
              <w:spacing w:after="0"/>
              <w:rPr>
                <w:sz w:val="1"/>
                <w:szCs w:val="1"/>
                <w:color w:val="auto"/>
              </w:rPr>
            </w:pPr>
          </w:p>
        </w:tc>
      </w:tr>
      <w:tr>
        <w:trPr>
          <w:trHeight w:val="210"/>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Finance lease obligations, less current maturities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59,625</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Financing obligations, less current maturities</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28,572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31,967</w:t>
            </w:r>
          </w:p>
        </w:tc>
        <w:tc>
          <w:tcPr>
            <w:tcW w:w="0" w:type="dxa"/>
            <w:vAlign w:val="bottom"/>
          </w:tcPr>
          <w:p>
            <w:pPr>
              <w:spacing w:after="0"/>
              <w:rPr>
                <w:sz w:val="1"/>
                <w:szCs w:val="1"/>
                <w:color w:val="auto"/>
              </w:rPr>
            </w:pPr>
          </w:p>
        </w:tc>
      </w:tr>
      <w:tr>
        <w:trPr>
          <w:trHeight w:val="210"/>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74,681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76,228</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franchise revenue, long-term</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46,100</w:t>
            </w:r>
          </w:p>
        </w:tc>
        <w:tc>
          <w:tcPr>
            <w:tcW w:w="0" w:type="dxa"/>
            <w:vAlign w:val="bottom"/>
          </w:tcPr>
          <w:p>
            <w:pPr>
              <w:spacing w:after="0"/>
              <w:rPr>
                <w:sz w:val="1"/>
                <w:szCs w:val="1"/>
                <w:color w:val="auto"/>
              </w:rPr>
            </w:pPr>
          </w:p>
        </w:tc>
      </w:tr>
      <w:tr>
        <w:trPr>
          <w:trHeight w:val="210"/>
        </w:trPr>
        <w:tc>
          <w:tcPr>
            <w:tcW w:w="7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16,263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17,052</w:t>
            </w:r>
          </w:p>
        </w:tc>
        <w:tc>
          <w:tcPr>
            <w:tcW w:w="0" w:type="dxa"/>
            <w:vAlign w:val="bottom"/>
          </w:tcPr>
          <w:p>
            <w:pPr>
              <w:spacing w:after="0"/>
              <w:rPr>
                <w:sz w:val="1"/>
                <w:szCs w:val="1"/>
                <w:color w:val="auto"/>
              </w:rPr>
            </w:pPr>
          </w:p>
        </w:tc>
      </w:tr>
      <w:tr>
        <w:trPr>
          <w:trHeight w:val="207"/>
        </w:trPr>
        <w:tc>
          <w:tcPr>
            <w:tcW w:w="746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2,273,615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2,242,173</w:t>
            </w:r>
          </w:p>
        </w:tc>
        <w:tc>
          <w:tcPr>
            <w:tcW w:w="0" w:type="dxa"/>
            <w:vAlign w:val="bottom"/>
          </w:tcPr>
          <w:p>
            <w:pPr>
              <w:spacing w:after="0"/>
              <w:rPr>
                <w:sz w:val="1"/>
                <w:szCs w:val="1"/>
                <w:color w:val="auto"/>
              </w:rPr>
            </w:pPr>
          </w:p>
        </w:tc>
      </w:tr>
      <w:tr>
        <w:trPr>
          <w:trHeight w:val="190"/>
        </w:trPr>
        <w:tc>
          <w:tcPr>
            <w:tcW w:w="74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w:t>
            </w:r>
          </w:p>
        </w:tc>
        <w:tc>
          <w:tcPr>
            <w:tcW w:w="1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deficit:</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Preferred stock, $1 par value, 10,000,000 shares authorized; no shares issued or outstanding</w:t>
            </w:r>
          </w:p>
        </w:tc>
        <w:tc>
          <w:tcPr>
            <w:tcW w:w="180" w:type="dxa"/>
            <w:vAlign w:val="bottom"/>
          </w:tcPr>
          <w:p>
            <w:pPr>
              <w:spacing w:after="0"/>
              <w:rPr>
                <w:sz w:val="18"/>
                <w:szCs w:val="18"/>
                <w:color w:val="auto"/>
              </w:rPr>
            </w:pPr>
          </w:p>
        </w:tc>
        <w:tc>
          <w:tcPr>
            <w:tcW w:w="1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1"/>
        </w:trPr>
        <w:tc>
          <w:tcPr>
            <w:tcW w:w="7460" w:type="dxa"/>
            <w:vAlign w:val="bottom"/>
            <w:shd w:val="clear" w:color="auto" w:fill="CCEEFF"/>
          </w:tcPr>
          <w:p>
            <w:pPr>
              <w:ind w:left="220"/>
              <w:spacing w:after="0" w:line="161" w:lineRule="exact"/>
              <w:rPr>
                <w:sz w:val="20"/>
                <w:szCs w:val="20"/>
                <w:color w:val="auto"/>
              </w:rPr>
            </w:pPr>
            <w:r>
              <w:rPr>
                <w:rFonts w:ascii="Times New Roman" w:cs="Times New Roman" w:eastAsia="Times New Roman" w:hAnsi="Times New Roman"/>
                <w:sz w:val="16"/>
                <w:szCs w:val="16"/>
                <w:color w:val="auto"/>
              </w:rPr>
              <w:t>Common stock, $0.01 par value; shares: 40,000,000 authorized; September 30, 2022 - 24,966,452 issued,</w:t>
            </w:r>
          </w:p>
        </w:tc>
        <w:tc>
          <w:tcPr>
            <w:tcW w:w="180" w:type="dxa"/>
            <w:vAlign w:val="bottom"/>
            <w:shd w:val="clear" w:color="auto" w:fill="CCEEFF"/>
          </w:tcPr>
          <w:p>
            <w:pPr>
              <w:spacing w:after="0"/>
              <w:rPr>
                <w:sz w:val="14"/>
                <w:szCs w:val="14"/>
                <w:color w:val="auto"/>
              </w:rPr>
            </w:pPr>
          </w:p>
        </w:tc>
        <w:tc>
          <w:tcPr>
            <w:tcW w:w="1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0" w:type="dxa"/>
            <w:vAlign w:val="bottom"/>
          </w:tcPr>
          <w:p>
            <w:pPr>
              <w:spacing w:after="0"/>
              <w:rPr>
                <w:sz w:val="1"/>
                <w:szCs w:val="1"/>
                <w:color w:val="auto"/>
              </w:rPr>
            </w:pPr>
          </w:p>
        </w:tc>
      </w:tr>
      <w:tr>
        <w:trPr>
          <w:trHeight w:val="212"/>
        </w:trPr>
        <w:tc>
          <w:tcPr>
            <w:tcW w:w="7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15,682,061 outstanding; December 31, 2021 - 24,992,275 issued, 17,163,946 outstanding</w:t>
            </w:r>
          </w:p>
        </w:tc>
        <w:tc>
          <w:tcPr>
            <w:tcW w:w="180" w:type="dxa"/>
            <w:vAlign w:val="bottom"/>
            <w:shd w:val="clear" w:color="auto" w:fill="CCEEFF"/>
          </w:tcPr>
          <w:p>
            <w:pPr>
              <w:spacing w:after="0"/>
              <w:rPr>
                <w:sz w:val="18"/>
                <w:szCs w:val="18"/>
                <w:color w:val="auto"/>
              </w:rPr>
            </w:pPr>
          </w:p>
        </w:tc>
        <w:tc>
          <w:tcPr>
            <w:tcW w:w="16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Additional paid-in-capital</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256,508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256,189</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Retained earnings</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81,179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35,415</w:t>
            </w:r>
          </w:p>
        </w:tc>
        <w:tc>
          <w:tcPr>
            <w:tcW w:w="0" w:type="dxa"/>
            <w:vAlign w:val="bottom"/>
          </w:tcPr>
          <w:p>
            <w:pPr>
              <w:spacing w:after="0"/>
              <w:rPr>
                <w:sz w:val="1"/>
                <w:szCs w:val="1"/>
                <w:color w:val="auto"/>
              </w:rPr>
            </w:pPr>
          </w:p>
        </w:tc>
      </w:tr>
      <w:tr>
        <w:trPr>
          <w:trHeight w:val="210"/>
        </w:trPr>
        <w:tc>
          <w:tcPr>
            <w:tcW w:w="746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0" w:type="dxa"/>
            <w:vAlign w:val="bottom"/>
          </w:tcPr>
          <w:p>
            <w:pPr>
              <w:spacing w:after="0"/>
              <w:rPr>
                <w:sz w:val="1"/>
                <w:szCs w:val="1"/>
                <w:color w:val="auto"/>
              </w:rPr>
            </w:pPr>
          </w:p>
        </w:tc>
      </w:tr>
      <w:tr>
        <w:trPr>
          <w:trHeight w:val="214"/>
        </w:trPr>
        <w:tc>
          <w:tcPr>
            <w:tcW w:w="7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Treasury stock, at cost; shares: September 30, 2022 - 9,284,391; December 31, 2021 - 7,828,329</w:t>
            </w: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(639,463)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(534,602)</w:t>
            </w:r>
          </w:p>
        </w:tc>
        <w:tc>
          <w:tcPr>
            <w:tcW w:w="0" w:type="dxa"/>
            <w:vAlign w:val="bottom"/>
          </w:tcPr>
          <w:p>
            <w:pPr>
              <w:spacing w:after="0"/>
              <w:rPr>
                <w:sz w:val="1"/>
                <w:szCs w:val="1"/>
                <w:color w:val="auto"/>
              </w:rPr>
            </w:pPr>
          </w:p>
        </w:tc>
      </w:tr>
      <w:tr>
        <w:trPr>
          <w:trHeight w:val="203"/>
        </w:trPr>
        <w:tc>
          <w:tcPr>
            <w:tcW w:w="746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18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(301,594)</w:t>
            </w:r>
          </w:p>
        </w:tc>
        <w:tc>
          <w:tcPr>
            <w:tcW w:w="1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(242,807)</w:t>
            </w:r>
          </w:p>
        </w:tc>
        <w:tc>
          <w:tcPr>
            <w:tcW w:w="0" w:type="dxa"/>
            <w:vAlign w:val="bottom"/>
          </w:tcPr>
          <w:p>
            <w:pPr>
              <w:spacing w:after="0"/>
              <w:rPr>
                <w:sz w:val="1"/>
                <w:szCs w:val="1"/>
                <w:color w:val="auto"/>
              </w:rPr>
            </w:pPr>
          </w:p>
        </w:tc>
      </w:tr>
      <w:tr>
        <w:trPr>
          <w:trHeight w:val="232"/>
        </w:trPr>
        <w:tc>
          <w:tcPr>
            <w:tcW w:w="746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liabilities and stockholders’ deficit</w:t>
            </w: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1,972,021</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1,999,366</w:t>
            </w:r>
          </w:p>
        </w:tc>
        <w:tc>
          <w:tcPr>
            <w:tcW w:w="0" w:type="dxa"/>
            <w:vAlign w:val="bottom"/>
          </w:tcPr>
          <w:p>
            <w:pPr>
              <w:spacing w:after="0"/>
              <w:rPr>
                <w:sz w:val="1"/>
                <w:szCs w:val="1"/>
                <w:color w:val="auto"/>
              </w:rPr>
            </w:pPr>
          </w:p>
        </w:tc>
      </w:tr>
      <w:tr>
        <w:trPr>
          <w:trHeight w:val="20"/>
        </w:trPr>
        <w:tc>
          <w:tcPr>
            <w:tcW w:w="74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the accompanying Notes to Consolidated Financial Statements.</w:t>
      </w:r>
    </w:p>
    <w:p>
      <w:pPr>
        <w:sectPr>
          <w:pgSz w:w="11900" w:h="16838" w:orient="portrait"/>
          <w:cols w:equalWidth="0" w:num="1">
            <w:col w:w="11180"/>
          </w:cols>
          <w:pgMar w:left="320" w:top="118" w:right="39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type w:val="continuous"/>
        </w:sectPr>
      </w:pPr>
    </w:p>
    <w:bookmarkStart w:id="4" w:name="page5"/>
    <w:bookmarkEnd w:id="4"/>
    <w:p>
      <w:pPr>
        <w:ind w:left="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 thousands, except per share amounts)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8"/>
                <w:szCs w:val="18"/>
                <w:color w:val="auto"/>
              </w:rPr>
            </w:pPr>
          </w:p>
        </w:tc>
        <w:tc>
          <w:tcPr>
            <w:tcW w:w="2420" w:type="dxa"/>
            <w:vAlign w:val="bottom"/>
            <w:gridSpan w:val="4"/>
          </w:tcPr>
          <w:p>
            <w:pPr>
              <w:jc w:val="right"/>
              <w:ind w:right="592"/>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0" w:type="dxa"/>
            <w:vAlign w:val="bottom"/>
          </w:tcPr>
          <w:p>
            <w:pPr>
              <w:spacing w:after="0"/>
              <w:rPr>
                <w:sz w:val="1"/>
                <w:szCs w:val="1"/>
                <w:color w:val="auto"/>
              </w:rPr>
            </w:pPr>
          </w:p>
        </w:tc>
      </w:tr>
      <w:tr>
        <w:trPr>
          <w:trHeight w:val="221"/>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Franchise revenues: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Royalties, franchise fees and other</w:t>
            </w:r>
          </w:p>
        </w:tc>
        <w:tc>
          <w:tcPr>
            <w:tcW w:w="40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93,215</w:t>
            </w:r>
          </w:p>
        </w:tc>
        <w:tc>
          <w:tcPr>
            <w:tcW w:w="12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90,417</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277,712</w:t>
            </w:r>
          </w:p>
        </w:tc>
        <w:tc>
          <w:tcPr>
            <w:tcW w:w="12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265,138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7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Advertising revenues</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71,692</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70,709</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216,686</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203,918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5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franchise revenues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164,907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161,126</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494,398</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469,056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Company restaurant sales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38,248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35,275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117,175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109,418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Rental revenues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29,207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31,273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87,080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84,797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Financing revenues</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57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revenues</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233,220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228,719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701,437</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666,537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Cost of revenues: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Franchise expenses: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7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Advertising expenses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71,692</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70,709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216,686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203,918</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7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Bad debt credit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7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Other franchise expenses</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24,402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20,197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5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franchise expenses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80,264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75,669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240,565</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219,869</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Company restaurant expenses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36,513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111,802</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101,510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Rental expenses: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7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Interest expense from finance leases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72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8"/>
                <w:szCs w:val="18"/>
                <w:color w:val="auto"/>
              </w:rPr>
              <w:t>Other rental expenses</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21,268</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23,645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63,720</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63,359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rental expenses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24,467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65,974</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66,036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7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Financing expenses</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57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cost of revenues</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138,889</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134,116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418,658</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387,771</w:t>
            </w:r>
          </w:p>
        </w:tc>
        <w:tc>
          <w:tcPr>
            <w:tcW w:w="0" w:type="dxa"/>
            <w:vAlign w:val="bottom"/>
          </w:tcPr>
          <w:p>
            <w:pPr>
              <w:spacing w:after="0"/>
              <w:rPr>
                <w:sz w:val="1"/>
                <w:szCs w:val="1"/>
                <w:color w:val="auto"/>
              </w:rPr>
            </w:pPr>
          </w:p>
        </w:tc>
      </w:tr>
      <w:tr>
        <w:trPr>
          <w:trHeight w:val="218"/>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94,331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94,603</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282,779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278,766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46,335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43,704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131,946</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122,891</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15,300</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46,192</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47,922</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Closure and impairment charges</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7,994</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(Gain) loss on disposition of assets</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(3,032)</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95,425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93,444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(7,789)</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(25,665)</w:t>
            </w:r>
          </w:p>
        </w:tc>
        <w:tc>
          <w:tcPr>
            <w:tcW w:w="12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69,760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78,076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 net of tax:</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7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8"/>
        </w:trPr>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20,943</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23,109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69,751</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78,072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available to common stockholders:</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40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20,948</w:t>
            </w:r>
          </w:p>
        </w:tc>
        <w:tc>
          <w:tcPr>
            <w:tcW w:w="120" w:type="dxa"/>
            <w:vAlign w:val="bottom"/>
          </w:tcPr>
          <w:p>
            <w:pPr>
              <w:spacing w:after="0"/>
              <w:rPr>
                <w:sz w:val="19"/>
                <w:szCs w:val="19"/>
                <w:color w:val="auto"/>
              </w:rPr>
            </w:pPr>
          </w:p>
        </w:tc>
        <w:tc>
          <w:tcPr>
            <w:tcW w:w="44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23,111</w:t>
            </w:r>
          </w:p>
        </w:tc>
        <w:tc>
          <w:tcPr>
            <w:tcW w:w="12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69,760</w:t>
            </w:r>
          </w:p>
        </w:tc>
        <w:tc>
          <w:tcPr>
            <w:tcW w:w="120" w:type="dxa"/>
            <w:vAlign w:val="bottom"/>
          </w:tcPr>
          <w:p>
            <w:pPr>
              <w:spacing w:after="0"/>
              <w:rPr>
                <w:sz w:val="19"/>
                <w:szCs w:val="19"/>
                <w:color w:val="auto"/>
              </w:rPr>
            </w:pPr>
          </w:p>
        </w:tc>
        <w:tc>
          <w:tcPr>
            <w:tcW w:w="4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78,076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7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Less: Net income allocated to unvested participating restricted stock</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 available to common stockholders</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20,373</w:t>
            </w:r>
          </w:p>
        </w:tc>
        <w:tc>
          <w:tcPr>
            <w:tcW w:w="120" w:type="dxa"/>
            <w:vAlign w:val="bottom"/>
          </w:tcPr>
          <w:p>
            <w:pPr>
              <w:spacing w:after="0"/>
              <w:rPr>
                <w:sz w:val="19"/>
                <w:szCs w:val="19"/>
                <w:color w:val="auto"/>
              </w:rPr>
            </w:pPr>
          </w:p>
        </w:tc>
        <w:tc>
          <w:tcPr>
            <w:tcW w:w="44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22,609</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67,908</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76,156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vMerge w:val="restart"/>
          </w:tcPr>
          <w:p>
            <w:pPr>
              <w:spacing w:after="0"/>
              <w:rPr>
                <w:sz w:val="15"/>
                <w:szCs w:val="15"/>
                <w:color w:val="auto"/>
              </w:rPr>
            </w:pPr>
          </w:p>
        </w:tc>
        <w:tc>
          <w:tcPr>
            <w:tcW w:w="5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20" w:type="dxa"/>
            <w:vAlign w:val="bottom"/>
            <w:vMerge w:val="continue"/>
          </w:tcPr>
          <w:p>
            <w:pPr>
              <w:spacing w:after="0"/>
              <w:rPr>
                <w:sz w:val="19"/>
                <w:szCs w:val="19"/>
                <w:color w:val="auto"/>
              </w:rPr>
            </w:pPr>
          </w:p>
        </w:tc>
        <w:tc>
          <w:tcPr>
            <w:tcW w:w="57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available to common stockholders per share:</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7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572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Diluted</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17"/>
                <w:szCs w:val="17"/>
                <w:color w:val="auto"/>
              </w:rPr>
            </w:pPr>
          </w:p>
        </w:tc>
        <w:tc>
          <w:tcPr>
            <w:tcW w:w="440" w:type="dxa"/>
            <w:vAlign w:val="bottom"/>
            <w:tcBorders>
              <w:top w:val="single" w:sz="8" w:color="auto"/>
              <w:bottom w:val="single" w:sz="8" w:color="auto"/>
            </w:tcBorders>
          </w:tcPr>
          <w:p>
            <w:pPr>
              <w:jc w:val="right"/>
              <w:ind w:right="25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1.33</w:t>
            </w:r>
          </w:p>
        </w:tc>
        <w:tc>
          <w:tcPr>
            <w:tcW w:w="12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4.22</w:t>
            </w:r>
          </w:p>
        </w:tc>
        <w:tc>
          <w:tcPr>
            <w:tcW w:w="120" w:type="dxa"/>
            <w:vAlign w:val="bottom"/>
          </w:tcPr>
          <w:p>
            <w:pPr>
              <w:spacing w:after="0"/>
              <w:rPr>
                <w:sz w:val="17"/>
                <w:szCs w:val="17"/>
                <w:color w:val="auto"/>
              </w:rPr>
            </w:pPr>
          </w:p>
        </w:tc>
        <w:tc>
          <w:tcPr>
            <w:tcW w:w="460" w:type="dxa"/>
            <w:vAlign w:val="bottom"/>
            <w:tcBorders>
              <w:top w:val="single" w:sz="8" w:color="auto"/>
              <w:bottom w:val="single" w:sz="8" w:color="auto"/>
            </w:tcBorders>
          </w:tcPr>
          <w:p>
            <w:pPr>
              <w:jc w:val="right"/>
              <w:ind w:right="27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5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7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1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15,377</w:t>
            </w:r>
          </w:p>
        </w:tc>
        <w:tc>
          <w:tcPr>
            <w:tcW w:w="12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16,911</w:t>
            </w:r>
          </w:p>
        </w:tc>
        <w:tc>
          <w:tcPr>
            <w:tcW w:w="12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16,049</w:t>
            </w: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0"/>
                <w:szCs w:val="20"/>
                <w:color w:val="auto"/>
              </w:rPr>
            </w:pPr>
          </w:p>
        </w:tc>
        <w:tc>
          <w:tcPr>
            <w:tcW w:w="57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15,403</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16,079</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the accompanying Notes to Consolidated Financial Statements.</w:t>
      </w:r>
    </w:p>
    <w:p>
      <w:pPr>
        <w:sectPr>
          <w:pgSz w:w="11900" w:h="16838" w:orient="portrait"/>
          <w:cols w:equalWidth="0" w:num="1">
            <w:col w:w="11260"/>
          </w:cols>
          <w:pgMar w:left="300" w:top="11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91440</wp:posOffset>
            </wp:positionV>
            <wp:extent cx="716026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5" w:lineRule="exact"/>
        <w:rPr>
          <w:sz w:val="20"/>
          <w:szCs w:val="20"/>
          <w:color w:val="auto"/>
        </w:rPr>
      </w:pPr>
    </w:p>
    <w:tbl>
      <w:tblPr>
        <w:tblLayout w:type="fixed"/>
        <w:tblInd w:w="100" w:type="dxa"/>
        <w:tblCellMar>
          <w:top w:w="0" w:type="dxa"/>
          <w:left w:w="0" w:type="dxa"/>
          <w:bottom w:w="0" w:type="dxa"/>
          <w:right w:w="0" w:type="dxa"/>
        </w:tblCellMar>
      </w:tblPr>
      <w:tr>
        <w:trPr>
          <w:trHeight w:val="212"/>
        </w:trPr>
        <w:tc>
          <w:tcPr>
            <w:tcW w:w="326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400" w:type="dxa"/>
            <w:vAlign w:val="bottom"/>
            <w:tcBorders>
              <w:bottom w:val="single" w:sz="8" w:color="auto"/>
            </w:tcBorders>
            <w:gridSpan w:val="9"/>
          </w:tcPr>
          <w:p>
            <w:pPr>
              <w:ind w:left="540"/>
              <w:spacing w:after="0"/>
              <w:rPr>
                <w:sz w:val="20"/>
                <w:szCs w:val="20"/>
                <w:color w:val="auto"/>
              </w:rPr>
            </w:pPr>
            <w:r>
              <w:rPr>
                <w:rFonts w:ascii="Times New Roman" w:cs="Times New Roman" w:eastAsia="Times New Roman" w:hAnsi="Times New Roman"/>
                <w:sz w:val="16"/>
                <w:szCs w:val="16"/>
                <w:b w:val="1"/>
                <w:bCs w:val="1"/>
                <w:color w:val="auto"/>
              </w:rPr>
              <w:t>Three Months Ended September 30, 2022</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260" w:type="dxa"/>
            <w:vAlign w:val="bottom"/>
          </w:tcPr>
          <w:p>
            <w:pPr>
              <w:spacing w:after="0"/>
              <w:rPr>
                <w:sz w:val="20"/>
                <w:szCs w:val="20"/>
                <w:color w:val="auto"/>
              </w:rPr>
            </w:pPr>
          </w:p>
        </w:tc>
        <w:tc>
          <w:tcPr>
            <w:tcW w:w="172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4"/>
          </w:tcPr>
          <w:p>
            <w:pPr>
              <w:jc w:val="center"/>
              <w:ind w:right="3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6"/>
        </w:trPr>
        <w:tc>
          <w:tcPr>
            <w:tcW w:w="3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center"/>
              <w:ind w:right="32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2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60" w:type="dxa"/>
            <w:vAlign w:val="bottom"/>
            <w:gridSpan w:val="3"/>
          </w:tcPr>
          <w:p>
            <w:pPr>
              <w:jc w:val="center"/>
              <w:ind w:right="340"/>
              <w:spacing w:after="0" w:line="120" w:lineRule="exact"/>
              <w:rPr>
                <w:sz w:val="20"/>
                <w:szCs w:val="20"/>
                <w:color w:val="auto"/>
              </w:rPr>
            </w:pPr>
            <w:r>
              <w:rPr>
                <w:rFonts w:ascii="Times New Roman" w:cs="Times New Roman" w:eastAsia="Times New Roman" w:hAnsi="Times New Roman"/>
                <w:sz w:val="12"/>
                <w:szCs w:val="12"/>
                <w:b w:val="1"/>
                <w:bCs w:val="1"/>
                <w:color w:val="auto"/>
              </w:rPr>
              <w:t>Other</w:t>
            </w: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260" w:type="dxa"/>
            <w:vAlign w:val="bottom"/>
          </w:tcPr>
          <w:p>
            <w:pPr>
              <w:spacing w:after="0"/>
              <w:rPr>
                <w:sz w:val="11"/>
                <w:szCs w:val="11"/>
                <w:color w:val="auto"/>
              </w:rPr>
            </w:pPr>
          </w:p>
        </w:tc>
        <w:tc>
          <w:tcPr>
            <w:tcW w:w="106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2"/>
                <w:szCs w:val="12"/>
                <w:b w:val="1"/>
                <w:bCs w:val="1"/>
                <w:color w:val="auto"/>
                <w:w w:val="97"/>
              </w:rPr>
              <w:t>Shares</w:t>
            </w:r>
          </w:p>
        </w:tc>
        <w:tc>
          <w:tcPr>
            <w:tcW w:w="100" w:type="dxa"/>
            <w:vAlign w:val="bottom"/>
          </w:tcPr>
          <w:p>
            <w:pPr>
              <w:spacing w:after="0"/>
              <w:rPr>
                <w:sz w:val="11"/>
                <w:szCs w:val="11"/>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2"/>
                <w:szCs w:val="12"/>
                <w:b w:val="1"/>
                <w:bCs w:val="1"/>
                <w:color w:val="auto"/>
              </w:rPr>
              <w:t>Paid-in</w:t>
            </w:r>
          </w:p>
        </w:tc>
        <w:tc>
          <w:tcPr>
            <w:tcW w:w="1140" w:type="dxa"/>
            <w:vAlign w:val="bottom"/>
            <w:gridSpan w:val="3"/>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Retained Earnings</w:t>
            </w:r>
          </w:p>
        </w:tc>
        <w:tc>
          <w:tcPr>
            <w:tcW w:w="120" w:type="dxa"/>
            <w:vAlign w:val="bottom"/>
          </w:tcPr>
          <w:p>
            <w:pPr>
              <w:spacing w:after="0"/>
              <w:rPr>
                <w:sz w:val="11"/>
                <w:szCs w:val="11"/>
                <w:color w:val="auto"/>
              </w:rPr>
            </w:pPr>
          </w:p>
        </w:tc>
        <w:tc>
          <w:tcPr>
            <w:tcW w:w="1260" w:type="dxa"/>
            <w:vAlign w:val="bottom"/>
            <w:gridSpan w:val="3"/>
          </w:tcPr>
          <w:p>
            <w:pPr>
              <w:jc w:val="center"/>
              <w:ind w:right="320"/>
              <w:spacing w:after="0" w:line="133"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80" w:type="dxa"/>
            <w:vAlign w:val="bottom"/>
          </w:tcPr>
          <w:p>
            <w:pPr>
              <w:spacing w:after="0"/>
              <w:rPr>
                <w:sz w:val="11"/>
                <w:szCs w:val="11"/>
                <w:color w:val="auto"/>
              </w:rPr>
            </w:pPr>
          </w:p>
        </w:tc>
        <w:tc>
          <w:tcPr>
            <w:tcW w:w="8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Cost</w:t>
            </w:r>
          </w:p>
        </w:tc>
        <w:tc>
          <w:tcPr>
            <w:tcW w:w="160" w:type="dxa"/>
            <w:vAlign w:val="bottom"/>
          </w:tcPr>
          <w:p>
            <w:pPr>
              <w:spacing w:after="0"/>
              <w:rPr>
                <w:sz w:val="11"/>
                <w:szCs w:val="11"/>
                <w:color w:val="auto"/>
              </w:rPr>
            </w:pPr>
          </w:p>
        </w:tc>
        <w:tc>
          <w:tcPr>
            <w:tcW w:w="680" w:type="dxa"/>
            <w:vAlign w:val="bottom"/>
            <w:vMerge w:val="restart"/>
          </w:tcPr>
          <w:p>
            <w:pPr>
              <w:jc w:val="right"/>
              <w:ind w:right="23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67"/>
        </w:trPr>
        <w:tc>
          <w:tcPr>
            <w:tcW w:w="3260" w:type="dxa"/>
            <w:vAlign w:val="bottom"/>
          </w:tcPr>
          <w:p>
            <w:pPr>
              <w:spacing w:after="0"/>
              <w:rPr>
                <w:sz w:val="14"/>
                <w:szCs w:val="14"/>
                <w:color w:val="auto"/>
              </w:rPr>
            </w:pP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Outstanding</w:t>
            </w: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1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Loss</w:t>
            </w:r>
          </w:p>
        </w:tc>
        <w:tc>
          <w:tcPr>
            <w:tcW w:w="6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June 30, 2022</w:t>
            </w:r>
          </w:p>
        </w:tc>
        <w:tc>
          <w:tcPr>
            <w:tcW w:w="9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15,823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253,213</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68,265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9,151</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center"/>
              <w:ind w:right="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(630,321)</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(308,656)</w:t>
            </w:r>
          </w:p>
        </w:tc>
        <w:tc>
          <w:tcPr>
            <w:tcW w:w="0" w:type="dxa"/>
            <w:vAlign w:val="bottom"/>
          </w:tcPr>
          <w:p>
            <w:pPr>
              <w:spacing w:after="0"/>
              <w:rPr>
                <w:sz w:val="1"/>
                <w:szCs w:val="1"/>
                <w:color w:val="auto"/>
              </w:rPr>
            </w:pPr>
          </w:p>
        </w:tc>
      </w:tr>
      <w:tr>
        <w:trPr>
          <w:trHeight w:val="210"/>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8"/>
                <w:szCs w:val="18"/>
                <w:color w:val="auto"/>
              </w:rPr>
            </w:pPr>
          </w:p>
        </w:tc>
        <w:tc>
          <w:tcPr>
            <w:tcW w:w="720" w:type="dxa"/>
            <w:vAlign w:val="bottom"/>
          </w:tcPr>
          <w:p>
            <w:pPr>
              <w:jc w:val="right"/>
              <w:ind w:right="9"/>
              <w:spacing w:after="0"/>
              <w:rPr>
                <w:sz w:val="20"/>
                <w:szCs w:val="20"/>
                <w:color w:val="auto"/>
              </w:rPr>
            </w:pPr>
            <w:r>
              <w:rPr>
                <w:rFonts w:ascii="Times New Roman" w:cs="Times New Roman" w:eastAsia="Times New Roman" w:hAnsi="Times New Roman"/>
                <w:sz w:val="14"/>
                <w:szCs w:val="14"/>
                <w:color w:val="auto"/>
              </w:rPr>
              <w:t>20,948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3"/>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20,948</w:t>
            </w:r>
          </w:p>
        </w:tc>
        <w:tc>
          <w:tcPr>
            <w:tcW w:w="0" w:type="dxa"/>
            <w:vAlign w:val="bottom"/>
          </w:tcPr>
          <w:p>
            <w:pPr>
              <w:spacing w:after="0"/>
              <w:rPr>
                <w:sz w:val="1"/>
                <w:szCs w:val="1"/>
                <w:color w:val="auto"/>
              </w:rPr>
            </w:pPr>
          </w:p>
        </w:tc>
      </w:tr>
      <w:tr>
        <w:trPr>
          <w:trHeight w:val="214"/>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10"/>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Purchase of common stock</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260" w:type="dxa"/>
            <w:vAlign w:val="bottom"/>
            <w:gridSpan w:val="3"/>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141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(9,520)</w:t>
            </w:r>
          </w:p>
        </w:tc>
        <w:tc>
          <w:tcPr>
            <w:tcW w:w="0" w:type="dxa"/>
            <w:vAlign w:val="bottom"/>
          </w:tcPr>
          <w:p>
            <w:pPr>
              <w:spacing w:after="0"/>
              <w:rPr>
                <w:sz w:val="1"/>
                <w:szCs w:val="1"/>
                <w:color w:val="auto"/>
              </w:rPr>
            </w:pPr>
          </w:p>
        </w:tc>
      </w:tr>
      <w:tr>
        <w:trPr>
          <w:trHeight w:val="214"/>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Reissuance of treasury stock</w:t>
            </w:r>
          </w:p>
        </w:tc>
        <w:tc>
          <w:tcPr>
            <w:tcW w:w="9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Net issuance of shares for stock plans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260" w:type="dxa"/>
            <w:vAlign w:val="bottom"/>
            <w:gridSpan w:val="3"/>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4"/>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Repurchase of restricted shares for taxes</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w:t>
            </w:r>
          </w:p>
        </w:tc>
        <w:tc>
          <w:tcPr>
            <w:tcW w:w="0" w:type="dxa"/>
            <w:vAlign w:val="bottom"/>
          </w:tcPr>
          <w:p>
            <w:pPr>
              <w:spacing w:after="0"/>
              <w:rPr>
                <w:sz w:val="1"/>
                <w:szCs w:val="1"/>
                <w:color w:val="auto"/>
              </w:rPr>
            </w:pPr>
          </w:p>
        </w:tc>
      </w:tr>
      <w:tr>
        <w:trPr>
          <w:trHeight w:val="210"/>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8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3,801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260" w:type="dxa"/>
            <w:vAlign w:val="bottom"/>
            <w:gridSpan w:val="3"/>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3,801</w:t>
            </w:r>
          </w:p>
        </w:tc>
        <w:tc>
          <w:tcPr>
            <w:tcW w:w="0" w:type="dxa"/>
            <w:vAlign w:val="bottom"/>
          </w:tcPr>
          <w:p>
            <w:pPr>
              <w:spacing w:after="0"/>
              <w:rPr>
                <w:sz w:val="1"/>
                <w:szCs w:val="1"/>
                <w:color w:val="auto"/>
              </w:rPr>
            </w:pPr>
          </w:p>
        </w:tc>
      </w:tr>
      <w:tr>
        <w:trPr>
          <w:trHeight w:val="214"/>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on common stock</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122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(8,034)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(7,912)</w:t>
            </w:r>
          </w:p>
        </w:tc>
        <w:tc>
          <w:tcPr>
            <w:tcW w:w="0" w:type="dxa"/>
            <w:vAlign w:val="bottom"/>
          </w:tcPr>
          <w:p>
            <w:pPr>
              <w:spacing w:after="0"/>
              <w:rPr>
                <w:sz w:val="1"/>
                <w:szCs w:val="1"/>
                <w:color w:val="auto"/>
              </w:rPr>
            </w:pPr>
          </w:p>
        </w:tc>
      </w:tr>
      <w:tr>
        <w:trPr>
          <w:trHeight w:val="159"/>
        </w:trPr>
        <w:tc>
          <w:tcPr>
            <w:tcW w:w="3260" w:type="dxa"/>
            <w:vAlign w:val="bottom"/>
          </w:tcPr>
          <w:p>
            <w:pPr>
              <w:spacing w:after="0" w:line="159" w:lineRule="exact"/>
              <w:rPr>
                <w:sz w:val="20"/>
                <w:szCs w:val="20"/>
                <w:color w:val="auto"/>
              </w:rPr>
            </w:pPr>
            <w:r>
              <w:rPr>
                <w:rFonts w:ascii="Times New Roman" w:cs="Times New Roman" w:eastAsia="Times New Roman" w:hAnsi="Times New Roman"/>
                <w:sz w:val="16"/>
                <w:szCs w:val="16"/>
                <w:color w:val="auto"/>
              </w:rPr>
              <w:t>Tax payments for share settlement of restricted</w:t>
            </w: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260" w:type="dxa"/>
            <w:vAlign w:val="bottom"/>
          </w:tcPr>
          <w:p>
            <w:pPr>
              <w:spacing w:after="0"/>
              <w:rPr>
                <w:sz w:val="20"/>
                <w:szCs w:val="20"/>
                <w:color w:val="auto"/>
              </w:rPr>
            </w:pPr>
            <w:r>
              <w:rPr>
                <w:rFonts w:ascii="Times New Roman" w:cs="Times New Roman" w:eastAsia="Times New Roman" w:hAnsi="Times New Roman"/>
                <w:sz w:val="16"/>
                <w:szCs w:val="16"/>
                <w:color w:val="auto"/>
              </w:rPr>
              <w:t>stock units</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260" w:type="dxa"/>
            <w:vAlign w:val="bottom"/>
            <w:gridSpan w:val="3"/>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19"/>
        </w:trPr>
        <w:tc>
          <w:tcPr>
            <w:tcW w:w="3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September 30, 2022</w:t>
            </w:r>
          </w:p>
        </w:tc>
        <w:tc>
          <w:tcPr>
            <w:tcW w:w="96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15,682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256,508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rPr>
              <w:t>81,179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9,284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center"/>
              <w:ind w:right="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(639,463)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(301,594)</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5"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334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9"/>
          </w:tcPr>
          <w:p>
            <w:pPr>
              <w:ind w:left="580"/>
              <w:spacing w:after="0"/>
              <w:rPr>
                <w:sz w:val="20"/>
                <w:szCs w:val="20"/>
                <w:color w:val="auto"/>
              </w:rPr>
            </w:pPr>
            <w:r>
              <w:rPr>
                <w:rFonts w:ascii="Times New Roman" w:cs="Times New Roman" w:eastAsia="Times New Roman" w:hAnsi="Times New Roman"/>
                <w:sz w:val="16"/>
                <w:szCs w:val="16"/>
                <w:b w:val="1"/>
                <w:bCs w:val="1"/>
                <w:color w:val="auto"/>
                <w:w w:val="99"/>
              </w:rPr>
              <w:t>Nine Months Ended September 30, 2022</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340" w:type="dxa"/>
            <w:vAlign w:val="bottom"/>
          </w:tcPr>
          <w:p>
            <w:pPr>
              <w:spacing w:after="0"/>
              <w:rPr>
                <w:sz w:val="16"/>
                <w:szCs w:val="16"/>
                <w:color w:val="auto"/>
              </w:rPr>
            </w:pPr>
          </w:p>
        </w:tc>
        <w:tc>
          <w:tcPr>
            <w:tcW w:w="1740" w:type="dxa"/>
            <w:vAlign w:val="bottom"/>
            <w:tcBorders>
              <w:bottom w:val="single" w:sz="8" w:color="auto"/>
            </w:tcBorders>
            <w:gridSpan w:val="4"/>
          </w:tcPr>
          <w:p>
            <w:pPr>
              <w:jc w:val="right"/>
              <w:ind w:right="389"/>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right"/>
              <w:ind w:right="309"/>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10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3"/>
          </w:tcPr>
          <w:p>
            <w:pPr>
              <w:jc w:val="center"/>
              <w:ind w:right="340"/>
              <w:spacing w:after="0" w:line="120"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34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gridSpan w:val="2"/>
          </w:tcPr>
          <w:p>
            <w:pPr>
              <w:jc w:val="center"/>
              <w:ind w:right="200"/>
              <w:spacing w:after="0" w:line="120" w:lineRule="exact"/>
              <w:rPr>
                <w:sz w:val="20"/>
                <w:szCs w:val="20"/>
                <w:color w:val="auto"/>
              </w:rPr>
            </w:pPr>
            <w:r>
              <w:rPr>
                <w:rFonts w:ascii="Times New Roman" w:cs="Times New Roman" w:eastAsia="Times New Roman" w:hAnsi="Times New Roman"/>
                <w:sz w:val="12"/>
                <w:szCs w:val="12"/>
                <w:b w:val="1"/>
                <w:bCs w:val="1"/>
                <w:color w:val="auto"/>
              </w:rPr>
              <w:t>Paid-in</w:t>
            </w: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3"/>
          </w:tcPr>
          <w:p>
            <w:pPr>
              <w:jc w:val="center"/>
              <w:ind w:right="340"/>
              <w:spacing w:after="0" w:line="120"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3340" w:type="dxa"/>
            <w:vAlign w:val="bottom"/>
          </w:tcPr>
          <w:p>
            <w:pPr>
              <w:spacing w:after="0"/>
              <w:rPr>
                <w:sz w:val="15"/>
                <w:szCs w:val="15"/>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Outstanding</w:t>
            </w:r>
          </w:p>
        </w:tc>
        <w:tc>
          <w:tcPr>
            <w:tcW w:w="1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20" w:type="dxa"/>
            <w:vAlign w:val="bottom"/>
          </w:tcPr>
          <w:p>
            <w:pPr>
              <w:spacing w:after="0"/>
              <w:rPr>
                <w:sz w:val="15"/>
                <w:szCs w:val="15"/>
                <w:color w:val="auto"/>
              </w:rPr>
            </w:pP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2"/>
                <w:szCs w:val="12"/>
                <w:b w:val="1"/>
                <w:bCs w:val="1"/>
                <w:color w:val="auto"/>
              </w:rPr>
              <w:t>Retained Earnings</w:t>
            </w:r>
          </w:p>
        </w:tc>
        <w:tc>
          <w:tcPr>
            <w:tcW w:w="140" w:type="dxa"/>
            <w:vAlign w:val="bottom"/>
          </w:tcPr>
          <w:p>
            <w:pPr>
              <w:spacing w:after="0"/>
              <w:rPr>
                <w:sz w:val="15"/>
                <w:szCs w:val="15"/>
                <w:color w:val="auto"/>
              </w:rPr>
            </w:pPr>
          </w:p>
        </w:tc>
        <w:tc>
          <w:tcPr>
            <w:tcW w:w="1240" w:type="dxa"/>
            <w:vAlign w:val="bottom"/>
            <w:gridSpan w:val="3"/>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rPr>
              <w:t>Loss</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80" w:type="dxa"/>
            <w:vAlign w:val="bottom"/>
          </w:tcPr>
          <w:p>
            <w:pPr>
              <w:spacing w:after="0"/>
              <w:rPr>
                <w:sz w:val="15"/>
                <w:szCs w:val="15"/>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Cost</w:t>
            </w:r>
          </w:p>
        </w:tc>
        <w:tc>
          <w:tcPr>
            <w:tcW w:w="200" w:type="dxa"/>
            <w:vAlign w:val="bottom"/>
          </w:tcPr>
          <w:p>
            <w:pPr>
              <w:spacing w:after="0"/>
              <w:rPr>
                <w:sz w:val="15"/>
                <w:szCs w:val="15"/>
                <w:color w:val="auto"/>
              </w:rPr>
            </w:pPr>
          </w:p>
        </w:tc>
        <w:tc>
          <w:tcPr>
            <w:tcW w:w="740" w:type="dxa"/>
            <w:vAlign w:val="bottom"/>
          </w:tcPr>
          <w:p>
            <w:pPr>
              <w:jc w:val="right"/>
              <w:ind w:right="27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99"/>
        </w:trPr>
        <w:tc>
          <w:tcPr>
            <w:tcW w:w="33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2021</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17,164</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256,189</w:t>
            </w: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35,415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7,828</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(534,602)</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(242,807)</w:t>
            </w:r>
          </w:p>
        </w:tc>
        <w:tc>
          <w:tcPr>
            <w:tcW w:w="0" w:type="dxa"/>
            <w:vAlign w:val="bottom"/>
          </w:tcPr>
          <w:p>
            <w:pPr>
              <w:spacing w:after="0"/>
              <w:rPr>
                <w:sz w:val="1"/>
                <w:szCs w:val="1"/>
                <w:color w:val="auto"/>
              </w:rPr>
            </w:pPr>
          </w:p>
        </w:tc>
      </w:tr>
      <w:tr>
        <w:trPr>
          <w:trHeight w:val="210"/>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69,760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69,760</w:t>
            </w:r>
          </w:p>
        </w:tc>
        <w:tc>
          <w:tcPr>
            <w:tcW w:w="0" w:type="dxa"/>
            <w:vAlign w:val="bottom"/>
          </w:tcPr>
          <w:p>
            <w:pPr>
              <w:spacing w:after="0"/>
              <w:rPr>
                <w:sz w:val="1"/>
                <w:szCs w:val="1"/>
                <w:color w:val="auto"/>
              </w:rPr>
            </w:pPr>
          </w:p>
        </w:tc>
      </w:tr>
      <w:tr>
        <w:trPr>
          <w:trHeight w:val="214"/>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210"/>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common stock</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240" w:type="dxa"/>
            <w:vAlign w:val="bottom"/>
            <w:gridSpan w:val="3"/>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(113,573)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(113,573)</w:t>
            </w:r>
          </w:p>
        </w:tc>
        <w:tc>
          <w:tcPr>
            <w:tcW w:w="0" w:type="dxa"/>
            <w:vAlign w:val="bottom"/>
          </w:tcPr>
          <w:p>
            <w:pPr>
              <w:spacing w:after="0"/>
              <w:rPr>
                <w:sz w:val="1"/>
                <w:szCs w:val="1"/>
                <w:color w:val="auto"/>
              </w:rPr>
            </w:pPr>
          </w:p>
        </w:tc>
      </w:tr>
      <w:tr>
        <w:trPr>
          <w:trHeight w:val="214"/>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Reissuance of treasury stock</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(8,471)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8,712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0" w:type="dxa"/>
            <w:vAlign w:val="bottom"/>
          </w:tcPr>
          <w:p>
            <w:pPr>
              <w:spacing w:after="0"/>
              <w:rPr>
                <w:sz w:val="1"/>
                <w:szCs w:val="1"/>
                <w:color w:val="auto"/>
              </w:rPr>
            </w:pPr>
          </w:p>
        </w:tc>
      </w:tr>
      <w:tr>
        <w:trPr>
          <w:trHeight w:val="210"/>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issuance of shares for stock plans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240" w:type="dxa"/>
            <w:vAlign w:val="bottom"/>
            <w:gridSpan w:val="3"/>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4"/>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Repurchase of restricted shares for taxes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(2,601)</w:t>
            </w:r>
          </w:p>
        </w:tc>
        <w:tc>
          <w:tcPr>
            <w:tcW w:w="0" w:type="dxa"/>
            <w:vAlign w:val="bottom"/>
          </w:tcPr>
          <w:p>
            <w:pPr>
              <w:spacing w:after="0"/>
              <w:rPr>
                <w:sz w:val="1"/>
                <w:szCs w:val="1"/>
                <w:color w:val="auto"/>
              </w:rPr>
            </w:pPr>
          </w:p>
        </w:tc>
      </w:tr>
      <w:tr>
        <w:trPr>
          <w:trHeight w:val="225"/>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9"/>
                <w:szCs w:val="19"/>
                <w:color w:val="auto"/>
              </w:rPr>
            </w:pPr>
          </w:p>
        </w:tc>
        <w:tc>
          <w:tcPr>
            <w:tcW w:w="66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12,128</w:t>
            </w:r>
          </w:p>
        </w:tc>
        <w:tc>
          <w:tcPr>
            <w:tcW w:w="0" w:type="dxa"/>
            <w:vAlign w:val="bottom"/>
          </w:tcPr>
          <w:p>
            <w:pPr>
              <w:spacing w:after="0"/>
              <w:rPr>
                <w:sz w:val="1"/>
                <w:szCs w:val="1"/>
                <w:color w:val="auto"/>
              </w:rPr>
            </w:pPr>
          </w:p>
        </w:tc>
      </w:tr>
      <w:tr>
        <w:trPr>
          <w:trHeight w:val="212"/>
        </w:trPr>
        <w:tc>
          <w:tcPr>
            <w:tcW w:w="3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Dividends on common stock</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(23,996)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(23,778)</w:t>
            </w:r>
          </w:p>
        </w:tc>
        <w:tc>
          <w:tcPr>
            <w:tcW w:w="0" w:type="dxa"/>
            <w:vAlign w:val="bottom"/>
          </w:tcPr>
          <w:p>
            <w:pPr>
              <w:spacing w:after="0"/>
              <w:rPr>
                <w:sz w:val="1"/>
                <w:szCs w:val="1"/>
                <w:color w:val="auto"/>
              </w:rPr>
            </w:pPr>
          </w:p>
        </w:tc>
      </w:tr>
      <w:tr>
        <w:trPr>
          <w:trHeight w:val="159"/>
        </w:trPr>
        <w:tc>
          <w:tcPr>
            <w:tcW w:w="334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Tax payments for share settlement of restricted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3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units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240" w:type="dxa"/>
            <w:vAlign w:val="bottom"/>
            <w:gridSpan w:val="3"/>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(955)</w:t>
            </w:r>
          </w:p>
        </w:tc>
        <w:tc>
          <w:tcPr>
            <w:tcW w:w="0" w:type="dxa"/>
            <w:vAlign w:val="bottom"/>
          </w:tcPr>
          <w:p>
            <w:pPr>
              <w:spacing w:after="0"/>
              <w:rPr>
                <w:sz w:val="1"/>
                <w:szCs w:val="1"/>
                <w:color w:val="auto"/>
              </w:rPr>
            </w:pPr>
          </w:p>
        </w:tc>
      </w:tr>
      <w:tr>
        <w:trPr>
          <w:trHeight w:val="219"/>
        </w:trPr>
        <w:tc>
          <w:tcPr>
            <w:tcW w:w="3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2022</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15,682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256,508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81,179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9,284</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(639,463)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(301,594)</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the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Deficit</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8" w:lineRule="exact"/>
        <w:rPr>
          <w:sz w:val="20"/>
          <w:szCs w:val="20"/>
          <w:color w:val="auto"/>
        </w:rPr>
      </w:pPr>
    </w:p>
    <w:tbl>
      <w:tblPr>
        <w:tblLayout w:type="fixed"/>
        <w:tblInd w:w="100" w:type="dxa"/>
        <w:tblCellMar>
          <w:top w:w="0" w:type="dxa"/>
          <w:left w:w="0" w:type="dxa"/>
          <w:bottom w:w="0" w:type="dxa"/>
          <w:right w:w="0" w:type="dxa"/>
        </w:tblCellMar>
      </w:tblPr>
      <w:tr>
        <w:trPr>
          <w:trHeight w:val="212"/>
        </w:trPr>
        <w:tc>
          <w:tcPr>
            <w:tcW w:w="30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60" w:type="dxa"/>
            <w:vAlign w:val="bottom"/>
            <w:tcBorders>
              <w:bottom w:val="single" w:sz="8" w:color="auto"/>
            </w:tcBorders>
            <w:gridSpan w:val="8"/>
          </w:tcPr>
          <w:p>
            <w:pPr>
              <w:jc w:val="center"/>
              <w:ind w:left="531"/>
              <w:spacing w:after="0"/>
              <w:rPr>
                <w:sz w:val="20"/>
                <w:szCs w:val="20"/>
                <w:color w:val="auto"/>
              </w:rPr>
            </w:pPr>
            <w:r>
              <w:rPr>
                <w:rFonts w:ascii="Times New Roman" w:cs="Times New Roman" w:eastAsia="Times New Roman" w:hAnsi="Times New Roman"/>
                <w:sz w:val="16"/>
                <w:szCs w:val="16"/>
                <w:b w:val="1"/>
                <w:bCs w:val="1"/>
                <w:color w:val="auto"/>
                <w:w w:val="99"/>
              </w:rPr>
              <w:t>Three Months Ended September 30, 2021</w:t>
            </w:r>
          </w:p>
        </w:tc>
        <w:tc>
          <w:tcPr>
            <w:tcW w:w="5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00" w:type="dxa"/>
            <w:vAlign w:val="bottom"/>
          </w:tcPr>
          <w:p>
            <w:pPr>
              <w:spacing w:after="0"/>
              <w:rPr>
                <w:sz w:val="20"/>
                <w:szCs w:val="20"/>
                <w:color w:val="auto"/>
              </w:rPr>
            </w:pPr>
          </w:p>
        </w:tc>
        <w:tc>
          <w:tcPr>
            <w:tcW w:w="1800" w:type="dxa"/>
            <w:vAlign w:val="bottom"/>
            <w:gridSpan w:val="5"/>
          </w:tcPr>
          <w:p>
            <w:pPr>
              <w:ind w:left="44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60" w:type="dxa"/>
            <w:vAlign w:val="bottom"/>
            <w:gridSpan w:val="5"/>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6"/>
        </w:trPr>
        <w:tc>
          <w:tcPr>
            <w:tcW w:w="30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12"/>
                <w:szCs w:val="12"/>
                <w:color w:val="auto"/>
              </w:rPr>
            </w:pPr>
          </w:p>
        </w:tc>
        <w:tc>
          <w:tcPr>
            <w:tcW w:w="1420" w:type="dxa"/>
            <w:vAlign w:val="bottom"/>
            <w:gridSpan w:val="2"/>
            <w:vMerge w:val="restart"/>
          </w:tcPr>
          <w:p>
            <w:pPr>
              <w:jc w:val="center"/>
              <w:ind w:right="569"/>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20" w:type="dxa"/>
            <w:vAlign w:val="bottom"/>
          </w:tcPr>
          <w:p>
            <w:pPr>
              <w:spacing w:after="0"/>
              <w:rPr>
                <w:sz w:val="12"/>
                <w:szCs w:val="12"/>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5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0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center"/>
              <w:ind w:right="240"/>
              <w:spacing w:after="0" w:line="120"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3"/>
        </w:trPr>
        <w:tc>
          <w:tcPr>
            <w:tcW w:w="3000" w:type="dxa"/>
            <w:vAlign w:val="bottom"/>
          </w:tcPr>
          <w:p>
            <w:pPr>
              <w:spacing w:after="0"/>
              <w:rPr>
                <w:sz w:val="11"/>
                <w:szCs w:val="11"/>
                <w:color w:val="auto"/>
              </w:rPr>
            </w:pPr>
          </w:p>
        </w:tc>
        <w:tc>
          <w:tcPr>
            <w:tcW w:w="1040" w:type="dxa"/>
            <w:vAlign w:val="bottom"/>
            <w:gridSpan w:val="2"/>
          </w:tcPr>
          <w:p>
            <w:pPr>
              <w:jc w:val="center"/>
              <w:ind w:right="120"/>
              <w:spacing w:after="0" w:line="133" w:lineRule="exact"/>
              <w:rPr>
                <w:sz w:val="20"/>
                <w:szCs w:val="20"/>
                <w:color w:val="auto"/>
              </w:rPr>
            </w:pPr>
            <w:r>
              <w:rPr>
                <w:rFonts w:ascii="Times New Roman" w:cs="Times New Roman" w:eastAsia="Times New Roman" w:hAnsi="Times New Roman"/>
                <w:sz w:val="12"/>
                <w:szCs w:val="12"/>
                <w:b w:val="1"/>
                <w:bCs w:val="1"/>
                <w:color w:val="auto"/>
              </w:rPr>
              <w:t>Shares</w:t>
            </w:r>
          </w:p>
        </w:tc>
        <w:tc>
          <w:tcPr>
            <w:tcW w:w="100" w:type="dxa"/>
            <w:vAlign w:val="bottom"/>
          </w:tcPr>
          <w:p>
            <w:pPr>
              <w:spacing w:after="0"/>
              <w:rPr>
                <w:sz w:val="11"/>
                <w:szCs w:val="11"/>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Pr>
          <w:p>
            <w:pPr>
              <w:spacing w:after="0"/>
              <w:rPr>
                <w:sz w:val="11"/>
                <w:szCs w:val="11"/>
                <w:color w:val="auto"/>
              </w:rPr>
            </w:pPr>
          </w:p>
        </w:tc>
        <w:tc>
          <w:tcPr>
            <w:tcW w:w="860" w:type="dxa"/>
            <w:vAlign w:val="bottom"/>
            <w:gridSpan w:val="2"/>
          </w:tcPr>
          <w:p>
            <w:pPr>
              <w:jc w:val="center"/>
              <w:ind w:right="220"/>
              <w:spacing w:after="0" w:line="133" w:lineRule="exact"/>
              <w:rPr>
                <w:sz w:val="20"/>
                <w:szCs w:val="20"/>
                <w:color w:val="auto"/>
              </w:rPr>
            </w:pPr>
            <w:r>
              <w:rPr>
                <w:rFonts w:ascii="Times New Roman" w:cs="Times New Roman" w:eastAsia="Times New Roman" w:hAnsi="Times New Roman"/>
                <w:sz w:val="12"/>
                <w:szCs w:val="12"/>
                <w:b w:val="1"/>
                <w:bCs w:val="1"/>
                <w:color w:val="auto"/>
              </w:rPr>
              <w:t>Paid-in</w:t>
            </w:r>
          </w:p>
        </w:tc>
        <w:tc>
          <w:tcPr>
            <w:tcW w:w="1540" w:type="dxa"/>
            <w:vAlign w:val="bottom"/>
            <w:gridSpan w:val="3"/>
          </w:tcPr>
          <w:p>
            <w:pPr>
              <w:jc w:val="center"/>
              <w:ind w:right="449"/>
              <w:spacing w:after="0" w:line="133" w:lineRule="exact"/>
              <w:rPr>
                <w:sz w:val="20"/>
                <w:szCs w:val="20"/>
                <w:color w:val="auto"/>
              </w:rPr>
            </w:pPr>
            <w:r>
              <w:rPr>
                <w:rFonts w:ascii="Times New Roman" w:cs="Times New Roman" w:eastAsia="Times New Roman" w:hAnsi="Times New Roman"/>
                <w:sz w:val="12"/>
                <w:szCs w:val="12"/>
                <w:b w:val="1"/>
                <w:bCs w:val="1"/>
                <w:color w:val="auto"/>
              </w:rPr>
              <w:t>Deficit) Retained</w:t>
            </w:r>
          </w:p>
        </w:tc>
        <w:tc>
          <w:tcPr>
            <w:tcW w:w="120" w:type="dxa"/>
            <w:vAlign w:val="bottom"/>
          </w:tcPr>
          <w:p>
            <w:pPr>
              <w:spacing w:after="0"/>
              <w:rPr>
                <w:sz w:val="11"/>
                <w:szCs w:val="11"/>
                <w:color w:val="auto"/>
              </w:rPr>
            </w:pPr>
          </w:p>
        </w:tc>
        <w:tc>
          <w:tcPr>
            <w:tcW w:w="1140" w:type="dxa"/>
            <w:vAlign w:val="bottom"/>
            <w:gridSpan w:val="2"/>
          </w:tcPr>
          <w:p>
            <w:pPr>
              <w:jc w:val="center"/>
              <w:ind w:right="240"/>
              <w:spacing w:after="0" w:line="133"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7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60" w:type="dxa"/>
            <w:vAlign w:val="bottom"/>
          </w:tcPr>
          <w:p>
            <w:pPr>
              <w:spacing w:after="0"/>
              <w:rPr>
                <w:sz w:val="11"/>
                <w:szCs w:val="11"/>
                <w:color w:val="auto"/>
              </w:rPr>
            </w:pPr>
          </w:p>
        </w:tc>
        <w:tc>
          <w:tcPr>
            <w:tcW w:w="7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2"/>
                <w:szCs w:val="12"/>
                <w:b w:val="1"/>
                <w:bCs w:val="1"/>
                <w:color w:val="auto"/>
              </w:rPr>
              <w:t>Cost</w:t>
            </w:r>
          </w:p>
        </w:tc>
        <w:tc>
          <w:tcPr>
            <w:tcW w:w="180" w:type="dxa"/>
            <w:vAlign w:val="bottom"/>
          </w:tcPr>
          <w:p>
            <w:pPr>
              <w:spacing w:after="0"/>
              <w:rPr>
                <w:sz w:val="11"/>
                <w:szCs w:val="11"/>
                <w:color w:val="auto"/>
              </w:rPr>
            </w:pPr>
          </w:p>
        </w:tc>
        <w:tc>
          <w:tcPr>
            <w:tcW w:w="660" w:type="dxa"/>
            <w:vAlign w:val="bottom"/>
            <w:vMerge w:val="restart"/>
          </w:tcPr>
          <w:p>
            <w:pPr>
              <w:jc w:val="right"/>
              <w:ind w:right="21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67"/>
        </w:trPr>
        <w:tc>
          <w:tcPr>
            <w:tcW w:w="3000" w:type="dxa"/>
            <w:vAlign w:val="bottom"/>
          </w:tcPr>
          <w:p>
            <w:pPr>
              <w:spacing w:after="0"/>
              <w:rPr>
                <w:sz w:val="14"/>
                <w:szCs w:val="14"/>
                <w:color w:val="auto"/>
              </w:rPr>
            </w:pP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Outstanding</w:t>
            </w:r>
          </w:p>
        </w:tc>
        <w:tc>
          <w:tcPr>
            <w:tcW w:w="100" w:type="dxa"/>
            <w:vAlign w:val="bottom"/>
          </w:tcPr>
          <w:p>
            <w:pPr>
              <w:spacing w:after="0"/>
              <w:rPr>
                <w:sz w:val="14"/>
                <w:szCs w:val="14"/>
                <w:color w:val="auto"/>
              </w:rPr>
            </w:pPr>
          </w:p>
        </w:tc>
        <w:tc>
          <w:tcPr>
            <w:tcW w:w="6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Capital</w:t>
            </w:r>
          </w:p>
        </w:tc>
        <w:tc>
          <w:tcPr>
            <w:tcW w:w="120" w:type="dxa"/>
            <w:vAlign w:val="bottom"/>
          </w:tcPr>
          <w:p>
            <w:pPr>
              <w:spacing w:after="0"/>
              <w:rPr>
                <w:sz w:val="14"/>
                <w:szCs w:val="14"/>
                <w:color w:val="auto"/>
              </w:rPr>
            </w:pPr>
          </w:p>
        </w:tc>
        <w:tc>
          <w:tcPr>
            <w:tcW w:w="1420" w:type="dxa"/>
            <w:vAlign w:val="bottom"/>
            <w:gridSpan w:val="2"/>
          </w:tcPr>
          <w:p>
            <w:pPr>
              <w:jc w:val="center"/>
              <w:ind w:right="549"/>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2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2"/>
                <w:szCs w:val="12"/>
                <w:b w:val="1"/>
                <w:bCs w:val="1"/>
                <w:color w:val="auto"/>
              </w:rPr>
              <w:t>Loss</w:t>
            </w:r>
          </w:p>
        </w:tc>
        <w:tc>
          <w:tcPr>
            <w:tcW w:w="7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3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 at June 30, 2021</w:t>
            </w:r>
          </w:p>
        </w:tc>
        <w:tc>
          <w:tcPr>
            <w:tcW w:w="940" w:type="dxa"/>
            <w:vAlign w:val="bottom"/>
            <w:tcBorders>
              <w:top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4"/>
                <w:szCs w:val="14"/>
                <w:color w:val="auto"/>
              </w:rPr>
              <w:t>17,178</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250,509</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(588)</w:t>
            </w:r>
          </w:p>
        </w:tc>
        <w:tc>
          <w:tcPr>
            <w:tcW w:w="5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-588000</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7,833</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center"/>
              <w:ind w:right="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(532,865)</w:t>
            </w: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(282,751)</w:t>
            </w:r>
          </w:p>
        </w:tc>
        <w:tc>
          <w:tcPr>
            <w:tcW w:w="0" w:type="dxa"/>
            <w:vAlign w:val="bottom"/>
          </w:tcPr>
          <w:p>
            <w:pPr>
              <w:spacing w:after="0"/>
              <w:rPr>
                <w:sz w:val="1"/>
                <w:szCs w:val="1"/>
                <w:color w:val="auto"/>
              </w:rPr>
            </w:pPr>
          </w:p>
        </w:tc>
      </w:tr>
      <w:tr>
        <w:trPr>
          <w:trHeight w:val="210"/>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Net income</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23,111</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23,111</w:t>
            </w:r>
          </w:p>
        </w:tc>
        <w:tc>
          <w:tcPr>
            <w:tcW w:w="0" w:type="dxa"/>
            <w:vAlign w:val="bottom"/>
          </w:tcPr>
          <w:p>
            <w:pPr>
              <w:spacing w:after="0"/>
              <w:rPr>
                <w:sz w:val="1"/>
                <w:szCs w:val="1"/>
                <w:color w:val="auto"/>
              </w:rPr>
            </w:pPr>
          </w:p>
        </w:tc>
      </w:tr>
      <w:tr>
        <w:trPr>
          <w:trHeight w:val="214"/>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10"/>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Reissuance of treasury stock</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4"/>
                <w:szCs w:val="14"/>
                <w:color w:val="auto"/>
              </w:rPr>
              <w:t>50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76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422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2,505</w:t>
            </w:r>
          </w:p>
        </w:tc>
        <w:tc>
          <w:tcPr>
            <w:tcW w:w="0" w:type="dxa"/>
            <w:vAlign w:val="bottom"/>
          </w:tcPr>
          <w:p>
            <w:pPr>
              <w:spacing w:after="0"/>
              <w:rPr>
                <w:sz w:val="1"/>
                <w:szCs w:val="1"/>
                <w:color w:val="auto"/>
              </w:rPr>
            </w:pPr>
          </w:p>
        </w:tc>
      </w:tr>
      <w:tr>
        <w:trPr>
          <w:trHeight w:val="214"/>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issuance of shares for stock plans</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000" w:type="dxa"/>
            <w:vAlign w:val="bottom"/>
          </w:tcPr>
          <w:p>
            <w:pPr>
              <w:spacing w:after="0"/>
              <w:rPr>
                <w:sz w:val="20"/>
                <w:szCs w:val="20"/>
                <w:color w:val="auto"/>
              </w:rPr>
            </w:pPr>
            <w:r>
              <w:rPr>
                <w:rFonts w:ascii="Times New Roman" w:cs="Times New Roman" w:eastAsia="Times New Roman" w:hAnsi="Times New Roman"/>
                <w:sz w:val="16"/>
                <w:szCs w:val="16"/>
                <w:color w:val="auto"/>
              </w:rPr>
              <w:t>Repurchase of restricted shares for taxes</w:t>
            </w: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1140" w:type="dxa"/>
            <w:vAlign w:val="bottom"/>
            <w:gridSpan w:val="2"/>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0" w:type="dxa"/>
            <w:vAlign w:val="bottom"/>
          </w:tcPr>
          <w:p>
            <w:pPr>
              <w:spacing w:after="0"/>
              <w:rPr>
                <w:sz w:val="1"/>
                <w:szCs w:val="1"/>
                <w:color w:val="auto"/>
              </w:rPr>
            </w:pPr>
          </w:p>
        </w:tc>
      </w:tr>
      <w:tr>
        <w:trPr>
          <w:trHeight w:val="214"/>
        </w:trPr>
        <w:tc>
          <w:tcPr>
            <w:tcW w:w="3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Stock-based compensation</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2,960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50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2,960</w:t>
            </w:r>
          </w:p>
        </w:tc>
        <w:tc>
          <w:tcPr>
            <w:tcW w:w="0" w:type="dxa"/>
            <w:vAlign w:val="bottom"/>
          </w:tcPr>
          <w:p>
            <w:pPr>
              <w:spacing w:after="0"/>
              <w:rPr>
                <w:sz w:val="1"/>
                <w:szCs w:val="1"/>
                <w:color w:val="auto"/>
              </w:rPr>
            </w:pPr>
          </w:p>
        </w:tc>
      </w:tr>
      <w:tr>
        <w:trPr>
          <w:trHeight w:val="192"/>
        </w:trPr>
        <w:tc>
          <w:tcPr>
            <w:tcW w:w="3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Balance at September 30, 2021</w:t>
            </w:r>
          </w:p>
        </w:tc>
        <w:tc>
          <w:tcPr>
            <w:tcW w:w="9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17,220</w:t>
            </w:r>
          </w:p>
        </w:tc>
        <w:tc>
          <w:tcPr>
            <w:tcW w:w="10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253,751</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22,523</w:t>
            </w:r>
          </w:p>
        </w:tc>
        <w:tc>
          <w:tcPr>
            <w:tcW w:w="5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7,783</w:t>
            </w:r>
          </w:p>
        </w:tc>
        <w:tc>
          <w:tcPr>
            <w:tcW w:w="140" w:type="dxa"/>
            <w:vAlign w:val="bottom"/>
          </w:tcPr>
          <w:p>
            <w:pPr>
              <w:spacing w:after="0"/>
              <w:rPr>
                <w:sz w:val="16"/>
                <w:szCs w:val="16"/>
                <w:color w:val="auto"/>
              </w:rPr>
            </w:pPr>
          </w:p>
        </w:tc>
        <w:tc>
          <w:tcPr>
            <w:tcW w:w="160" w:type="dxa"/>
            <w:vAlign w:val="bottom"/>
            <w:tcBorders>
              <w:top w:val="single" w:sz="8" w:color="auto"/>
              <w:bottom w:val="single" w:sz="8" w:color="auto"/>
            </w:tcBorders>
          </w:tcPr>
          <w:p>
            <w:pPr>
              <w:jc w:val="center"/>
              <w:ind w:right="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(530,782)</w:t>
            </w:r>
          </w:p>
        </w:tc>
        <w:tc>
          <w:tcPr>
            <w:tcW w:w="100" w:type="dxa"/>
            <w:vAlign w:val="bottom"/>
          </w:tcPr>
          <w:p>
            <w:pPr>
              <w:spacing w:after="0"/>
              <w:rPr>
                <w:sz w:val="16"/>
                <w:szCs w:val="16"/>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(254,317)</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8" w:lineRule="exact"/>
        <w:rPr>
          <w:sz w:val="20"/>
          <w:szCs w:val="20"/>
          <w:color w:val="auto"/>
        </w:rPr>
      </w:pPr>
    </w:p>
    <w:tbl>
      <w:tblPr>
        <w:tblLayout w:type="fixed"/>
        <w:tblInd w:w="40" w:type="dxa"/>
        <w:tblCellMar>
          <w:top w:w="0" w:type="dxa"/>
          <w:left w:w="0" w:type="dxa"/>
          <w:bottom w:w="0" w:type="dxa"/>
          <w:right w:w="0" w:type="dxa"/>
        </w:tblCellMar>
      </w:tblPr>
      <w:tr>
        <w:trPr>
          <w:trHeight w:val="212"/>
        </w:trPr>
        <w:tc>
          <w:tcPr>
            <w:tcW w:w="332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9"/>
          </w:tcPr>
          <w:p>
            <w:pPr>
              <w:ind w:left="600"/>
              <w:spacing w:after="0"/>
              <w:rPr>
                <w:sz w:val="20"/>
                <w:szCs w:val="20"/>
                <w:color w:val="auto"/>
              </w:rPr>
            </w:pPr>
            <w:r>
              <w:rPr>
                <w:rFonts w:ascii="Times New Roman" w:cs="Times New Roman" w:eastAsia="Times New Roman" w:hAnsi="Times New Roman"/>
                <w:sz w:val="16"/>
                <w:szCs w:val="16"/>
                <w:b w:val="1"/>
                <w:bCs w:val="1"/>
                <w:color w:val="auto"/>
                <w:w w:val="99"/>
              </w:rPr>
              <w:t>Nine Months Ended September 30, 2021</w:t>
            </w:r>
          </w:p>
        </w:tc>
        <w:tc>
          <w:tcPr>
            <w:tcW w:w="5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320" w:type="dxa"/>
            <w:vAlign w:val="bottom"/>
          </w:tcPr>
          <w:p>
            <w:pPr>
              <w:spacing w:after="0"/>
              <w:rPr>
                <w:sz w:val="16"/>
                <w:szCs w:val="16"/>
                <w:color w:val="auto"/>
              </w:rPr>
            </w:pPr>
          </w:p>
        </w:tc>
        <w:tc>
          <w:tcPr>
            <w:tcW w:w="1740" w:type="dxa"/>
            <w:vAlign w:val="bottom"/>
            <w:tcBorders>
              <w:bottom w:val="single" w:sz="8" w:color="auto"/>
            </w:tcBorders>
            <w:gridSpan w:val="4"/>
          </w:tcPr>
          <w:p>
            <w:pPr>
              <w:jc w:val="right"/>
              <w:ind w:right="390"/>
              <w:spacing w:after="0"/>
              <w:rPr>
                <w:sz w:val="20"/>
                <w:szCs w:val="20"/>
                <w:color w:val="auto"/>
              </w:rPr>
            </w:pPr>
            <w:r>
              <w:rPr>
                <w:rFonts w:ascii="Times New Roman" w:cs="Times New Roman" w:eastAsia="Times New Roman" w:hAnsi="Times New Roman"/>
                <w:sz w:val="12"/>
                <w:szCs w:val="12"/>
                <w:b w:val="1"/>
                <w:bCs w:val="1"/>
                <w:color w:val="auto"/>
              </w:rPr>
              <w:t>Common Stock</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2"/>
                <w:szCs w:val="12"/>
                <w:b w:val="1"/>
                <w:bCs w:val="1"/>
                <w:color w:val="auto"/>
              </w:rPr>
              <w:t>Treasury Stock</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33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12"/>
                <w:szCs w:val="12"/>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140" w:type="dxa"/>
            <w:vAlign w:val="bottom"/>
          </w:tcPr>
          <w:p>
            <w:pPr>
              <w:spacing w:after="0"/>
              <w:rPr>
                <w:sz w:val="12"/>
                <w:szCs w:val="12"/>
                <w:color w:val="auto"/>
              </w:rPr>
            </w:pPr>
          </w:p>
        </w:tc>
        <w:tc>
          <w:tcPr>
            <w:tcW w:w="1240" w:type="dxa"/>
            <w:vAlign w:val="bottom"/>
            <w:gridSpan w:val="3"/>
          </w:tcPr>
          <w:p>
            <w:pPr>
              <w:jc w:val="center"/>
              <w:ind w:right="340"/>
              <w:spacing w:after="0"/>
              <w:rPr>
                <w:sz w:val="20"/>
                <w:szCs w:val="20"/>
                <w:color w:val="auto"/>
              </w:rPr>
            </w:pPr>
            <w:r>
              <w:rPr>
                <w:rFonts w:ascii="Times New Roman" w:cs="Times New Roman" w:eastAsia="Times New Roman" w:hAnsi="Times New Roman"/>
                <w:sz w:val="12"/>
                <w:szCs w:val="12"/>
                <w:b w:val="1"/>
                <w:bCs w:val="1"/>
                <w:color w:val="auto"/>
              </w:rPr>
              <w:t>Accumulated</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320" w:type="dxa"/>
            <w:vAlign w:val="bottom"/>
          </w:tcPr>
          <w:p>
            <w:pPr>
              <w:spacing w:after="0"/>
              <w:rPr>
                <w:sz w:val="10"/>
                <w:szCs w:val="10"/>
                <w:color w:val="auto"/>
              </w:rPr>
            </w:pPr>
          </w:p>
        </w:tc>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7"/>
              </w:rPr>
              <w:t>Shares</w:t>
            </w: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1240" w:type="dxa"/>
            <w:vAlign w:val="bottom"/>
            <w:gridSpan w:val="3"/>
          </w:tcPr>
          <w:p>
            <w:pPr>
              <w:jc w:val="center"/>
              <w:ind w:right="340"/>
              <w:spacing w:after="0" w:line="120" w:lineRule="exact"/>
              <w:rPr>
                <w:sz w:val="20"/>
                <w:szCs w:val="20"/>
                <w:color w:val="auto"/>
              </w:rPr>
            </w:pPr>
            <w:r>
              <w:rPr>
                <w:rFonts w:ascii="Times New Roman" w:cs="Times New Roman" w:eastAsia="Times New Roman" w:hAnsi="Times New Roman"/>
                <w:sz w:val="12"/>
                <w:szCs w:val="12"/>
                <w:b w:val="1"/>
                <w:bCs w:val="1"/>
                <w:color w:val="auto"/>
                <w:w w:val="97"/>
              </w:rPr>
              <w:t>Other</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9"/>
        </w:trPr>
        <w:tc>
          <w:tcPr>
            <w:tcW w:w="332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220"/>
              <w:spacing w:after="0" w:line="120" w:lineRule="exact"/>
              <w:rPr>
                <w:sz w:val="20"/>
                <w:szCs w:val="20"/>
                <w:color w:val="auto"/>
              </w:rPr>
            </w:pPr>
            <w:r>
              <w:rPr>
                <w:rFonts w:ascii="Times New Roman" w:cs="Times New Roman" w:eastAsia="Times New Roman" w:hAnsi="Times New Roman"/>
                <w:sz w:val="12"/>
                <w:szCs w:val="12"/>
                <w:b w:val="1"/>
                <w:bCs w:val="1"/>
                <w:color w:val="auto"/>
              </w:rPr>
              <w:t>Paid-in</w:t>
            </w:r>
          </w:p>
        </w:tc>
        <w:tc>
          <w:tcPr>
            <w:tcW w:w="1140" w:type="dxa"/>
            <w:vAlign w:val="bottom"/>
            <w:gridSpan w:val="3"/>
          </w:tcPr>
          <w:p>
            <w:pPr>
              <w:jc w:val="center"/>
              <w:ind w:right="120"/>
              <w:spacing w:after="0" w:line="120" w:lineRule="exact"/>
              <w:rPr>
                <w:sz w:val="20"/>
                <w:szCs w:val="20"/>
                <w:color w:val="auto"/>
              </w:rPr>
            </w:pPr>
            <w:r>
              <w:rPr>
                <w:rFonts w:ascii="Times New Roman" w:cs="Times New Roman" w:eastAsia="Times New Roman" w:hAnsi="Times New Roman"/>
                <w:sz w:val="12"/>
                <w:szCs w:val="12"/>
                <w:b w:val="1"/>
                <w:bCs w:val="1"/>
                <w:color w:val="auto"/>
              </w:rPr>
              <w:t>Deficit) Retained</w:t>
            </w:r>
          </w:p>
        </w:tc>
        <w:tc>
          <w:tcPr>
            <w:tcW w:w="140" w:type="dxa"/>
            <w:vAlign w:val="bottom"/>
          </w:tcPr>
          <w:p>
            <w:pPr>
              <w:spacing w:after="0"/>
              <w:rPr>
                <w:sz w:val="10"/>
                <w:szCs w:val="10"/>
                <w:color w:val="auto"/>
              </w:rPr>
            </w:pPr>
          </w:p>
        </w:tc>
        <w:tc>
          <w:tcPr>
            <w:tcW w:w="1240" w:type="dxa"/>
            <w:vAlign w:val="bottom"/>
            <w:gridSpan w:val="3"/>
          </w:tcPr>
          <w:p>
            <w:pPr>
              <w:jc w:val="center"/>
              <w:ind w:right="340"/>
              <w:spacing w:after="0" w:line="120" w:lineRule="exact"/>
              <w:rPr>
                <w:sz w:val="20"/>
                <w:szCs w:val="20"/>
                <w:color w:val="auto"/>
              </w:rPr>
            </w:pPr>
            <w:r>
              <w:rPr>
                <w:rFonts w:ascii="Times New Roman" w:cs="Times New Roman" w:eastAsia="Times New Roman" w:hAnsi="Times New Roman"/>
                <w:sz w:val="12"/>
                <w:szCs w:val="12"/>
                <w:b w:val="1"/>
                <w:bCs w:val="1"/>
                <w:color w:val="auto"/>
              </w:rPr>
              <w:t>Comprehensive</w:t>
            </w: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3320" w:type="dxa"/>
            <w:vAlign w:val="bottom"/>
          </w:tcPr>
          <w:p>
            <w:pPr>
              <w:spacing w:after="0"/>
              <w:rPr>
                <w:sz w:val="15"/>
                <w:szCs w:val="15"/>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rPr>
              <w:t>Outstanding</w:t>
            </w:r>
          </w:p>
        </w:tc>
        <w:tc>
          <w:tcPr>
            <w:tcW w:w="10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Amount</w:t>
            </w:r>
          </w:p>
        </w:tc>
        <w:tc>
          <w:tcPr>
            <w:tcW w:w="10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w w:val="99"/>
              </w:rPr>
              <w:t>Capital</w:t>
            </w: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2"/>
                <w:szCs w:val="12"/>
                <w:b w:val="1"/>
                <w:bCs w:val="1"/>
                <w:color w:val="auto"/>
              </w:rPr>
              <w:t>Earnings</w:t>
            </w:r>
          </w:p>
        </w:tc>
        <w:tc>
          <w:tcPr>
            <w:tcW w:w="140" w:type="dxa"/>
            <w:vAlign w:val="bottom"/>
          </w:tcPr>
          <w:p>
            <w:pPr>
              <w:spacing w:after="0"/>
              <w:rPr>
                <w:sz w:val="15"/>
                <w:szCs w:val="15"/>
                <w:color w:val="auto"/>
              </w:rPr>
            </w:pPr>
          </w:p>
        </w:tc>
        <w:tc>
          <w:tcPr>
            <w:tcW w:w="1240" w:type="dxa"/>
            <w:vAlign w:val="bottom"/>
            <w:gridSpan w:val="3"/>
          </w:tcPr>
          <w:p>
            <w:pPr>
              <w:jc w:val="center"/>
              <w:ind w:right="360"/>
              <w:spacing w:after="0"/>
              <w:rPr>
                <w:sz w:val="20"/>
                <w:szCs w:val="20"/>
                <w:color w:val="auto"/>
              </w:rPr>
            </w:pPr>
            <w:r>
              <w:rPr>
                <w:rFonts w:ascii="Times New Roman" w:cs="Times New Roman" w:eastAsia="Times New Roman" w:hAnsi="Times New Roman"/>
                <w:sz w:val="12"/>
                <w:szCs w:val="12"/>
                <w:b w:val="1"/>
                <w:bCs w:val="1"/>
                <w:color w:val="auto"/>
              </w:rPr>
              <w:t>Loss</w:t>
            </w:r>
          </w:p>
        </w:tc>
        <w:tc>
          <w:tcPr>
            <w:tcW w:w="620" w:type="dxa"/>
            <w:vAlign w:val="bottom"/>
            <w:gridSpan w:val="2"/>
          </w:tcPr>
          <w:p>
            <w:pPr>
              <w:ind w:left="20"/>
              <w:spacing w:after="0"/>
              <w:rPr>
                <w:sz w:val="20"/>
                <w:szCs w:val="20"/>
                <w:color w:val="auto"/>
              </w:rPr>
            </w:pPr>
            <w:r>
              <w:rPr>
                <w:rFonts w:ascii="Times New Roman" w:cs="Times New Roman" w:eastAsia="Times New Roman" w:hAnsi="Times New Roman"/>
                <w:sz w:val="12"/>
                <w:szCs w:val="12"/>
                <w:b w:val="1"/>
                <w:bCs w:val="1"/>
                <w:color w:val="auto"/>
              </w:rPr>
              <w:t>Shares</w:t>
            </w:r>
          </w:p>
        </w:tc>
        <w:tc>
          <w:tcPr>
            <w:tcW w:w="180" w:type="dxa"/>
            <w:vAlign w:val="bottom"/>
          </w:tcPr>
          <w:p>
            <w:pPr>
              <w:spacing w:after="0"/>
              <w:rPr>
                <w:sz w:val="15"/>
                <w:szCs w:val="15"/>
                <w:color w:val="auto"/>
              </w:rPr>
            </w:pP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2"/>
                <w:szCs w:val="12"/>
                <w:b w:val="1"/>
                <w:bCs w:val="1"/>
                <w:color w:val="auto"/>
              </w:rPr>
              <w:t>Cost</w:t>
            </w:r>
          </w:p>
        </w:tc>
        <w:tc>
          <w:tcPr>
            <w:tcW w:w="200" w:type="dxa"/>
            <w:vAlign w:val="bottom"/>
          </w:tcPr>
          <w:p>
            <w:pPr>
              <w:spacing w:after="0"/>
              <w:rPr>
                <w:sz w:val="15"/>
                <w:szCs w:val="15"/>
                <w:color w:val="auto"/>
              </w:rPr>
            </w:pPr>
          </w:p>
        </w:tc>
        <w:tc>
          <w:tcPr>
            <w:tcW w:w="740" w:type="dxa"/>
            <w:vAlign w:val="bottom"/>
          </w:tcPr>
          <w:p>
            <w:pPr>
              <w:jc w:val="right"/>
              <w:ind w:right="270"/>
              <w:spacing w:after="0"/>
              <w:rPr>
                <w:sz w:val="20"/>
                <w:szCs w:val="20"/>
                <w:color w:val="auto"/>
              </w:rPr>
            </w:pPr>
            <w:r>
              <w:rPr>
                <w:rFonts w:ascii="Times New Roman" w:cs="Times New Roman" w:eastAsia="Times New Roman" w:hAnsi="Times New Roman"/>
                <w:sz w:val="12"/>
                <w:szCs w:val="12"/>
                <w:b w:val="1"/>
                <w:bCs w:val="1"/>
                <w:color w:val="auto"/>
              </w:rPr>
              <w:t>Total</w:t>
            </w:r>
          </w:p>
        </w:tc>
        <w:tc>
          <w:tcPr>
            <w:tcW w:w="0" w:type="dxa"/>
            <w:vAlign w:val="bottom"/>
          </w:tcPr>
          <w:p>
            <w:pPr>
              <w:spacing w:after="0"/>
              <w:rPr>
                <w:sz w:val="1"/>
                <w:szCs w:val="1"/>
                <w:color w:val="auto"/>
              </w:rPr>
            </w:pPr>
          </w:p>
        </w:tc>
      </w:tr>
      <w:tr>
        <w:trPr>
          <w:trHeight w:val="199"/>
        </w:trPr>
        <w:tc>
          <w:tcPr>
            <w:tcW w:w="3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December 31, 2020</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16,452</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257,625</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(55,553)</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8,430</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(556,917)</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(354,651)</w:t>
            </w:r>
          </w:p>
        </w:tc>
        <w:tc>
          <w:tcPr>
            <w:tcW w:w="0" w:type="dxa"/>
            <w:vAlign w:val="bottom"/>
          </w:tcPr>
          <w:p>
            <w:pPr>
              <w:spacing w:after="0"/>
              <w:rPr>
                <w:sz w:val="1"/>
                <w:szCs w:val="1"/>
                <w:color w:val="auto"/>
              </w:rPr>
            </w:pPr>
          </w:p>
        </w:tc>
      </w:tr>
      <w:tr>
        <w:trPr>
          <w:trHeight w:val="210"/>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78,076</w:t>
            </w:r>
          </w:p>
        </w:tc>
        <w:tc>
          <w:tcPr>
            <w:tcW w:w="0" w:type="dxa"/>
            <w:vAlign w:val="bottom"/>
          </w:tcPr>
          <w:p>
            <w:pPr>
              <w:spacing w:after="0"/>
              <w:rPr>
                <w:sz w:val="1"/>
                <w:szCs w:val="1"/>
                <w:color w:val="auto"/>
              </w:rPr>
            </w:pPr>
          </w:p>
        </w:tc>
      </w:tr>
      <w:tr>
        <w:trPr>
          <w:trHeight w:val="214"/>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10"/>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Reissuance of treasury stock</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240" w:type="dxa"/>
            <w:vAlign w:val="bottom"/>
            <w:gridSpan w:val="3"/>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26,135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25,016</w:t>
            </w:r>
          </w:p>
        </w:tc>
        <w:tc>
          <w:tcPr>
            <w:tcW w:w="0" w:type="dxa"/>
            <w:vAlign w:val="bottom"/>
          </w:tcPr>
          <w:p>
            <w:pPr>
              <w:spacing w:after="0"/>
              <w:rPr>
                <w:sz w:val="1"/>
                <w:szCs w:val="1"/>
                <w:color w:val="auto"/>
              </w:rPr>
            </w:pPr>
          </w:p>
        </w:tc>
      </w:tr>
      <w:tr>
        <w:trPr>
          <w:trHeight w:val="214"/>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issuance of shares for stock plans</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Repurchase of restricted shares for taxes</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240" w:type="dxa"/>
            <w:vAlign w:val="bottom"/>
            <w:gridSpan w:val="3"/>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(1,543)</w:t>
            </w:r>
          </w:p>
        </w:tc>
        <w:tc>
          <w:tcPr>
            <w:tcW w:w="0" w:type="dxa"/>
            <w:vAlign w:val="bottom"/>
          </w:tcPr>
          <w:p>
            <w:pPr>
              <w:spacing w:after="0"/>
              <w:rPr>
                <w:sz w:val="1"/>
                <w:szCs w:val="1"/>
                <w:color w:val="auto"/>
              </w:rPr>
            </w:pPr>
          </w:p>
        </w:tc>
      </w:tr>
      <w:tr>
        <w:trPr>
          <w:trHeight w:val="214"/>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8,572</w:t>
            </w:r>
          </w:p>
        </w:tc>
        <w:tc>
          <w:tcPr>
            <w:tcW w:w="0" w:type="dxa"/>
            <w:vAlign w:val="bottom"/>
          </w:tcPr>
          <w:p>
            <w:pPr>
              <w:spacing w:after="0"/>
              <w:rPr>
                <w:sz w:val="1"/>
                <w:szCs w:val="1"/>
                <w:color w:val="auto"/>
              </w:rPr>
            </w:pPr>
          </w:p>
        </w:tc>
      </w:tr>
      <w:tr>
        <w:trPr>
          <w:trHeight w:val="159"/>
        </w:trPr>
        <w:tc>
          <w:tcPr>
            <w:tcW w:w="3320" w:type="dxa"/>
            <w:vAlign w:val="bottom"/>
          </w:tcPr>
          <w:p>
            <w:pPr>
              <w:ind w:left="20"/>
              <w:spacing w:after="0" w:line="159" w:lineRule="exact"/>
              <w:rPr>
                <w:sz w:val="20"/>
                <w:szCs w:val="20"/>
                <w:color w:val="auto"/>
              </w:rPr>
            </w:pPr>
            <w:r>
              <w:rPr>
                <w:rFonts w:ascii="Times New Roman" w:cs="Times New Roman" w:eastAsia="Times New Roman" w:hAnsi="Times New Roman"/>
                <w:sz w:val="16"/>
                <w:szCs w:val="16"/>
                <w:color w:val="auto"/>
              </w:rPr>
              <w:t>Tax payments for share settlement of restricted</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3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 units</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8"/>
                <w:szCs w:val="18"/>
                <w:color w:val="auto"/>
              </w:rPr>
            </w:pPr>
          </w:p>
        </w:tc>
        <w:tc>
          <w:tcPr>
            <w:tcW w:w="1240" w:type="dxa"/>
            <w:vAlign w:val="bottom"/>
            <w:gridSpan w:val="3"/>
          </w:tcPr>
          <w:p>
            <w:pPr>
              <w:ind w:left="8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(9,783)</w:t>
            </w:r>
          </w:p>
        </w:tc>
        <w:tc>
          <w:tcPr>
            <w:tcW w:w="0" w:type="dxa"/>
            <w:vAlign w:val="bottom"/>
          </w:tcPr>
          <w:p>
            <w:pPr>
              <w:spacing w:after="0"/>
              <w:rPr>
                <w:sz w:val="1"/>
                <w:szCs w:val="1"/>
                <w:color w:val="auto"/>
              </w:rPr>
            </w:pPr>
          </w:p>
        </w:tc>
      </w:tr>
      <w:tr>
        <w:trPr>
          <w:trHeight w:val="219"/>
        </w:trPr>
        <w:tc>
          <w:tcPr>
            <w:tcW w:w="3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at September 30, 2021</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17,220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253,751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22,523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7,783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(530,782)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(254,317)</w:t>
            </w: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the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b w:val="1"/>
          <w:bCs w:val="1"/>
          <w:color w:val="auto"/>
        </w:rPr>
        <w:t>Unaudited)</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180" w:type="dxa"/>
            <w:vAlign w:val="bottom"/>
            <w:gridSpan w:val="4"/>
          </w:tcPr>
          <w:p>
            <w:pPr>
              <w:jc w:val="right"/>
              <w:ind w:right="456"/>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4"/>
        </w:trPr>
        <w:tc>
          <w:tcPr>
            <w:tcW w:w="87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7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0" w:type="dxa"/>
            <w:vAlign w:val="bottom"/>
          </w:tcPr>
          <w:p>
            <w:pPr>
              <w:spacing w:after="0"/>
              <w:rPr>
                <w:sz w:val="1"/>
                <w:szCs w:val="1"/>
                <w:color w:val="auto"/>
              </w:rPr>
            </w:pPr>
          </w:p>
        </w:tc>
      </w:tr>
      <w:tr>
        <w:trPr>
          <w:trHeight w:val="213"/>
        </w:trPr>
        <w:tc>
          <w:tcPr>
            <w:tcW w:w="87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2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69,760</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78,076</w:t>
            </w:r>
          </w:p>
        </w:tc>
        <w:tc>
          <w:tcPr>
            <w:tcW w:w="0" w:type="dxa"/>
            <w:vAlign w:val="bottom"/>
          </w:tcPr>
          <w:p>
            <w:pPr>
              <w:spacing w:after="0"/>
              <w:rPr>
                <w:sz w:val="1"/>
                <w:szCs w:val="1"/>
                <w:color w:val="auto"/>
              </w:rPr>
            </w:pPr>
          </w:p>
        </w:tc>
      </w:tr>
      <w:tr>
        <w:trPr>
          <w:trHeight w:val="221"/>
        </w:trPr>
        <w:tc>
          <w:tcPr>
            <w:tcW w:w="878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Adjustments to reconcile net income to cash flows provided by operating activities: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28,870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29,995</w:t>
            </w:r>
          </w:p>
        </w:tc>
        <w:tc>
          <w:tcPr>
            <w:tcW w:w="0" w:type="dxa"/>
            <w:vAlign w:val="bottom"/>
          </w:tcPr>
          <w:p>
            <w:pPr>
              <w:spacing w:after="0"/>
              <w:rPr>
                <w:sz w:val="1"/>
                <w:szCs w:val="1"/>
                <w:color w:val="auto"/>
              </w:rPr>
            </w:pPr>
          </w:p>
        </w:tc>
      </w:tr>
      <w:tr>
        <w:trPr>
          <w:trHeight w:val="221"/>
        </w:trPr>
        <w:tc>
          <w:tcPr>
            <w:tcW w:w="87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Non-cash closure and impairment charges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2,975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4,949</w:t>
            </w:r>
          </w:p>
        </w:tc>
        <w:tc>
          <w:tcPr>
            <w:tcW w:w="0" w:type="dxa"/>
            <w:vAlign w:val="bottom"/>
          </w:tcPr>
          <w:p>
            <w:pPr>
              <w:spacing w:after="0"/>
              <w:rPr>
                <w:sz w:val="1"/>
                <w:szCs w:val="1"/>
                <w:color w:val="auto"/>
              </w:rPr>
            </w:pPr>
          </w:p>
        </w:tc>
      </w:tr>
      <w:tr>
        <w:trPr>
          <w:trHeight w:val="229"/>
        </w:trPr>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Non-cash stock-based compensation expense</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12,128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8,572</w:t>
            </w:r>
          </w:p>
        </w:tc>
        <w:tc>
          <w:tcPr>
            <w:tcW w:w="0" w:type="dxa"/>
            <w:vAlign w:val="bottom"/>
          </w:tcPr>
          <w:p>
            <w:pPr>
              <w:spacing w:after="0"/>
              <w:rPr>
                <w:sz w:val="1"/>
                <w:szCs w:val="1"/>
                <w:color w:val="auto"/>
              </w:rPr>
            </w:pPr>
          </w:p>
        </w:tc>
      </w:tr>
      <w:tr>
        <w:trPr>
          <w:trHeight w:val="221"/>
        </w:trPr>
        <w:tc>
          <w:tcPr>
            <w:tcW w:w="87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Non-cash interest expense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2,210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2,112</w:t>
            </w:r>
          </w:p>
        </w:tc>
        <w:tc>
          <w:tcPr>
            <w:tcW w:w="0" w:type="dxa"/>
            <w:vAlign w:val="bottom"/>
          </w:tcPr>
          <w:p>
            <w:pPr>
              <w:spacing w:after="0"/>
              <w:rPr>
                <w:sz w:val="1"/>
                <w:szCs w:val="1"/>
                <w:color w:val="auto"/>
              </w:rPr>
            </w:pPr>
          </w:p>
        </w:tc>
      </w:tr>
      <w:tr>
        <w:trPr>
          <w:trHeight w:val="229"/>
        </w:trPr>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Deferred income taxes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(9,156)</w:t>
            </w:r>
          </w:p>
        </w:tc>
        <w:tc>
          <w:tcPr>
            <w:tcW w:w="0" w:type="dxa"/>
            <w:vAlign w:val="bottom"/>
          </w:tcPr>
          <w:p>
            <w:pPr>
              <w:spacing w:after="0"/>
              <w:rPr>
                <w:sz w:val="1"/>
                <w:szCs w:val="1"/>
                <w:color w:val="auto"/>
              </w:rPr>
            </w:pPr>
          </w:p>
        </w:tc>
      </w:tr>
      <w:tr>
        <w:trPr>
          <w:trHeight w:val="221"/>
        </w:trPr>
        <w:tc>
          <w:tcPr>
            <w:tcW w:w="87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Deferred revenue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(3,773)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(5,808)</w:t>
            </w:r>
          </w:p>
        </w:tc>
        <w:tc>
          <w:tcPr>
            <w:tcW w:w="0" w:type="dxa"/>
            <w:vAlign w:val="bottom"/>
          </w:tcPr>
          <w:p>
            <w:pPr>
              <w:spacing w:after="0"/>
              <w:rPr>
                <w:sz w:val="1"/>
                <w:szCs w:val="1"/>
                <w:color w:val="auto"/>
              </w:rPr>
            </w:pPr>
          </w:p>
        </w:tc>
      </w:tr>
      <w:tr>
        <w:trPr>
          <w:trHeight w:val="229"/>
        </w:trPr>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Loss on extinguishment of debt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0" w:type="dxa"/>
            <w:vAlign w:val="bottom"/>
          </w:tcPr>
          <w:p>
            <w:pPr>
              <w:spacing w:after="0"/>
              <w:rPr>
                <w:sz w:val="1"/>
                <w:szCs w:val="1"/>
                <w:color w:val="auto"/>
              </w:rPr>
            </w:pPr>
          </w:p>
        </w:tc>
      </w:tr>
      <w:tr>
        <w:trPr>
          <w:trHeight w:val="221"/>
        </w:trPr>
        <w:tc>
          <w:tcPr>
            <w:tcW w:w="87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(Gain) loss on disposition of assets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(3,032)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1,436</w:t>
            </w:r>
          </w:p>
        </w:tc>
        <w:tc>
          <w:tcPr>
            <w:tcW w:w="0" w:type="dxa"/>
            <w:vAlign w:val="bottom"/>
          </w:tcPr>
          <w:p>
            <w:pPr>
              <w:spacing w:after="0"/>
              <w:rPr>
                <w:sz w:val="1"/>
                <w:szCs w:val="1"/>
                <w:color w:val="auto"/>
              </w:rPr>
            </w:pPr>
          </w:p>
        </w:tc>
      </w:tr>
      <w:tr>
        <w:trPr>
          <w:trHeight w:val="229"/>
        </w:trPr>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Other</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947</w:t>
            </w:r>
          </w:p>
        </w:tc>
        <w:tc>
          <w:tcPr>
            <w:tcW w:w="0" w:type="dxa"/>
            <w:vAlign w:val="bottom"/>
          </w:tcPr>
          <w:p>
            <w:pPr>
              <w:spacing w:after="0"/>
              <w:rPr>
                <w:sz w:val="1"/>
                <w:szCs w:val="1"/>
                <w:color w:val="auto"/>
              </w:rPr>
            </w:pPr>
          </w:p>
        </w:tc>
      </w:tr>
      <w:tr>
        <w:trPr>
          <w:trHeight w:val="221"/>
        </w:trPr>
        <w:tc>
          <w:tcPr>
            <w:tcW w:w="87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Accounts receivable, net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8,398</w:t>
            </w:r>
          </w:p>
        </w:tc>
        <w:tc>
          <w:tcPr>
            <w:tcW w:w="0" w:type="dxa"/>
            <w:vAlign w:val="bottom"/>
          </w:tcPr>
          <w:p>
            <w:pPr>
              <w:spacing w:after="0"/>
              <w:rPr>
                <w:sz w:val="1"/>
                <w:szCs w:val="1"/>
                <w:color w:val="auto"/>
              </w:rPr>
            </w:pPr>
          </w:p>
        </w:tc>
      </w:tr>
      <w:tr>
        <w:trPr>
          <w:trHeight w:val="221"/>
        </w:trPr>
        <w:tc>
          <w:tcPr>
            <w:tcW w:w="878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Deferred rent receivable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5,951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4,629</w:t>
            </w:r>
          </w:p>
        </w:tc>
        <w:tc>
          <w:tcPr>
            <w:tcW w:w="0" w:type="dxa"/>
            <w:vAlign w:val="bottom"/>
          </w:tcPr>
          <w:p>
            <w:pPr>
              <w:spacing w:after="0"/>
              <w:rPr>
                <w:sz w:val="1"/>
                <w:szCs w:val="1"/>
                <w:color w:val="auto"/>
              </w:rPr>
            </w:pPr>
          </w:p>
        </w:tc>
      </w:tr>
      <w:tr>
        <w:trPr>
          <w:trHeight w:val="229"/>
        </w:trPr>
        <w:tc>
          <w:tcPr>
            <w:tcW w:w="8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Current income tax receivables and payables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4,544</w:t>
            </w:r>
          </w:p>
        </w:tc>
        <w:tc>
          <w:tcPr>
            <w:tcW w:w="0" w:type="dxa"/>
            <w:vAlign w:val="bottom"/>
          </w:tcPr>
          <w:p>
            <w:pPr>
              <w:spacing w:after="0"/>
              <w:rPr>
                <w:sz w:val="1"/>
                <w:szCs w:val="1"/>
                <w:color w:val="auto"/>
              </w:rPr>
            </w:pPr>
          </w:p>
        </w:tc>
      </w:tr>
      <w:tr>
        <w:trPr>
          <w:trHeight w:val="221"/>
        </w:trPr>
        <w:tc>
          <w:tcPr>
            <w:tcW w:w="878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Gift card receivables and payables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(16,752)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(9,215)</w:t>
            </w:r>
          </w:p>
        </w:tc>
        <w:tc>
          <w:tcPr>
            <w:tcW w:w="0" w:type="dxa"/>
            <w:vAlign w:val="bottom"/>
          </w:tcPr>
          <w:p>
            <w:pPr>
              <w:spacing w:after="0"/>
              <w:rPr>
                <w:sz w:val="1"/>
                <w:szCs w:val="1"/>
                <w:color w:val="auto"/>
              </w:rPr>
            </w:pPr>
          </w:p>
        </w:tc>
      </w:tr>
      <w:tr>
        <w:trPr>
          <w:trHeight w:val="229"/>
        </w:trPr>
        <w:tc>
          <w:tcPr>
            <w:tcW w:w="8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Other current assets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(5,948)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(2,645)</w:t>
            </w:r>
          </w:p>
        </w:tc>
        <w:tc>
          <w:tcPr>
            <w:tcW w:w="0" w:type="dxa"/>
            <w:vAlign w:val="bottom"/>
          </w:tcPr>
          <w:p>
            <w:pPr>
              <w:spacing w:after="0"/>
              <w:rPr>
                <w:sz w:val="1"/>
                <w:szCs w:val="1"/>
                <w:color w:val="auto"/>
              </w:rPr>
            </w:pPr>
          </w:p>
        </w:tc>
      </w:tr>
      <w:tr>
        <w:trPr>
          <w:trHeight w:val="221"/>
        </w:trPr>
        <w:tc>
          <w:tcPr>
            <w:tcW w:w="878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Accounts payable</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(6,855)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9,678</w:t>
            </w:r>
          </w:p>
        </w:tc>
        <w:tc>
          <w:tcPr>
            <w:tcW w:w="0" w:type="dxa"/>
            <w:vAlign w:val="bottom"/>
          </w:tcPr>
          <w:p>
            <w:pPr>
              <w:spacing w:after="0"/>
              <w:rPr>
                <w:sz w:val="1"/>
                <w:szCs w:val="1"/>
                <w:color w:val="auto"/>
              </w:rPr>
            </w:pPr>
          </w:p>
        </w:tc>
      </w:tr>
      <w:tr>
        <w:trPr>
          <w:trHeight w:val="229"/>
        </w:trPr>
        <w:tc>
          <w:tcPr>
            <w:tcW w:w="8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Operating lease assets and liabilities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(8,286)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(13,994)</w:t>
            </w:r>
          </w:p>
        </w:tc>
        <w:tc>
          <w:tcPr>
            <w:tcW w:w="0" w:type="dxa"/>
            <w:vAlign w:val="bottom"/>
          </w:tcPr>
          <w:p>
            <w:pPr>
              <w:spacing w:after="0"/>
              <w:rPr>
                <w:sz w:val="1"/>
                <w:szCs w:val="1"/>
                <w:color w:val="auto"/>
              </w:rPr>
            </w:pPr>
          </w:p>
        </w:tc>
      </w:tr>
      <w:tr>
        <w:trPr>
          <w:trHeight w:val="221"/>
        </w:trPr>
        <w:tc>
          <w:tcPr>
            <w:tcW w:w="878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Accrued employee compensation and benefits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(18,738)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9,569</w:t>
            </w:r>
          </w:p>
        </w:tc>
        <w:tc>
          <w:tcPr>
            <w:tcW w:w="0" w:type="dxa"/>
            <w:vAlign w:val="bottom"/>
          </w:tcPr>
          <w:p>
            <w:pPr>
              <w:spacing w:after="0"/>
              <w:rPr>
                <w:sz w:val="1"/>
                <w:szCs w:val="1"/>
                <w:color w:val="auto"/>
              </w:rPr>
            </w:pPr>
          </w:p>
        </w:tc>
      </w:tr>
      <w:tr>
        <w:trPr>
          <w:trHeight w:val="229"/>
        </w:trPr>
        <w:tc>
          <w:tcPr>
            <w:tcW w:w="87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Accrued advertising</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5,052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32,232</w:t>
            </w:r>
          </w:p>
        </w:tc>
        <w:tc>
          <w:tcPr>
            <w:tcW w:w="0" w:type="dxa"/>
            <w:vAlign w:val="bottom"/>
          </w:tcPr>
          <w:p>
            <w:pPr>
              <w:spacing w:after="0"/>
              <w:rPr>
                <w:sz w:val="1"/>
                <w:szCs w:val="1"/>
                <w:color w:val="auto"/>
              </w:rPr>
            </w:pPr>
          </w:p>
        </w:tc>
      </w:tr>
      <w:tr>
        <w:trPr>
          <w:trHeight w:val="221"/>
        </w:trPr>
        <w:tc>
          <w:tcPr>
            <w:tcW w:w="878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7"/>
                <w:szCs w:val="17"/>
                <w:color w:val="auto"/>
              </w:rPr>
              <w:t>Other current liabilities</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(2,668)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(8,791)</w:t>
            </w:r>
          </w:p>
        </w:tc>
        <w:tc>
          <w:tcPr>
            <w:tcW w:w="0" w:type="dxa"/>
            <w:vAlign w:val="bottom"/>
          </w:tcPr>
          <w:p>
            <w:pPr>
              <w:spacing w:after="0"/>
              <w:rPr>
                <w:sz w:val="1"/>
                <w:szCs w:val="1"/>
                <w:color w:val="auto"/>
              </w:rPr>
            </w:pPr>
          </w:p>
        </w:tc>
      </w:tr>
      <w:tr>
        <w:trPr>
          <w:trHeight w:val="222"/>
        </w:trPr>
        <w:tc>
          <w:tcPr>
            <w:tcW w:w="8780" w:type="dxa"/>
            <w:vAlign w:val="bottom"/>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Cash flows provided by operating activities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63,490</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145,562</w:t>
            </w:r>
          </w:p>
        </w:tc>
        <w:tc>
          <w:tcPr>
            <w:tcW w:w="0" w:type="dxa"/>
            <w:vAlign w:val="bottom"/>
          </w:tcPr>
          <w:p>
            <w:pPr>
              <w:spacing w:after="0"/>
              <w:rPr>
                <w:sz w:val="1"/>
                <w:szCs w:val="1"/>
                <w:color w:val="auto"/>
              </w:rPr>
            </w:pPr>
          </w:p>
        </w:tc>
      </w:tr>
      <w:tr>
        <w:trPr>
          <w:trHeight w:val="210"/>
        </w:trPr>
        <w:tc>
          <w:tcPr>
            <w:tcW w:w="878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Principal receipts from notes, equipment contracts and other long-term receivables</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13,502</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14,795</w:t>
            </w:r>
          </w:p>
        </w:tc>
        <w:tc>
          <w:tcPr>
            <w:tcW w:w="0" w:type="dxa"/>
            <w:vAlign w:val="bottom"/>
          </w:tcPr>
          <w:p>
            <w:pPr>
              <w:spacing w:after="0"/>
              <w:rPr>
                <w:sz w:val="1"/>
                <w:szCs w:val="1"/>
                <w:color w:val="auto"/>
              </w:rPr>
            </w:pPr>
          </w:p>
        </w:tc>
      </w:tr>
      <w:tr>
        <w:trPr>
          <w:trHeight w:val="221"/>
        </w:trPr>
        <w:tc>
          <w:tcPr>
            <w:tcW w:w="87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Net additions to property and equipment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(19,495)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(7,923)</w:t>
            </w:r>
          </w:p>
        </w:tc>
        <w:tc>
          <w:tcPr>
            <w:tcW w:w="0" w:type="dxa"/>
            <w:vAlign w:val="bottom"/>
          </w:tcPr>
          <w:p>
            <w:pPr>
              <w:spacing w:after="0"/>
              <w:rPr>
                <w:sz w:val="1"/>
                <w:szCs w:val="1"/>
                <w:color w:val="auto"/>
              </w:rPr>
            </w:pPr>
          </w:p>
        </w:tc>
      </w:tr>
      <w:tr>
        <w:trPr>
          <w:trHeight w:val="229"/>
        </w:trPr>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Proceeds from sale of property and equipment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946</w:t>
            </w:r>
          </w:p>
        </w:tc>
        <w:tc>
          <w:tcPr>
            <w:tcW w:w="0" w:type="dxa"/>
            <w:vAlign w:val="bottom"/>
          </w:tcPr>
          <w:p>
            <w:pPr>
              <w:spacing w:after="0"/>
              <w:rPr>
                <w:sz w:val="1"/>
                <w:szCs w:val="1"/>
                <w:color w:val="auto"/>
              </w:rPr>
            </w:pPr>
          </w:p>
        </w:tc>
      </w:tr>
      <w:tr>
        <w:trPr>
          <w:trHeight w:val="221"/>
        </w:trPr>
        <w:tc>
          <w:tcPr>
            <w:tcW w:w="87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Additions to long-term receivables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9"/>
        </w:trPr>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w:t>
            </w:r>
          </w:p>
        </w:tc>
        <w:tc>
          <w:tcPr>
            <w:tcW w:w="0" w:type="dxa"/>
            <w:vAlign w:val="bottom"/>
          </w:tcPr>
          <w:p>
            <w:pPr>
              <w:spacing w:after="0"/>
              <w:rPr>
                <w:sz w:val="1"/>
                <w:szCs w:val="1"/>
                <w:color w:val="auto"/>
              </w:rPr>
            </w:pPr>
          </w:p>
        </w:tc>
      </w:tr>
      <w:tr>
        <w:trPr>
          <w:trHeight w:val="215"/>
        </w:trPr>
        <w:tc>
          <w:tcPr>
            <w:tcW w:w="8780" w:type="dxa"/>
            <w:vAlign w:val="bottom"/>
            <w:tcBorders>
              <w:bottom w:val="single" w:sz="8" w:color="CCEEFF"/>
            </w:tcBorders>
          </w:tcPr>
          <w:p>
            <w:pPr>
              <w:ind w:left="860"/>
              <w:spacing w:after="0"/>
              <w:rPr>
                <w:sz w:val="20"/>
                <w:szCs w:val="20"/>
                <w:color w:val="auto"/>
              </w:rPr>
            </w:pPr>
            <w:r>
              <w:rPr>
                <w:rFonts w:ascii="Times New Roman" w:cs="Times New Roman" w:eastAsia="Times New Roman" w:hAnsi="Times New Roman"/>
                <w:sz w:val="17"/>
                <w:szCs w:val="17"/>
                <w:color w:val="auto"/>
              </w:rPr>
              <w:t>Cash flows (used in) provided by investing activities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(3,409)</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7,461</w:t>
            </w:r>
          </w:p>
        </w:tc>
        <w:tc>
          <w:tcPr>
            <w:tcW w:w="0" w:type="dxa"/>
            <w:vAlign w:val="bottom"/>
          </w:tcPr>
          <w:p>
            <w:pPr>
              <w:spacing w:after="0"/>
              <w:rPr>
                <w:sz w:val="1"/>
                <w:szCs w:val="1"/>
                <w:color w:val="auto"/>
              </w:rPr>
            </w:pPr>
          </w:p>
        </w:tc>
      </w:tr>
      <w:tr>
        <w:trPr>
          <w:trHeight w:val="222"/>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7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Repayment of long-term debt</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(9,750)</w:t>
            </w:r>
          </w:p>
        </w:tc>
        <w:tc>
          <w:tcPr>
            <w:tcW w:w="0" w:type="dxa"/>
            <w:vAlign w:val="bottom"/>
          </w:tcPr>
          <w:p>
            <w:pPr>
              <w:spacing w:after="0"/>
              <w:rPr>
                <w:sz w:val="1"/>
                <w:szCs w:val="1"/>
                <w:color w:val="auto"/>
              </w:rPr>
            </w:pPr>
          </w:p>
        </w:tc>
      </w:tr>
      <w:tr>
        <w:trPr>
          <w:trHeight w:val="229"/>
        </w:trPr>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Borrowing from revolving credit facility</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87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Repayment of revolving credit facility</w:t>
            </w:r>
          </w:p>
        </w:tc>
        <w:tc>
          <w:tcPr>
            <w:tcW w:w="2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(220,000)</w:t>
            </w:r>
          </w:p>
        </w:tc>
        <w:tc>
          <w:tcPr>
            <w:tcW w:w="0" w:type="dxa"/>
            <w:vAlign w:val="bottom"/>
          </w:tcPr>
          <w:p>
            <w:pPr>
              <w:spacing w:after="0"/>
              <w:rPr>
                <w:sz w:val="1"/>
                <w:szCs w:val="1"/>
                <w:color w:val="auto"/>
              </w:rPr>
            </w:pPr>
          </w:p>
        </w:tc>
      </w:tr>
      <w:tr>
        <w:trPr>
          <w:trHeight w:val="229"/>
        </w:trPr>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Payment of debt issuance costs</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(6,286)</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87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Dividends paid on common stock</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(30,765)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9"/>
        </w:trPr>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Repurchase of common stock</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(113,862)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87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Principal payments on finance lease obligations</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(7,772)</w:t>
            </w:r>
          </w:p>
        </w:tc>
        <w:tc>
          <w:tcPr>
            <w:tcW w:w="0" w:type="dxa"/>
            <w:vAlign w:val="bottom"/>
          </w:tcPr>
          <w:p>
            <w:pPr>
              <w:spacing w:after="0"/>
              <w:rPr>
                <w:sz w:val="1"/>
                <w:szCs w:val="1"/>
                <w:color w:val="auto"/>
              </w:rPr>
            </w:pPr>
          </w:p>
        </w:tc>
      </w:tr>
      <w:tr>
        <w:trPr>
          <w:trHeight w:val="229"/>
        </w:trPr>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Proceeds from stock options exercised</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25,016</w:t>
            </w:r>
          </w:p>
        </w:tc>
        <w:tc>
          <w:tcPr>
            <w:tcW w:w="0" w:type="dxa"/>
            <w:vAlign w:val="bottom"/>
          </w:tcPr>
          <w:p>
            <w:pPr>
              <w:spacing w:after="0"/>
              <w:rPr>
                <w:sz w:val="1"/>
                <w:szCs w:val="1"/>
                <w:color w:val="auto"/>
              </w:rPr>
            </w:pPr>
          </w:p>
        </w:tc>
      </w:tr>
      <w:tr>
        <w:trPr>
          <w:trHeight w:val="221"/>
        </w:trPr>
        <w:tc>
          <w:tcPr>
            <w:tcW w:w="87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Repurchase of restricted stock for tax payments upon vesting</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(1,543)</w:t>
            </w:r>
          </w:p>
        </w:tc>
        <w:tc>
          <w:tcPr>
            <w:tcW w:w="0" w:type="dxa"/>
            <w:vAlign w:val="bottom"/>
          </w:tcPr>
          <w:p>
            <w:pPr>
              <w:spacing w:after="0"/>
              <w:rPr>
                <w:sz w:val="1"/>
                <w:szCs w:val="1"/>
                <w:color w:val="auto"/>
              </w:rPr>
            </w:pPr>
          </w:p>
        </w:tc>
      </w:tr>
      <w:tr>
        <w:trPr>
          <w:trHeight w:val="229"/>
        </w:trPr>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Tax payments for share settlement of restricted stock units</w:t>
            </w:r>
          </w:p>
        </w:tc>
        <w:tc>
          <w:tcPr>
            <w:tcW w:w="2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(9,783)</w:t>
            </w:r>
          </w:p>
        </w:tc>
        <w:tc>
          <w:tcPr>
            <w:tcW w:w="0" w:type="dxa"/>
            <w:vAlign w:val="bottom"/>
          </w:tcPr>
          <w:p>
            <w:pPr>
              <w:spacing w:after="0"/>
              <w:rPr>
                <w:sz w:val="1"/>
                <w:szCs w:val="1"/>
                <w:color w:val="auto"/>
              </w:rPr>
            </w:pPr>
          </w:p>
        </w:tc>
      </w:tr>
      <w:tr>
        <w:trPr>
          <w:trHeight w:val="215"/>
        </w:trPr>
        <w:tc>
          <w:tcPr>
            <w:tcW w:w="8780" w:type="dxa"/>
            <w:vAlign w:val="bottom"/>
            <w:tcBorders>
              <w:bottom w:val="single" w:sz="8" w:color="CCEEFF"/>
            </w:tcBorders>
          </w:tcPr>
          <w:p>
            <w:pPr>
              <w:ind w:left="860"/>
              <w:spacing w:after="0"/>
              <w:rPr>
                <w:sz w:val="20"/>
                <w:szCs w:val="20"/>
                <w:color w:val="auto"/>
              </w:rPr>
            </w:pPr>
            <w:r>
              <w:rPr>
                <w:rFonts w:ascii="Times New Roman" w:cs="Times New Roman" w:eastAsia="Times New Roman" w:hAnsi="Times New Roman"/>
                <w:sz w:val="17"/>
                <w:szCs w:val="17"/>
                <w:color w:val="auto"/>
              </w:rPr>
              <w:t>Cash flows used in financing activities</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(61,229)</w:t>
            </w: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(223,832)</w:t>
            </w:r>
          </w:p>
        </w:tc>
        <w:tc>
          <w:tcPr>
            <w:tcW w:w="0" w:type="dxa"/>
            <w:vAlign w:val="bottom"/>
          </w:tcPr>
          <w:p>
            <w:pPr>
              <w:spacing w:after="0"/>
              <w:rPr>
                <w:sz w:val="1"/>
                <w:szCs w:val="1"/>
                <w:color w:val="auto"/>
              </w:rPr>
            </w:pPr>
          </w:p>
        </w:tc>
      </w:tr>
      <w:tr>
        <w:trPr>
          <w:trHeight w:val="222"/>
        </w:trPr>
        <w:tc>
          <w:tcPr>
            <w:tcW w:w="8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Net change in cash, cash equivalents and restricted cash</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(70,809)</w:t>
            </w:r>
          </w:p>
        </w:tc>
        <w:tc>
          <w:tcPr>
            <w:tcW w:w="0" w:type="dxa"/>
            <w:vAlign w:val="bottom"/>
          </w:tcPr>
          <w:p>
            <w:pPr>
              <w:spacing w:after="0"/>
              <w:rPr>
                <w:sz w:val="1"/>
                <w:szCs w:val="1"/>
                <w:color w:val="auto"/>
              </w:rPr>
            </w:pPr>
          </w:p>
        </w:tc>
      </w:tr>
      <w:tr>
        <w:trPr>
          <w:trHeight w:val="221"/>
        </w:trPr>
        <w:tc>
          <w:tcPr>
            <w:tcW w:w="87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7"/>
                <w:szCs w:val="17"/>
                <w:color w:val="auto"/>
              </w:rPr>
              <w:t>Cash, cash equivalents and restricted cash at beginning of period</w:t>
            </w: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425,353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456,053</w:t>
            </w:r>
          </w:p>
        </w:tc>
        <w:tc>
          <w:tcPr>
            <w:tcW w:w="0" w:type="dxa"/>
            <w:vAlign w:val="bottom"/>
          </w:tcPr>
          <w:p>
            <w:pPr>
              <w:spacing w:after="0"/>
              <w:rPr>
                <w:sz w:val="1"/>
                <w:szCs w:val="1"/>
                <w:color w:val="auto"/>
              </w:rPr>
            </w:pPr>
          </w:p>
        </w:tc>
      </w:tr>
      <w:tr>
        <w:trPr>
          <w:trHeight w:val="247"/>
        </w:trPr>
        <w:tc>
          <w:tcPr>
            <w:tcW w:w="8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Cash, cash equivalents and restricted cash at end of period</w:t>
            </w:r>
          </w:p>
        </w:tc>
        <w:tc>
          <w:tcPr>
            <w:tcW w:w="28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424,205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385,244</w:t>
            </w:r>
          </w:p>
        </w:tc>
        <w:tc>
          <w:tcPr>
            <w:tcW w:w="0" w:type="dxa"/>
            <w:vAlign w:val="bottom"/>
          </w:tcPr>
          <w:p>
            <w:pPr>
              <w:spacing w:after="0"/>
              <w:rPr>
                <w:sz w:val="1"/>
                <w:szCs w:val="1"/>
                <w:color w:val="auto"/>
              </w:rPr>
            </w:pPr>
          </w:p>
        </w:tc>
      </w:tr>
      <w:tr>
        <w:trPr>
          <w:trHeight w:val="20"/>
        </w:trPr>
        <w:tc>
          <w:tcPr>
            <w:tcW w:w="87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7"/>
                <w:szCs w:val="17"/>
                <w:b w:val="1"/>
                <w:bCs w:val="1"/>
                <w:color w:val="auto"/>
              </w:rPr>
              <w:t>Supplemental disclosures: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7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Interest paid in cash</w:t>
            </w:r>
          </w:p>
        </w:tc>
        <w:tc>
          <w:tcPr>
            <w:tcW w:w="2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47,478</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49,366</w:t>
            </w:r>
          </w:p>
        </w:tc>
        <w:tc>
          <w:tcPr>
            <w:tcW w:w="0" w:type="dxa"/>
            <w:vAlign w:val="bottom"/>
          </w:tcPr>
          <w:p>
            <w:pPr>
              <w:spacing w:after="0"/>
              <w:rPr>
                <w:sz w:val="1"/>
                <w:szCs w:val="1"/>
                <w:color w:val="auto"/>
              </w:rPr>
            </w:pPr>
          </w:p>
        </w:tc>
      </w:tr>
      <w:tr>
        <w:trPr>
          <w:trHeight w:val="221"/>
        </w:trPr>
        <w:tc>
          <w:tcPr>
            <w:tcW w:w="878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Income taxes paid in cash</w:t>
            </w:r>
          </w:p>
        </w:tc>
        <w:tc>
          <w:tcPr>
            <w:tcW w:w="28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20,832</w:t>
            </w:r>
          </w:p>
        </w:tc>
        <w:tc>
          <w:tcPr>
            <w:tcW w:w="120" w:type="dxa"/>
            <w:vAlign w:val="bottom"/>
          </w:tcPr>
          <w:p>
            <w:pPr>
              <w:spacing w:after="0"/>
              <w:rPr>
                <w:sz w:val="19"/>
                <w:szCs w:val="19"/>
                <w:color w:val="auto"/>
              </w:rPr>
            </w:pPr>
          </w:p>
        </w:tc>
        <w:tc>
          <w:tcPr>
            <w:tcW w:w="38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21,143</w:t>
            </w:r>
          </w:p>
        </w:tc>
        <w:tc>
          <w:tcPr>
            <w:tcW w:w="0" w:type="dxa"/>
            <w:vAlign w:val="bottom"/>
          </w:tcPr>
          <w:p>
            <w:pPr>
              <w:spacing w:after="0"/>
              <w:rPr>
                <w:sz w:val="1"/>
                <w:szCs w:val="1"/>
                <w:color w:val="auto"/>
              </w:rPr>
            </w:pPr>
          </w:p>
        </w:tc>
      </w:tr>
      <w:tr>
        <w:trPr>
          <w:trHeight w:val="229"/>
        </w:trPr>
        <w:tc>
          <w:tcPr>
            <w:tcW w:w="87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Non-cash conversion of accounts receivable to notes receivable</w:t>
            </w:r>
          </w:p>
        </w:tc>
        <w:tc>
          <w:tcPr>
            <w:tcW w:w="28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93"/>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3,748</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accompanying Notes to Consolidated Financial Statements.</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91440</wp:posOffset>
            </wp:positionV>
            <wp:extent cx="716026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26"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General</w:t>
      </w:r>
    </w:p>
    <w:p>
      <w:pPr>
        <w:spacing w:after="0" w:line="219" w:lineRule="exact"/>
        <w:rPr>
          <w:sz w:val="20"/>
          <w:szCs w:val="20"/>
          <w:color w:val="auto"/>
        </w:rPr>
      </w:pPr>
    </w:p>
    <w:p>
      <w:pPr>
        <w:ind w:right="40" w:firstLine="318"/>
        <w:spacing w:after="0" w:line="239"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of Dine Brands Global, Inc. (the “Company” or “Dine Brands Global”) have been prepared in accordance with United States generally accepted accounting principles (“U.S. GAAP”) for interim financial information and with the instructions to Form 10-Q and Article 10 of Regulation S-X. Accordingly, they do not include all the information and footnotes required by U.S. GAAP for complete financial statements. In the opinion of management, all adjustments (consisting of normal recurring accruals) considered necessary for a fair presentation have been included. The operating results for the nine months ended September 30, 2022 are not necessarily indicative of the results that may be expected for the twelve months ending December 31, 2022.</w:t>
      </w:r>
    </w:p>
    <w:p>
      <w:pPr>
        <w:spacing w:after="0" w:line="181" w:lineRule="exact"/>
        <w:rPr>
          <w:sz w:val="20"/>
          <w:szCs w:val="20"/>
          <w:color w:val="auto"/>
        </w:rPr>
      </w:pPr>
    </w:p>
    <w:p>
      <w:pPr>
        <w:ind w:right="560" w:firstLine="318"/>
        <w:spacing w:after="0" w:line="258" w:lineRule="auto"/>
        <w:rPr>
          <w:sz w:val="20"/>
          <w:szCs w:val="20"/>
          <w:color w:val="auto"/>
        </w:rPr>
      </w:pPr>
      <w:r>
        <w:rPr>
          <w:rFonts w:ascii="Times New Roman" w:cs="Times New Roman" w:eastAsia="Times New Roman" w:hAnsi="Times New Roman"/>
          <w:sz w:val="18"/>
          <w:szCs w:val="18"/>
          <w:color w:val="auto"/>
        </w:rPr>
        <w:t>The consolidated balance sheet at December 31, 2021 has been derived from the audited consolidated financial statements at that date but does not include all of information and footnotes required by U.S. GAAP for complete financial statements.</w:t>
      </w:r>
    </w:p>
    <w:p>
      <w:pPr>
        <w:spacing w:after="0" w:line="164" w:lineRule="exact"/>
        <w:rPr>
          <w:sz w:val="20"/>
          <w:szCs w:val="20"/>
          <w:color w:val="auto"/>
        </w:rPr>
      </w:pPr>
    </w:p>
    <w:p>
      <w:pPr>
        <w:ind w:right="340" w:firstLine="318"/>
        <w:spacing w:after="0" w:line="258" w:lineRule="auto"/>
        <w:rPr>
          <w:sz w:val="20"/>
          <w:szCs w:val="20"/>
          <w:color w:val="auto"/>
        </w:rPr>
      </w:pPr>
      <w:r>
        <w:rPr>
          <w:rFonts w:ascii="Times New Roman" w:cs="Times New Roman" w:eastAsia="Times New Roman" w:hAnsi="Times New Roman"/>
          <w:sz w:val="18"/>
          <w:szCs w:val="18"/>
          <w:color w:val="auto"/>
        </w:rPr>
        <w:t>These consolidated financial statements should be read in conjunction with the consolidated financial statements and footnotes thereto included in the Company’s Annual Report on Form 10-K for the year ended December 31, 2021.</w:t>
      </w:r>
    </w:p>
    <w:p>
      <w:pPr>
        <w:spacing w:after="0" w:line="374" w:lineRule="exact"/>
        <w:rPr>
          <w:sz w:val="20"/>
          <w:szCs w:val="20"/>
          <w:color w:val="auto"/>
        </w:rPr>
      </w:pPr>
    </w:p>
    <w:p>
      <w:pPr>
        <w:ind w:left="320" w:right="9360" w:hanging="314"/>
        <w:spacing w:after="0" w:line="513" w:lineRule="auto"/>
        <w:tabs>
          <w:tab w:leader="none" w:pos="179"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Basis of Presentation </w:t>
      </w:r>
      <w:r>
        <w:rPr>
          <w:rFonts w:ascii="Times New Roman" w:cs="Times New Roman" w:eastAsia="Times New Roman" w:hAnsi="Times New Roman"/>
          <w:sz w:val="17"/>
          <w:szCs w:val="17"/>
          <w:b w:val="1"/>
          <w:bCs w:val="1"/>
          <w:i w:val="1"/>
          <w:iCs w:val="1"/>
          <w:color w:val="auto"/>
        </w:rPr>
        <w:t>Basis of Presentation</w:t>
      </w:r>
    </w:p>
    <w:p>
      <w:pPr>
        <w:spacing w:after="0" w:line="1" w:lineRule="exact"/>
        <w:rPr>
          <w:sz w:val="20"/>
          <w:szCs w:val="20"/>
          <w:color w:val="auto"/>
        </w:rPr>
      </w:pPr>
    </w:p>
    <w:p>
      <w:pPr>
        <w:ind w:firstLine="318"/>
        <w:spacing w:after="0" w:line="244" w:lineRule="auto"/>
        <w:rPr>
          <w:sz w:val="20"/>
          <w:szCs w:val="20"/>
          <w:color w:val="auto"/>
        </w:rPr>
      </w:pPr>
      <w:r>
        <w:rPr>
          <w:rFonts w:ascii="Times New Roman" w:cs="Times New Roman" w:eastAsia="Times New Roman" w:hAnsi="Times New Roman"/>
          <w:sz w:val="18"/>
          <w:szCs w:val="18"/>
          <w:color w:val="auto"/>
        </w:rPr>
        <w:t>The Company’s fiscal quarters end on the Sunday closest to the last day of each calendar quarter. For convenience, the fiscal quarters of each year are referred to as ending on March 31, June 30, September 30 and December 31. The first fiscal quarter of 2022 began on January 3, 2022 and ended on April 3, 2022; the second and third fiscal quarters of 2022 ended on July 3, 2022 and October 2, 2022, respectively. The first fiscal quarter of 2021 began on January 4, 2021 and ended on April 4, 2021; the second and third fiscal quarters of 2021 ended on July 4, 2021 and October 3, 2021, respectively.</w:t>
      </w:r>
    </w:p>
    <w:p>
      <w:pPr>
        <w:spacing w:after="0" w:line="205" w:lineRule="exact"/>
        <w:rPr>
          <w:sz w:val="20"/>
          <w:szCs w:val="20"/>
          <w:color w:val="auto"/>
        </w:rPr>
      </w:pPr>
    </w:p>
    <w:p>
      <w:pPr>
        <w:ind w:right="240" w:firstLine="318"/>
        <w:spacing w:after="0" w:line="258"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accounts of the Company and its subsidiaries that are consolidated in accordance with U.S. GAAP. All intercompany balances and transactions have been eliminated.</w:t>
      </w:r>
    </w:p>
    <w:p>
      <w:pPr>
        <w:spacing w:after="0" w:line="164" w:lineRule="exact"/>
        <w:rPr>
          <w:sz w:val="20"/>
          <w:szCs w:val="20"/>
          <w:color w:val="auto"/>
        </w:rPr>
      </w:pPr>
    </w:p>
    <w:p>
      <w:pPr>
        <w:ind w:right="60" w:firstLine="318"/>
        <w:spacing w:after="0"/>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the Company’s management to make assumptions and estimates that affect the reported amounts of assets and liabilities, disclosures of contingent assets and liabilities, if any, at the date of the consolidated financial statements, and the reported amounts of revenues and expenses during the reporting period. Significant estimates may include the calculation and assessment of the following: impairment of goodwill, other intangible assets and tangible assets; income taxes; allowance for credit losses on accounts and notes receivables; lease accounting estimates; contingencies; and stock-based compensation. On an ongoing basis, the Company evaluates its estimates based on historical experience, current conditions and various other assumptions that are believed to be reasonable under the circumstances. The Company adjusts such estimates and assumptions when facts and circumstances dictate. Actual results could differ from those estimates.</w:t>
      </w:r>
    </w:p>
    <w:p>
      <w:pPr>
        <w:spacing w:after="0" w:line="17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221" w:lineRule="exact"/>
        <w:rPr>
          <w:sz w:val="20"/>
          <w:szCs w:val="20"/>
          <w:color w:val="auto"/>
        </w:rPr>
      </w:pPr>
    </w:p>
    <w:p>
      <w:pPr>
        <w:ind w:firstLine="318"/>
        <w:spacing w:after="0" w:line="227" w:lineRule="auto"/>
        <w:rPr>
          <w:sz w:val="20"/>
          <w:szCs w:val="20"/>
          <w:color w:val="auto"/>
        </w:rPr>
      </w:pPr>
      <w:r>
        <w:rPr>
          <w:rFonts w:ascii="Times New Roman" w:cs="Times New Roman" w:eastAsia="Times New Roman" w:hAnsi="Times New Roman"/>
          <w:sz w:val="18"/>
          <w:szCs w:val="18"/>
          <w:color w:val="auto"/>
        </w:rPr>
        <w:t>The Company was subject to risks and uncertainties as a result of the continuing outbreak of a novel strain of coronavirus, designated “COVID-19,” and evolving variants thereof. The extent of the continued impact of the COVID-19 pandemic on the Company's business remains uncertain and difficult to predict, as measures taken in response to and the effect of the pandemic have varied and continue to vary by country, state and municipalities within states. The Company first began to experience impacts from the COVID-19 pandemic in March 2020, as federal, state, local and international governments reacted to the public health crisis by encouraging social distancing and requiring, in varying degrees, restaurant dine-in limitations and other restrictions that largely limited the restaurants of the Company's franchisees and its company-operated restaurants to take-out and delivery sales during the initial stages of the pandemic. Subsequently, government-imposed dine-in restrictions have been relaxed or removed in many of the locations in which the Company operates as incidents of infection decline and vaccination rates increase within the respective governmental jurisdictions. As of September 30, 2022, substantially all domestic Applebee's Neighborhood Grill &amp; Bar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(“Applebee's”) and International House of Pancakes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(“IHOP”) were open and operating without government-mandated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Basis of Presentation (Continued)</w:t>
      </w:r>
    </w:p>
    <w:p>
      <w:pPr>
        <w:spacing w:after="0" w:line="200" w:lineRule="exact"/>
        <w:rPr>
          <w:sz w:val="20"/>
          <w:szCs w:val="20"/>
          <w:color w:val="auto"/>
        </w:rPr>
      </w:pPr>
    </w:p>
    <w:p>
      <w:pPr>
        <w:spacing w:after="0" w:line="303" w:lineRule="exact"/>
        <w:rPr>
          <w:sz w:val="20"/>
          <w:szCs w:val="20"/>
          <w:color w:val="auto"/>
        </w:rPr>
      </w:pPr>
    </w:p>
    <w:p>
      <w:pPr>
        <w:ind w:firstLine="318"/>
        <w:spacing w:after="0" w:line="239" w:lineRule="auto"/>
        <w:rPr>
          <w:sz w:val="20"/>
          <w:szCs w:val="20"/>
          <w:color w:val="auto"/>
        </w:rPr>
      </w:pPr>
      <w:r>
        <w:rPr>
          <w:rFonts w:ascii="Times New Roman" w:cs="Times New Roman" w:eastAsia="Times New Roman" w:hAnsi="Times New Roman"/>
          <w:sz w:val="18"/>
          <w:szCs w:val="18"/>
          <w:color w:val="auto"/>
        </w:rPr>
        <w:t>The severity of the continued impact of the COVID-19 pandemic on the Company's business will depend on a number of factors, including, but not limited to, how long the pandemic will last, whether/when recurrences of the virus and variants of the virus may arise, the availability and acceptance of vaccines, what restrictions on in-restaurant dining may be imposed or re-imposed, the timing and extent of customer re-engagement with the Company's brands and, in general, what the short- and long-term impact on consumer discretionary spending the COVID-19 pandemic might have on the Company and the restaurant industry as a whole, all of which are uncertain and cannot be predicted. The Company's future results of operations and liquidity could adversely be impacted by the resurgence of outbreaks of the virus and its variants that result in the re-imposition of dine-in restrictions, as well as the success of any initiatives or programs that the Company may undertake to address financial and operational challenges faced by itself and its franchisees. As such, the extent to which the COVID-19 pandemic may continue to materially impact the Company's financial condition, liquidity, or results of operations remains highly uncertain.</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Accounting Standards Adopted and Newly Issued Accounting Standards Not Yet Adopted</w:t>
      </w:r>
    </w:p>
    <w:p>
      <w:pPr>
        <w:spacing w:after="0" w:line="2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Adopted in the Current Fiscal Year</w:t>
      </w:r>
    </w:p>
    <w:p>
      <w:pPr>
        <w:spacing w:after="0" w:line="208" w:lineRule="exact"/>
        <w:rPr>
          <w:sz w:val="20"/>
          <w:szCs w:val="20"/>
          <w:color w:val="auto"/>
        </w:rPr>
      </w:pPr>
    </w:p>
    <w:p>
      <w:pPr>
        <w:ind w:right="20" w:firstLine="318"/>
        <w:spacing w:after="0" w:line="228" w:lineRule="auto"/>
        <w:rPr>
          <w:sz w:val="20"/>
          <w:szCs w:val="20"/>
          <w:color w:val="auto"/>
        </w:rPr>
      </w:pPr>
      <w:r>
        <w:rPr>
          <w:rFonts w:ascii="Times New Roman" w:cs="Times New Roman" w:eastAsia="Times New Roman" w:hAnsi="Times New Roman"/>
          <w:sz w:val="18"/>
          <w:szCs w:val="18"/>
          <w:color w:val="auto"/>
        </w:rPr>
        <w:t>In July 2021, the Financial Accounting Standards Board (“FASB”) issued guidance which affect lessors with lease contracts that (i) have variable lease payments that do not depend on a reference index or a rate and (ii) would have resulted in the recognition of a selling loss at lease commencement if classified as sales-type or direct financing. The amendments are effective for fiscal years beginning after December 15, 2021. Adoption did not have any material effect on the consolidated financial statements.</w:t>
      </w:r>
    </w:p>
    <w:p>
      <w:pPr>
        <w:spacing w:after="0" w:line="220" w:lineRule="exact"/>
        <w:rPr>
          <w:sz w:val="20"/>
          <w:szCs w:val="20"/>
          <w:color w:val="auto"/>
        </w:rPr>
      </w:pPr>
    </w:p>
    <w:p>
      <w:pPr>
        <w:ind w:right="40" w:firstLine="318"/>
        <w:spacing w:after="0" w:line="258" w:lineRule="auto"/>
        <w:rPr>
          <w:sz w:val="20"/>
          <w:szCs w:val="20"/>
          <w:color w:val="auto"/>
        </w:rPr>
      </w:pPr>
      <w:r>
        <w:rPr>
          <w:rFonts w:ascii="Times New Roman" w:cs="Times New Roman" w:eastAsia="Times New Roman" w:hAnsi="Times New Roman"/>
          <w:sz w:val="18"/>
          <w:szCs w:val="18"/>
          <w:color w:val="auto"/>
        </w:rPr>
        <w:t>Additional new accounting guidance became effective for the Company as of the beginning of fiscal 2022 that the Company reviewed and concluded was either not applicable to its operations or had no material effect on its consolidated financial statements in the current or future fiscal years.</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Newly Issued Accounting Standards Not Yet Adopted</w:t>
      </w:r>
    </w:p>
    <w:p>
      <w:pPr>
        <w:spacing w:after="0" w:line="248" w:lineRule="exact"/>
        <w:rPr>
          <w:sz w:val="20"/>
          <w:szCs w:val="20"/>
          <w:color w:val="auto"/>
        </w:rPr>
      </w:pPr>
    </w:p>
    <w:p>
      <w:pPr>
        <w:ind w:right="140" w:firstLine="318"/>
        <w:spacing w:after="0" w:line="264" w:lineRule="auto"/>
        <w:rPr>
          <w:sz w:val="20"/>
          <w:szCs w:val="20"/>
          <w:color w:val="auto"/>
        </w:rPr>
      </w:pPr>
      <w:r>
        <w:rPr>
          <w:rFonts w:ascii="Times New Roman" w:cs="Times New Roman" w:eastAsia="Times New Roman" w:hAnsi="Times New Roman"/>
          <w:sz w:val="17"/>
          <w:szCs w:val="17"/>
          <w:color w:val="auto"/>
        </w:rPr>
        <w:t>In March 2020, with an update in January 2021, the FASB issued guidance which provides optional expedients and exceptions for applying current U.S. GAAP to contracts, hedging relationships, and other transactions affected by the discontinuation of the London Interbank Offered Rate (“LIBOR”) or by another reference rate expected to be discontinued. The guidance can be adopted immediately and is applicable to contracts entered into on or before December 31, 2022. The Company is currently evaluating its contracts that reference LIBOR and the potential effects of adopting this new guidance.</w:t>
      </w:r>
    </w:p>
    <w:p>
      <w:pPr>
        <w:spacing w:after="0" w:line="187" w:lineRule="exact"/>
        <w:rPr>
          <w:sz w:val="20"/>
          <w:szCs w:val="20"/>
          <w:color w:val="auto"/>
        </w:rPr>
      </w:pPr>
    </w:p>
    <w:p>
      <w:pPr>
        <w:ind w:right="60" w:firstLine="318"/>
        <w:spacing w:after="0" w:line="258" w:lineRule="auto"/>
        <w:rPr>
          <w:sz w:val="20"/>
          <w:szCs w:val="20"/>
          <w:color w:val="auto"/>
        </w:rPr>
      </w:pPr>
      <w:r>
        <w:rPr>
          <w:rFonts w:ascii="Times New Roman" w:cs="Times New Roman" w:eastAsia="Times New Roman" w:hAnsi="Times New Roman"/>
          <w:sz w:val="18"/>
          <w:szCs w:val="18"/>
          <w:color w:val="auto"/>
        </w:rPr>
        <w:t>The Company reviewed all other newly issued accounting pronouncements and concluded that they either are not applicable to the Company's operations or that no material effect is expected on the Company's financial statements when adoption is required in the future.</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 Disclosures</w:t>
      </w:r>
    </w:p>
    <w:p>
      <w:pPr>
        <w:spacing w:after="0" w:line="246" w:lineRule="exact"/>
        <w:rPr>
          <w:sz w:val="20"/>
          <w:szCs w:val="20"/>
          <w:color w:val="auto"/>
        </w:rPr>
      </w:pPr>
    </w:p>
    <w:p>
      <w:pPr>
        <w:ind w:right="200" w:firstLine="318"/>
        <w:spacing w:after="0" w:line="259" w:lineRule="auto"/>
        <w:rPr>
          <w:sz w:val="20"/>
          <w:szCs w:val="20"/>
          <w:color w:val="auto"/>
        </w:rPr>
      </w:pPr>
      <w:r>
        <w:rPr>
          <w:rFonts w:ascii="Times New Roman" w:cs="Times New Roman" w:eastAsia="Times New Roman" w:hAnsi="Times New Roman"/>
          <w:sz w:val="18"/>
          <w:szCs w:val="18"/>
          <w:color w:val="auto"/>
        </w:rPr>
        <w:t>Franchise revenue and revenue from company-operated restaurants are recognized in accordance with current guidance for revenue recognition as codified in Accounting Standards Topic 606 (“ASC 606”). Under ASC 606, revenue is recognized upon transfer of control of promised services or goods to customers in an amount that reflects the consideration the Company expects to receive for those services or goods.</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Franchising Activities</w:t>
      </w:r>
    </w:p>
    <w:p>
      <w:pPr>
        <w:spacing w:after="0" w:line="246" w:lineRule="exact"/>
        <w:rPr>
          <w:sz w:val="20"/>
          <w:szCs w:val="20"/>
          <w:color w:val="auto"/>
        </w:rPr>
      </w:pPr>
    </w:p>
    <w:p>
      <w:pPr>
        <w:ind w:right="100" w:firstLine="318"/>
        <w:spacing w:after="0" w:line="249" w:lineRule="auto"/>
        <w:rPr>
          <w:sz w:val="20"/>
          <w:szCs w:val="20"/>
          <w:color w:val="auto"/>
        </w:rPr>
      </w:pPr>
      <w:r>
        <w:rPr>
          <w:rFonts w:ascii="Times New Roman" w:cs="Times New Roman" w:eastAsia="Times New Roman" w:hAnsi="Times New Roman"/>
          <w:sz w:val="18"/>
          <w:szCs w:val="18"/>
          <w:color w:val="auto"/>
        </w:rPr>
        <w:t>The Company owns, franchises and operates the Applebee's concept in the casual dining category of the restaurant industry and the Company owns and franchises the IHOP concept in the family dining category of the restaurant industry. The franchise arrangement for both brands is documented in the form of a franchise agreement and, in most cases, a development agreement. The franchise arrangement between the Company as the franchisor and the franchisee as the customer requires the Company to perform various activities to support the brands that do not directly transfer goods and services to the franchisee, but instead represent a single performance obligation, which is the transfer of the franchise license. The intellectual property subject to the franchise license is symbolic intellectual property as it does not have significant standalone functionality, and substantially all the utility is derived from its association with the Company’s past or ongoing activities. The nature of the Company’s promise in granting the franchise license is to provide the franchisee with access to the respective brand’s symbolic intellectual property</w:t>
      </w: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b w:val="1"/>
          <w:bCs w:val="1"/>
          <w:color w:val="auto"/>
        </w:rPr>
        <w:t>4. Revenue Disclosures (Continued)</w:t>
      </w:r>
    </w:p>
    <w:p>
      <w:pPr>
        <w:spacing w:after="0" w:line="251" w:lineRule="exact"/>
        <w:rPr>
          <w:sz w:val="20"/>
          <w:szCs w:val="20"/>
          <w:color w:val="auto"/>
        </w:rPr>
      </w:pPr>
    </w:p>
    <w:p>
      <w:pPr>
        <w:ind w:left="20" w:right="80"/>
        <w:spacing w:after="0" w:line="274" w:lineRule="auto"/>
        <w:rPr>
          <w:sz w:val="20"/>
          <w:szCs w:val="20"/>
          <w:color w:val="auto"/>
        </w:rPr>
      </w:pPr>
      <w:r>
        <w:rPr>
          <w:rFonts w:ascii="Times New Roman" w:cs="Times New Roman" w:eastAsia="Times New Roman" w:hAnsi="Times New Roman"/>
          <w:sz w:val="18"/>
          <w:szCs w:val="18"/>
          <w:color w:val="auto"/>
        </w:rPr>
        <w:t>over the term of the license. The services provided by the Company are highly interrelated with the franchise license and as such are considered to represent a single performance obligation.</w:t>
      </w:r>
    </w:p>
    <w:p>
      <w:pPr>
        <w:spacing w:after="0" w:line="190" w:lineRule="exact"/>
        <w:rPr>
          <w:sz w:val="20"/>
          <w:szCs w:val="20"/>
          <w:color w:val="auto"/>
        </w:rPr>
      </w:pPr>
    </w:p>
    <w:p>
      <w:pPr>
        <w:ind w:left="20" w:firstLine="318"/>
        <w:spacing w:after="0" w:line="255" w:lineRule="auto"/>
        <w:rPr>
          <w:sz w:val="20"/>
          <w:szCs w:val="20"/>
          <w:color w:val="auto"/>
        </w:rPr>
      </w:pPr>
      <w:r>
        <w:rPr>
          <w:rFonts w:ascii="Times New Roman" w:cs="Times New Roman" w:eastAsia="Times New Roman" w:hAnsi="Times New Roman"/>
          <w:sz w:val="18"/>
          <w:szCs w:val="18"/>
          <w:color w:val="auto"/>
        </w:rPr>
        <w:t>The transaction price in a standard franchise arrangement for both brands primarily consists of (a) initial franchise/development fees; (b) continuing franchise fees (royalties); and (c) advertising fees. Since the Company considers the licensing of the franchising right to be a single performance obligation, no allocation of the transaction price is required. All domestic IHOP franchise agreements require franchisees to purchase proprietary pancake and waffle dry mix from the Company.</w:t>
      </w:r>
    </w:p>
    <w:p>
      <w:pPr>
        <w:spacing w:after="0" w:line="2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Company recognizes the primary components of the transaction price as follows:</w:t>
      </w:r>
    </w:p>
    <w:p>
      <w:pPr>
        <w:spacing w:after="0" w:line="244" w:lineRule="exact"/>
        <w:rPr>
          <w:sz w:val="20"/>
          <w:szCs w:val="20"/>
          <w:color w:val="auto"/>
        </w:rPr>
      </w:pPr>
    </w:p>
    <w:p>
      <w:pPr>
        <w:ind w:left="580" w:right="140" w:hanging="316"/>
        <w:spacing w:after="0" w:line="253" w:lineRule="auto"/>
        <w:tabs>
          <w:tab w:leader="none" w:pos="57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Franchise and development fees are recognized as revenue ratably on a straight-line basis over the term of the franchise agreement commencing with the restaurant opening date. As these fees are typically received in cash at or near the beginning of the franchise term, the cash received is initially recorded as a contract liability until recognized as revenue over time.</w:t>
      </w:r>
    </w:p>
    <w:p>
      <w:pPr>
        <w:ind w:left="580" w:right="20" w:hanging="316"/>
        <w:spacing w:after="0" w:line="245" w:lineRule="auto"/>
        <w:tabs>
          <w:tab w:leader="none" w:pos="57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entitled to royalties and advertising fees based on a percentage of the franchisee's gross sales as defined in the franchise agreement. Royalty and advertising revenue are recognized when the franchisee's reported sales occur. Depending on timing within a fiscal period, the recognition of revenue results in either what is considered a contract asset (unbilled receivable) or once billed, accounts receivable, and are included in “receivables, net” in the Consolidated Balance Sheets.</w:t>
      </w:r>
    </w:p>
    <w:p>
      <w:pPr>
        <w:spacing w:after="0" w:line="2" w:lineRule="exact"/>
        <w:rPr>
          <w:rFonts w:ascii="Times New Roman" w:cs="Times New Roman" w:eastAsia="Times New Roman" w:hAnsi="Times New Roman"/>
          <w:sz w:val="18"/>
          <w:szCs w:val="18"/>
          <w:color w:val="auto"/>
        </w:rPr>
      </w:pPr>
    </w:p>
    <w:p>
      <w:pPr>
        <w:ind w:left="580" w:right="700" w:hanging="316"/>
        <w:spacing w:after="0" w:line="251" w:lineRule="auto"/>
        <w:tabs>
          <w:tab w:leader="none" w:pos="57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from the sale of proprietary pancake and waffle dry mix is recognized in the period in which distributors ship the franchisee's order; recognition of revenue results in an accounts receivable included in “receivables, net” in the Consolidated Balance Sheets.</w:t>
      </w:r>
    </w:p>
    <w:p>
      <w:pPr>
        <w:spacing w:after="0" w:line="210" w:lineRule="exact"/>
        <w:rPr>
          <w:sz w:val="20"/>
          <w:szCs w:val="20"/>
          <w:color w:val="auto"/>
        </w:rPr>
      </w:pPr>
    </w:p>
    <w:p>
      <w:pPr>
        <w:ind w:left="20" w:right="300" w:firstLine="318"/>
        <w:spacing w:after="0" w:line="252" w:lineRule="auto"/>
        <w:rPr>
          <w:sz w:val="20"/>
          <w:szCs w:val="20"/>
          <w:color w:val="auto"/>
        </w:rPr>
      </w:pPr>
      <w:r>
        <w:rPr>
          <w:rFonts w:ascii="Times New Roman" w:cs="Times New Roman" w:eastAsia="Times New Roman" w:hAnsi="Times New Roman"/>
          <w:sz w:val="18"/>
          <w:szCs w:val="18"/>
          <w:color w:val="auto"/>
        </w:rPr>
        <w:t>In determining the amount and timing of revenue from contracts with customers, the Company exercises significant judgment with respect to collectability of the amount; however, the timing of recognition does not require significant judgments as it is based on either the term of the franchise agreement, the month of reported sales by the franchisee or the date of product shipment, none of which require estimation. The Company does not incur a significant amount of contract acquisition costs in conducting franchising activities. The Company's franchising arrangements do not contain a significant financing component.</w:t>
      </w:r>
    </w:p>
    <w:p>
      <w:pPr>
        <w:spacing w:after="0" w:line="21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Company Restaurant Revenue</w:t>
      </w:r>
    </w:p>
    <w:p>
      <w:pPr>
        <w:spacing w:after="0" w:line="246" w:lineRule="exact"/>
        <w:rPr>
          <w:sz w:val="20"/>
          <w:szCs w:val="20"/>
          <w:color w:val="auto"/>
        </w:rPr>
      </w:pPr>
    </w:p>
    <w:p>
      <w:pPr>
        <w:ind w:left="20" w:right="240" w:firstLine="318"/>
        <w:spacing w:after="0" w:line="274" w:lineRule="auto"/>
        <w:rPr>
          <w:sz w:val="20"/>
          <w:szCs w:val="20"/>
          <w:color w:val="auto"/>
        </w:rPr>
      </w:pPr>
      <w:r>
        <w:rPr>
          <w:rFonts w:ascii="Times New Roman" w:cs="Times New Roman" w:eastAsia="Times New Roman" w:hAnsi="Times New Roman"/>
          <w:sz w:val="18"/>
          <w:szCs w:val="18"/>
          <w:color w:val="auto"/>
        </w:rPr>
        <w:t>Sales by company-operated restaurants are recognized when food and beverage items are sold. Company restaurant sales are reported net of sales taxes collected from guests that are remitted to the appropriate taxing authorities.</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disaggregates franchise revenue by major type for the three and nine months ended September 30, 2022 and 2021:</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5"/>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Three Months Ended</w:t>
            </w:r>
          </w:p>
        </w:tc>
        <w:tc>
          <w:tcPr>
            <w:tcW w:w="420" w:type="dxa"/>
            <w:vAlign w:val="bottom"/>
          </w:tcPr>
          <w:p>
            <w:pPr>
              <w:spacing w:after="0"/>
              <w:rPr>
                <w:sz w:val="18"/>
                <w:szCs w:val="18"/>
                <w:color w:val="auto"/>
              </w:rPr>
            </w:pPr>
          </w:p>
        </w:tc>
        <w:tc>
          <w:tcPr>
            <w:tcW w:w="2100" w:type="dxa"/>
            <w:vAlign w:val="bottom"/>
            <w:gridSpan w:val="4"/>
          </w:tcPr>
          <w:p>
            <w:pPr>
              <w:jc w:val="right"/>
              <w:ind w:right="493"/>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5"/>
        </w:trPr>
        <w:tc>
          <w:tcPr>
            <w:tcW w:w="20" w:type="dxa"/>
            <w:vAlign w:val="bottom"/>
          </w:tcPr>
          <w:p>
            <w:pPr>
              <w:spacing w:after="0"/>
              <w:rPr>
                <w:sz w:val="18"/>
                <w:szCs w:val="18"/>
                <w:color w:val="auto"/>
              </w:rPr>
            </w:pPr>
          </w:p>
        </w:tc>
        <w:tc>
          <w:tcPr>
            <w:tcW w:w="6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4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420" w:type="dxa"/>
            <w:vAlign w:val="bottom"/>
          </w:tcPr>
          <w:p>
            <w:pPr>
              <w:spacing w:after="0"/>
              <w:rPr>
                <w:sz w:val="18"/>
                <w:szCs w:val="18"/>
                <w:color w:val="auto"/>
              </w:rPr>
            </w:pPr>
          </w:p>
        </w:tc>
        <w:tc>
          <w:tcPr>
            <w:tcW w:w="2100" w:type="dxa"/>
            <w:vAlign w:val="bottom"/>
            <w:gridSpan w:val="4"/>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7"/>
        </w:trPr>
        <w:tc>
          <w:tcPr>
            <w:tcW w:w="20" w:type="dxa"/>
            <w:vAlign w:val="bottom"/>
          </w:tcPr>
          <w:p>
            <w:pPr>
              <w:spacing w:after="0"/>
              <w:rPr>
                <w:sz w:val="17"/>
                <w:szCs w:val="17"/>
                <w:color w:val="auto"/>
              </w:rPr>
            </w:pPr>
          </w:p>
        </w:tc>
        <w:tc>
          <w:tcPr>
            <w:tcW w:w="6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10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80"/>
        </w:trPr>
        <w:tc>
          <w:tcPr>
            <w:tcW w:w="20" w:type="dxa"/>
            <w:vAlign w:val="bottom"/>
          </w:tcPr>
          <w:p>
            <w:pPr>
              <w:spacing w:after="0"/>
              <w:rPr>
                <w:sz w:val="15"/>
                <w:szCs w:val="15"/>
                <w:color w:val="auto"/>
              </w:rPr>
            </w:pPr>
          </w:p>
        </w:tc>
        <w:tc>
          <w:tcPr>
            <w:tcW w:w="6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238"/>
        </w:trPr>
        <w:tc>
          <w:tcPr>
            <w:tcW w:w="6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Franchise Revenue:</w:t>
            </w: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25"/>
        </w:trPr>
        <w:tc>
          <w:tcPr>
            <w:tcW w:w="20" w:type="dxa"/>
            <w:vAlign w:val="bottom"/>
          </w:tcPr>
          <w:p>
            <w:pPr>
              <w:spacing w:after="0"/>
              <w:rPr>
                <w:sz w:val="19"/>
                <w:szCs w:val="19"/>
                <w:color w:val="auto"/>
              </w:rPr>
            </w:pPr>
          </w:p>
        </w:tc>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Royalties</w:t>
            </w: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76,418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75,098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229,666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217,499</w:t>
            </w:r>
          </w:p>
        </w:tc>
      </w:tr>
      <w:tr>
        <w:trPr>
          <w:trHeight w:val="225"/>
        </w:trPr>
        <w:tc>
          <w:tcPr>
            <w:tcW w:w="20" w:type="dxa"/>
            <w:vAlign w:val="bottom"/>
          </w:tcPr>
          <w:p>
            <w:pPr>
              <w:spacing w:after="0"/>
              <w:rPr>
                <w:sz w:val="19"/>
                <w:szCs w:val="19"/>
                <w:color w:val="auto"/>
              </w:rPr>
            </w:pPr>
          </w:p>
        </w:tc>
        <w:tc>
          <w:tcPr>
            <w:tcW w:w="6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Advertising fees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71,692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70,709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216,686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203,918</w:t>
            </w:r>
          </w:p>
        </w:tc>
      </w:tr>
      <w:tr>
        <w:trPr>
          <w:trHeight w:val="225"/>
        </w:trPr>
        <w:tc>
          <w:tcPr>
            <w:tcW w:w="20" w:type="dxa"/>
            <w:vAlign w:val="bottom"/>
          </w:tcPr>
          <w:p>
            <w:pPr>
              <w:spacing w:after="0"/>
              <w:rPr>
                <w:sz w:val="19"/>
                <w:szCs w:val="19"/>
                <w:color w:val="auto"/>
              </w:rPr>
            </w:pPr>
          </w:p>
        </w:tc>
        <w:tc>
          <w:tcPr>
            <w:tcW w:w="6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Pancake and waffle dry mix sales and other</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37,197</w:t>
            </w:r>
          </w:p>
        </w:tc>
      </w:tr>
      <w:tr>
        <w:trPr>
          <w:trHeight w:val="225"/>
        </w:trPr>
        <w:tc>
          <w:tcPr>
            <w:tcW w:w="20" w:type="dxa"/>
            <w:vAlign w:val="bottom"/>
          </w:tcPr>
          <w:p>
            <w:pPr>
              <w:spacing w:after="0"/>
              <w:rPr>
                <w:sz w:val="19"/>
                <w:szCs w:val="19"/>
                <w:color w:val="auto"/>
              </w:rPr>
            </w:pPr>
          </w:p>
        </w:tc>
        <w:tc>
          <w:tcPr>
            <w:tcW w:w="61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Franchise and development fees</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6,475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10,442</w:t>
            </w:r>
          </w:p>
        </w:tc>
      </w:tr>
      <w:tr>
        <w:trPr>
          <w:trHeight w:val="244"/>
        </w:trPr>
        <w:tc>
          <w:tcPr>
            <w:tcW w:w="20" w:type="dxa"/>
            <w:vAlign w:val="bottom"/>
          </w:tcPr>
          <w:p>
            <w:pPr>
              <w:spacing w:after="0"/>
              <w:rPr>
                <w:sz w:val="20"/>
                <w:szCs w:val="20"/>
                <w:color w:val="auto"/>
              </w:rPr>
            </w:pPr>
          </w:p>
        </w:tc>
        <w:tc>
          <w:tcPr>
            <w:tcW w:w="6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franchise revenue</w:t>
            </w: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164,907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161,126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494,398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469,056</w:t>
            </w:r>
          </w:p>
        </w:tc>
      </w:tr>
      <w:tr>
        <w:trPr>
          <w:trHeight w:val="20"/>
        </w:trPr>
        <w:tc>
          <w:tcPr>
            <w:tcW w:w="20" w:type="dxa"/>
            <w:vAlign w:val="bottom"/>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ind w:left="20" w:right="220" w:firstLine="318"/>
        <w:spacing w:after="0" w:line="304" w:lineRule="auto"/>
        <w:rPr>
          <w:sz w:val="20"/>
          <w:szCs w:val="20"/>
          <w:color w:val="auto"/>
        </w:rPr>
      </w:pPr>
      <w:r>
        <w:rPr>
          <w:rFonts w:ascii="Times New Roman" w:cs="Times New Roman" w:eastAsia="Times New Roman" w:hAnsi="Times New Roman"/>
          <w:sz w:val="17"/>
          <w:szCs w:val="17"/>
          <w:color w:val="auto"/>
        </w:rPr>
        <w:t>Accounts and other receivables related to franchise revenues as of September 30, 2022 and December 31, 2021 were $65.4 million (net of allowance of $0.6 million) and $66.0 million (net of allowance of $1.1 million), respectively, and were included in receivables, net in the 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69215</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60"/>
          </w:cols>
          <w:pgMar w:left="300" w:top="118"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4. Revenue Disclosures (Continued)</w:t>
      </w:r>
    </w:p>
    <w:p>
      <w:pPr>
        <w:spacing w:after="0" w:line="200" w:lineRule="exact"/>
        <w:rPr>
          <w:sz w:val="20"/>
          <w:szCs w:val="20"/>
          <w:color w:val="auto"/>
        </w:rPr>
      </w:pPr>
    </w:p>
    <w:p>
      <w:pPr>
        <w:spacing w:after="0" w:line="289" w:lineRule="exact"/>
        <w:rPr>
          <w:sz w:val="20"/>
          <w:szCs w:val="20"/>
          <w:color w:val="auto"/>
        </w:rPr>
      </w:pPr>
    </w:p>
    <w:p>
      <w:pPr>
        <w:ind w:right="420" w:firstLine="318"/>
        <w:spacing w:after="0" w:line="270" w:lineRule="auto"/>
        <w:rPr>
          <w:sz w:val="20"/>
          <w:szCs w:val="20"/>
          <w:color w:val="auto"/>
        </w:rPr>
      </w:pPr>
      <w:r>
        <w:rPr>
          <w:rFonts w:ascii="Times New Roman" w:cs="Times New Roman" w:eastAsia="Times New Roman" w:hAnsi="Times New Roman"/>
          <w:sz w:val="18"/>
          <w:szCs w:val="18"/>
          <w:color w:val="auto"/>
        </w:rPr>
        <w:t>Changes in the Company's contract liability for deferred franchise and development fees during the nine months ended September 30, 2022 were as follows:</w:t>
      </w:r>
    </w:p>
    <w:tbl>
      <w:tblPr>
        <w:tblLayout w:type="fixed"/>
        <w:tblInd w:w="120" w:type="dxa"/>
        <w:tblCellMar>
          <w:top w:w="0" w:type="dxa"/>
          <w:left w:w="0" w:type="dxa"/>
          <w:bottom w:w="0" w:type="dxa"/>
          <w:right w:w="0" w:type="dxa"/>
        </w:tblCellMar>
      </w:tblPr>
      <w:tr>
        <w:trPr>
          <w:trHeight w:val="162"/>
        </w:trPr>
        <w:tc>
          <w:tcPr>
            <w:tcW w:w="8920" w:type="dxa"/>
            <w:vAlign w:val="bottom"/>
          </w:tcPr>
          <w:p>
            <w:pPr>
              <w:spacing w:after="0"/>
              <w:rPr>
                <w:sz w:val="14"/>
                <w:szCs w:val="14"/>
                <w:color w:val="auto"/>
              </w:rPr>
            </w:pPr>
          </w:p>
        </w:tc>
        <w:tc>
          <w:tcPr>
            <w:tcW w:w="21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Deferred Franchise Revenue</w:t>
            </w:r>
          </w:p>
        </w:tc>
      </w:tr>
      <w:tr>
        <w:trPr>
          <w:trHeight w:val="211"/>
        </w:trPr>
        <w:tc>
          <w:tcPr>
            <w:tcW w:w="89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jc w:val="center"/>
              <w:ind w:right="136"/>
              <w:spacing w:after="0"/>
              <w:rPr>
                <w:sz w:val="20"/>
                <w:szCs w:val="20"/>
                <w:color w:val="auto"/>
              </w:rPr>
            </w:pPr>
            <w:r>
              <w:rPr>
                <w:rFonts w:ascii="Times New Roman" w:cs="Times New Roman" w:eastAsia="Times New Roman" w:hAnsi="Times New Roman"/>
                <w:sz w:val="16"/>
                <w:szCs w:val="16"/>
                <w:b w:val="1"/>
                <w:bCs w:val="1"/>
                <w:color w:val="auto"/>
                <w:w w:val="99"/>
              </w:rPr>
              <w:t>(short- and long-term)</w:t>
            </w:r>
          </w:p>
        </w:tc>
      </w:tr>
      <w:tr>
        <w:trPr>
          <w:trHeight w:val="187"/>
        </w:trPr>
        <w:tc>
          <w:tcPr>
            <w:tcW w:w="8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0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(In thousands)</w:t>
            </w:r>
          </w:p>
        </w:tc>
      </w:tr>
      <w:tr>
        <w:trPr>
          <w:trHeight w:val="232"/>
        </w:trPr>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53,346</w:t>
            </w:r>
          </w:p>
        </w:tc>
      </w:tr>
      <w:tr>
        <w:trPr>
          <w:trHeight w:val="225"/>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Recognized as revenue during the nine months ended September 30, 2022</w:t>
            </w:r>
          </w:p>
        </w:tc>
        <w:tc>
          <w:tcPr>
            <w:tcW w:w="2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(6,169)</w:t>
            </w:r>
          </w:p>
        </w:tc>
      </w:tr>
      <w:tr>
        <w:trPr>
          <w:trHeight w:val="225"/>
        </w:trPr>
        <w:tc>
          <w:tcPr>
            <w:tcW w:w="8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Fees deferred during the nine months ended September 30, 2022</w:t>
            </w:r>
          </w:p>
        </w:tc>
        <w:tc>
          <w:tcPr>
            <w:tcW w:w="200" w:type="dxa"/>
            <w:vAlign w:val="bottom"/>
            <w:tcBorders>
              <w:bottom w:val="single" w:sz="8" w:color="auto"/>
            </w:tcBorders>
            <w:shd w:val="clear" w:color="auto" w:fill="CCEEFF"/>
          </w:tcPr>
          <w:p>
            <w:pPr>
              <w:spacing w:after="0"/>
              <w:rPr>
                <w:sz w:val="19"/>
                <w:szCs w:val="19"/>
                <w:color w:val="auto"/>
              </w:rPr>
            </w:pP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2,396</w:t>
            </w:r>
          </w:p>
        </w:tc>
      </w:tr>
      <w:tr>
        <w:trPr>
          <w:trHeight w:val="218"/>
        </w:trPr>
        <w:tc>
          <w:tcPr>
            <w:tcW w:w="8920" w:type="dxa"/>
            <w:vAlign w:val="bottom"/>
          </w:tcPr>
          <w:p>
            <w:pPr>
              <w:spacing w:after="0"/>
              <w:rPr>
                <w:sz w:val="20"/>
                <w:szCs w:val="20"/>
                <w:color w:val="auto"/>
              </w:rPr>
            </w:pPr>
            <w:r>
              <w:rPr>
                <w:rFonts w:ascii="Times New Roman" w:cs="Times New Roman" w:eastAsia="Times New Roman" w:hAnsi="Times New Roman"/>
                <w:sz w:val="18"/>
                <w:szCs w:val="18"/>
                <w:color w:val="auto"/>
              </w:rPr>
              <w:t>Balance at September 30, 2022</w:t>
            </w: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49,573</w:t>
            </w:r>
          </w:p>
        </w:tc>
      </w:tr>
      <w:tr>
        <w:trPr>
          <w:trHeight w:val="20"/>
        </w:trPr>
        <w:tc>
          <w:tcPr>
            <w:tcW w:w="89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ind w:right="140" w:firstLine="318"/>
        <w:spacing w:after="0" w:line="274" w:lineRule="auto"/>
        <w:rPr>
          <w:sz w:val="20"/>
          <w:szCs w:val="20"/>
          <w:color w:val="auto"/>
        </w:rPr>
      </w:pPr>
      <w:r>
        <w:rPr>
          <w:rFonts w:ascii="Times New Roman" w:cs="Times New Roman" w:eastAsia="Times New Roman" w:hAnsi="Times New Roman"/>
          <w:sz w:val="18"/>
          <w:szCs w:val="18"/>
          <w:color w:val="auto"/>
        </w:rPr>
        <w:t>The short-term portion of deferred franchise revenue as of September 30, 2022 and December 31, 2021 was $7.0 million and $7.2 million, respectively, and was included in other accrued expenses in the Consolidated Balance Sheets.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balance of deferred revenue as of September 30, 2022 is expected to be recognized as follows:</w:t>
      </w:r>
    </w:p>
    <w:p>
      <w:pPr>
        <w:spacing w:after="0" w:line="39" w:lineRule="exact"/>
        <w:rPr>
          <w:sz w:val="20"/>
          <w:szCs w:val="20"/>
          <w:color w:val="auto"/>
        </w:rPr>
      </w:pPr>
    </w:p>
    <w:tbl>
      <w:tblPr>
        <w:tblLayout w:type="fixed"/>
        <w:tblInd w:w="100" w:type="dxa"/>
        <w:tblCellMar>
          <w:top w:w="0" w:type="dxa"/>
          <w:left w:w="0" w:type="dxa"/>
          <w:bottom w:w="0" w:type="dxa"/>
          <w:right w:w="0" w:type="dxa"/>
        </w:tblCellMar>
      </w:tblPr>
      <w:tr>
        <w:trPr>
          <w:trHeight w:val="186"/>
        </w:trPr>
        <w:tc>
          <w:tcPr>
            <w:tcW w:w="9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20" w:type="dxa"/>
            <w:vAlign w:val="bottom"/>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4"/>
        </w:trPr>
        <w:tc>
          <w:tcPr>
            <w:tcW w:w="9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25"/>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2022 (remaining three months)</w:t>
            </w: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1,739</w:t>
            </w:r>
          </w:p>
        </w:tc>
      </w:tr>
      <w:tr>
        <w:trPr>
          <w:trHeight w:val="225"/>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3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6,950</w:t>
            </w:r>
          </w:p>
        </w:tc>
      </w:tr>
      <w:tr>
        <w:trPr>
          <w:trHeight w:val="225"/>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w:t>
            </w: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6,341</w:t>
            </w:r>
          </w:p>
        </w:tc>
      </w:tr>
      <w:tr>
        <w:trPr>
          <w:trHeight w:val="225"/>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5,559</w:t>
            </w:r>
          </w:p>
        </w:tc>
      </w:tr>
      <w:tr>
        <w:trPr>
          <w:trHeight w:val="225"/>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4,736</w:t>
            </w:r>
          </w:p>
        </w:tc>
      </w:tr>
      <w:tr>
        <w:trPr>
          <w:trHeight w:val="225"/>
        </w:trPr>
        <w:tc>
          <w:tcPr>
            <w:tcW w:w="9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24,248</w:t>
            </w:r>
          </w:p>
        </w:tc>
      </w:tr>
      <w:tr>
        <w:trPr>
          <w:trHeight w:val="243"/>
        </w:trPr>
        <w:tc>
          <w:tcPr>
            <w:tcW w:w="9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49,573</w:t>
            </w:r>
          </w:p>
        </w:tc>
      </w:tr>
      <w:tr>
        <w:trPr>
          <w:trHeight w:val="20"/>
        </w:trPr>
        <w:tc>
          <w:tcPr>
            <w:tcW w:w="90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Current Expected Credit Losses (“CECL”)</w:t>
      </w:r>
    </w:p>
    <w:p>
      <w:pPr>
        <w:spacing w:after="0" w:line="232" w:lineRule="exact"/>
        <w:rPr>
          <w:sz w:val="20"/>
          <w:szCs w:val="20"/>
          <w:color w:val="auto"/>
        </w:rPr>
      </w:pPr>
    </w:p>
    <w:p>
      <w:pPr>
        <w:ind w:firstLine="318"/>
        <w:spacing w:after="0" w:line="235" w:lineRule="auto"/>
        <w:rPr>
          <w:sz w:val="20"/>
          <w:szCs w:val="20"/>
          <w:color w:val="auto"/>
        </w:rPr>
      </w:pPr>
      <w:r>
        <w:rPr>
          <w:rFonts w:ascii="Times New Roman" w:cs="Times New Roman" w:eastAsia="Times New Roman" w:hAnsi="Times New Roman"/>
          <w:sz w:val="18"/>
          <w:szCs w:val="18"/>
          <w:color w:val="auto"/>
        </w:rPr>
        <w:t>The CECL reserve methodology requires companies to measure expected credit losses on financial instruments based on the total estimated amount to be collected over the lifetime of the instrument. Under the CECL model, reserves may be established against financial asset balances even if the risk of loss is remote or has not yet manifested itself. The Company records specific reserves against account balances of franchisees deemed at-risk when a potential loss is likely or imminent as a result of prolonged payment delinquency (greater than 90 days past due) and where notable credit deterioration has become evident. For financial assets that are not currently deemed at-risk, an allowance is recorded based on expected loss rates derived pursuant to the Company's CECL methodology that assesses four components – historical losses, current conditions, reasonable and supportable forecasts, and a reversion to history, if applicable.</w:t>
      </w:r>
    </w:p>
    <w:p>
      <w:pPr>
        <w:spacing w:after="0" w:line="2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considers its portfolio segments to be the following:</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Accounts Receivable (Franchise-Related)</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Most of the Company’s short-term receivables due from franchisees are derived from royalty, advertising and other franchise-related fees.</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Gift Card Receivables</w:t>
      </w:r>
    </w:p>
    <w:p>
      <w:pPr>
        <w:spacing w:after="0" w:line="217" w:lineRule="exact"/>
        <w:rPr>
          <w:sz w:val="20"/>
          <w:szCs w:val="20"/>
          <w:color w:val="auto"/>
        </w:rPr>
      </w:pPr>
    </w:p>
    <w:p>
      <w:pPr>
        <w:ind w:right="440" w:firstLine="318"/>
        <w:spacing w:after="0" w:line="274" w:lineRule="auto"/>
        <w:rPr>
          <w:sz w:val="20"/>
          <w:szCs w:val="20"/>
          <w:color w:val="auto"/>
        </w:rPr>
      </w:pPr>
      <w:r>
        <w:rPr>
          <w:rFonts w:ascii="Times New Roman" w:cs="Times New Roman" w:eastAsia="Times New Roman" w:hAnsi="Times New Roman"/>
          <w:sz w:val="18"/>
          <w:szCs w:val="18"/>
          <w:color w:val="auto"/>
        </w:rPr>
        <w:t>Gift card receivables consist primarily of amounts due from third-party vendors. Receivables related to gift card sales are subject to seasonality and usually peak around year-end as a result of the December holiday season.</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Notes Receivable</w:t>
      </w:r>
    </w:p>
    <w:p>
      <w:pPr>
        <w:spacing w:after="0" w:line="244" w:lineRule="exact"/>
        <w:rPr>
          <w:sz w:val="20"/>
          <w:szCs w:val="20"/>
          <w:color w:val="auto"/>
        </w:rPr>
      </w:pPr>
    </w:p>
    <w:p>
      <w:pPr>
        <w:ind w:right="80" w:firstLine="318"/>
        <w:spacing w:after="0" w:line="255" w:lineRule="auto"/>
        <w:rPr>
          <w:sz w:val="20"/>
          <w:szCs w:val="20"/>
          <w:color w:val="auto"/>
        </w:rPr>
      </w:pPr>
      <w:r>
        <w:rPr>
          <w:rFonts w:ascii="Times New Roman" w:cs="Times New Roman" w:eastAsia="Times New Roman" w:hAnsi="Times New Roman"/>
          <w:sz w:val="18"/>
          <w:szCs w:val="18"/>
          <w:color w:val="auto"/>
        </w:rPr>
        <w:t>Notes receivable balances primarily relate to the conversion of certain past due Applebee's franchisee accounts receivable to notes receivable, cash loans to franchisees for working capital purposes, a note receivable in connection with the sale of IHOP company restaurants and IHOP franchise fee and other notes. The notes are typically collateralized by the franchise. A significant portion of these notes have specific reserves recorded against them amounting to $8.8 million as of September 30, 2022.</w:t>
      </w:r>
    </w:p>
    <w:p>
      <w:pPr>
        <w:spacing w:after="0" w:line="200" w:lineRule="exact"/>
        <w:rPr>
          <w:sz w:val="20"/>
          <w:szCs w:val="20"/>
          <w:color w:val="auto"/>
        </w:rPr>
      </w:pPr>
    </w:p>
    <w:p>
      <w:pPr>
        <w:spacing w:after="0" w:line="3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12" w:name="page13"/>
    <w:bookmarkEnd w:id="12"/>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2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 Current Expected Credit Losses (Continued)</w:t>
      </w:r>
    </w:p>
    <w:p>
      <w:pPr>
        <w:spacing w:after="0" w:line="200" w:lineRule="exact"/>
        <w:rPr>
          <w:sz w:val="20"/>
          <w:szCs w:val="20"/>
          <w:color w:val="auto"/>
        </w:rPr>
      </w:pPr>
    </w:p>
    <w:p>
      <w:pPr>
        <w:spacing w:after="0" w:line="22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Equipment Leases Receivable</w:t>
      </w:r>
    </w:p>
    <w:p>
      <w:pPr>
        <w:spacing w:after="0" w:line="244" w:lineRule="exact"/>
        <w:rPr>
          <w:sz w:val="20"/>
          <w:szCs w:val="20"/>
          <w:color w:val="auto"/>
        </w:rPr>
      </w:pPr>
    </w:p>
    <w:p>
      <w:pPr>
        <w:ind w:right="180" w:firstLine="318"/>
        <w:spacing w:after="0" w:line="255" w:lineRule="auto"/>
        <w:rPr>
          <w:sz w:val="20"/>
          <w:szCs w:val="20"/>
          <w:color w:val="auto"/>
        </w:rPr>
      </w:pPr>
      <w:r>
        <w:rPr>
          <w:rFonts w:ascii="Times New Roman" w:cs="Times New Roman" w:eastAsia="Times New Roman" w:hAnsi="Times New Roman"/>
          <w:sz w:val="18"/>
          <w:szCs w:val="18"/>
          <w:color w:val="auto"/>
        </w:rPr>
        <w:t>Equipment leases receivable relate to IHOP franchise development activity prior to 2003 when IHOP typically leased or purchased the restaurant site, built and equipped the restaurant, then franchised the restaurant to a franchisee. Equipment lease contracts are collateralized by the equipment in the restaurant. The estimated fair value of the equipment collateralizing these lease contracts are not deemed to be significant given the very seasoned and mature nature of this portfolio. The weighted average remaining life of the Company’s equipment leases is 4.1 years as of September 30, 2022.</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Real Estate Leases Receivable</w:t>
      </w:r>
    </w:p>
    <w:p>
      <w:pPr>
        <w:spacing w:after="0" w:line="24" w:lineRule="exact"/>
        <w:rPr>
          <w:sz w:val="20"/>
          <w:szCs w:val="20"/>
          <w:color w:val="auto"/>
        </w:rPr>
      </w:pPr>
    </w:p>
    <w:p>
      <w:pPr>
        <w:jc w:val="both"/>
        <w:ind w:right="160" w:firstLine="318"/>
        <w:spacing w:after="0" w:line="248" w:lineRule="auto"/>
        <w:rPr>
          <w:sz w:val="20"/>
          <w:szCs w:val="20"/>
          <w:color w:val="auto"/>
        </w:rPr>
      </w:pPr>
      <w:r>
        <w:rPr>
          <w:rFonts w:ascii="Times New Roman" w:cs="Times New Roman" w:eastAsia="Times New Roman" w:hAnsi="Times New Roman"/>
          <w:sz w:val="18"/>
          <w:szCs w:val="18"/>
          <w:color w:val="auto"/>
        </w:rPr>
        <w:t>Real estate leases receivable relate to IHOP franchise development activity prior to 2003. IHOP provided the financing for leasing or subleasing the site. Real estate leases at September 30, 2022, comprised 56 leases with a weighted average remaining life of 9.9 years, and relate to locations that IHOP is leasing from third parties and subleasing to franchisees.</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Distributor Receivables</w:t>
      </w:r>
    </w:p>
    <w:p>
      <w:pPr>
        <w:spacing w:after="0" w:line="244" w:lineRule="exact"/>
        <w:rPr>
          <w:sz w:val="20"/>
          <w:szCs w:val="20"/>
          <w:color w:val="auto"/>
        </w:rPr>
      </w:pPr>
    </w:p>
    <w:p>
      <w:pPr>
        <w:ind w:right="140" w:firstLine="318"/>
        <w:spacing w:after="0" w:line="274" w:lineRule="auto"/>
        <w:rPr>
          <w:sz w:val="20"/>
          <w:szCs w:val="20"/>
          <w:color w:val="auto"/>
        </w:rPr>
      </w:pPr>
      <w:r>
        <w:rPr>
          <w:rFonts w:ascii="Times New Roman" w:cs="Times New Roman" w:eastAsia="Times New Roman" w:hAnsi="Times New Roman"/>
          <w:sz w:val="18"/>
          <w:szCs w:val="18"/>
          <w:color w:val="auto"/>
        </w:rPr>
        <w:t>Receivables due from distributors are related to the sale of IHOP’s proprietary pancake and waffle dry mix to franchisees through the Company’s network of suppliers and distributors and are included as part of Other receivables.</w:t>
      </w:r>
    </w:p>
    <w:p>
      <w:pPr>
        <w:spacing w:after="0" w:line="223"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6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320" w:type="dxa"/>
            <w:vAlign w:val="bottom"/>
          </w:tcPr>
          <w:p>
            <w:pPr>
              <w:spacing w:after="0"/>
              <w:rPr>
                <w:sz w:val="16"/>
                <w:szCs w:val="16"/>
                <w:color w:val="auto"/>
              </w:rPr>
            </w:pPr>
          </w:p>
        </w:tc>
        <w:tc>
          <w:tcPr>
            <w:tcW w:w="150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4"/>
        </w:trPr>
        <w:tc>
          <w:tcPr>
            <w:tcW w:w="69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3"/>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186"/>
        </w:trPr>
        <w:tc>
          <w:tcPr>
            <w:tcW w:w="69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500" w:type="dxa"/>
            <w:vAlign w:val="bottom"/>
          </w:tcPr>
          <w:p>
            <w:pPr>
              <w:spacing w:after="0"/>
              <w:rPr>
                <w:sz w:val="16"/>
                <w:szCs w:val="16"/>
                <w:color w:val="auto"/>
              </w:rPr>
            </w:pPr>
          </w:p>
        </w:tc>
      </w:tr>
      <w:tr>
        <w:trPr>
          <w:trHeight w:val="232"/>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63.6</w:t>
            </w:r>
          </w:p>
        </w:tc>
      </w:tr>
      <w:tr>
        <w:trPr>
          <w:trHeight w:val="225"/>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Gift card receivables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25"/>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Financing receivables:</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225"/>
        </w:trPr>
        <w:tc>
          <w:tcPr>
            <w:tcW w:w="69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Equipment leases receivable</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w:t>
            </w:r>
          </w:p>
        </w:tc>
      </w:tr>
      <w:tr>
        <w:trPr>
          <w:trHeight w:val="225"/>
        </w:trPr>
        <w:tc>
          <w:tcPr>
            <w:tcW w:w="69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Real estate leases receivable</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8"/>
        </w:trPr>
        <w:tc>
          <w:tcPr>
            <w:tcW w:w="6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174.4</w:t>
            </w: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18"/>
        </w:trPr>
        <w:tc>
          <w:tcPr>
            <w:tcW w:w="6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w:t>
            </w:r>
          </w:p>
        </w:tc>
      </w:tr>
      <w:tr>
        <w:trPr>
          <w:trHeight w:val="225"/>
        </w:trPr>
        <w:tc>
          <w:tcPr>
            <w:tcW w:w="6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6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w:t>
            </w:r>
          </w:p>
        </w:tc>
      </w:tr>
      <w:tr>
        <w:trPr>
          <w:trHeight w:val="218"/>
        </w:trPr>
        <w:tc>
          <w:tcPr>
            <w:tcW w:w="6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receivables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60" w:type="dxa"/>
            <w:vAlign w:val="bottom"/>
          </w:tcPr>
          <w:p>
            <w:pPr>
              <w:spacing w:after="0"/>
              <w:rPr>
                <w:sz w:val="19"/>
                <w:szCs w:val="19"/>
                <w:color w:val="auto"/>
              </w:rPr>
            </w:pPr>
          </w:p>
        </w:tc>
        <w:tc>
          <w:tcPr>
            <w:tcW w:w="32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r>
      <w:tr>
        <w:trPr>
          <w:trHeight w:val="20"/>
        </w:trPr>
        <w:tc>
          <w:tcPr>
            <w:tcW w:w="6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Changes in the allowance for credit losses during the nine months ended September 30, 2022 were as follows:</w:t>
      </w:r>
    </w:p>
    <w:p>
      <w:pPr>
        <w:spacing w:after="0" w:line="21" w:lineRule="exact"/>
        <w:rPr>
          <w:sz w:val="20"/>
          <w:szCs w:val="20"/>
          <w:color w:val="auto"/>
        </w:rPr>
      </w:pPr>
    </w:p>
    <w:tbl>
      <w:tblPr>
        <w:tblLayout w:type="fixed"/>
        <w:tblInd w:w="320" w:type="dxa"/>
        <w:tblCellMar>
          <w:top w:w="0" w:type="dxa"/>
          <w:left w:w="0" w:type="dxa"/>
          <w:bottom w:w="0" w:type="dxa"/>
          <w:right w:w="0" w:type="dxa"/>
        </w:tblCellMar>
      </w:tblPr>
      <w:tr>
        <w:trPr>
          <w:trHeight w:val="161"/>
        </w:trPr>
        <w:tc>
          <w:tcPr>
            <w:tcW w:w="38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restart"/>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Accounts</w:t>
            </w:r>
          </w:p>
        </w:tc>
        <w:tc>
          <w:tcPr>
            <w:tcW w:w="11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Notes receivable,</w:t>
            </w:r>
          </w:p>
        </w:tc>
        <w:tc>
          <w:tcPr>
            <w:tcW w:w="200" w:type="dxa"/>
            <w:vAlign w:val="bottom"/>
          </w:tcPr>
          <w:p>
            <w:pPr>
              <w:spacing w:after="0"/>
              <w:rPr>
                <w:sz w:val="13"/>
                <w:szCs w:val="13"/>
                <w:color w:val="auto"/>
              </w:rPr>
            </w:pPr>
          </w:p>
        </w:tc>
        <w:tc>
          <w:tcPr>
            <w:tcW w:w="88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Notes</w:t>
            </w:r>
          </w:p>
        </w:tc>
        <w:tc>
          <w:tcPr>
            <w:tcW w:w="180" w:type="dxa"/>
            <w:vAlign w:val="bottom"/>
          </w:tcPr>
          <w:p>
            <w:pPr>
              <w:spacing w:after="0"/>
              <w:rPr>
                <w:sz w:val="13"/>
                <w:szCs w:val="13"/>
                <w:color w:val="auto"/>
              </w:rPr>
            </w:pPr>
          </w:p>
        </w:tc>
        <w:tc>
          <w:tcPr>
            <w:tcW w:w="940" w:type="dxa"/>
            <w:vAlign w:val="bottom"/>
            <w:vMerge w:val="restart"/>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Lease</w:t>
            </w:r>
          </w:p>
        </w:tc>
        <w:tc>
          <w:tcPr>
            <w:tcW w:w="180" w:type="dxa"/>
            <w:vAlign w:val="bottom"/>
          </w:tcPr>
          <w:p>
            <w:pPr>
              <w:spacing w:after="0"/>
              <w:rPr>
                <w:sz w:val="13"/>
                <w:szCs w:val="13"/>
                <w:color w:val="auto"/>
              </w:rPr>
            </w:pPr>
          </w:p>
        </w:tc>
        <w:tc>
          <w:tcPr>
            <w:tcW w:w="90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Equipment</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jc w:val="center"/>
              <w:ind w:right="99"/>
              <w:spacing w:after="0" w:line="146" w:lineRule="exact"/>
              <w:rPr>
                <w:sz w:val="20"/>
                <w:szCs w:val="20"/>
                <w:color w:val="auto"/>
              </w:rPr>
            </w:pPr>
            <w:r>
              <w:rPr>
                <w:rFonts w:ascii="Times New Roman" w:cs="Times New Roman" w:eastAsia="Times New Roman" w:hAnsi="Times New Roman"/>
                <w:sz w:val="14"/>
                <w:szCs w:val="14"/>
                <w:b w:val="1"/>
                <w:bCs w:val="1"/>
                <w:color w:val="auto"/>
              </w:rPr>
              <w:t>receivable,</w:t>
            </w: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w w:val="90"/>
              </w:rPr>
              <w:t xml:space="preserve">Other </w:t>
            </w:r>
            <w:r>
              <w:rPr>
                <w:rFonts w:ascii="Times New Roman" w:cs="Times New Roman" w:eastAsia="Times New Roman" w:hAnsi="Times New Roman"/>
                <w:sz w:val="18"/>
                <w:szCs w:val="18"/>
                <w:b w:val="1"/>
                <w:bCs w:val="1"/>
                <w:color w:val="auto"/>
                <w:w w:val="90"/>
                <w:vertAlign w:val="superscript"/>
              </w:rPr>
              <w:t>(1)</w:t>
            </w:r>
          </w:p>
        </w:tc>
        <w:tc>
          <w:tcPr>
            <w:tcW w:w="220" w:type="dxa"/>
            <w:vAlign w:val="bottom"/>
          </w:tcPr>
          <w:p>
            <w:pPr>
              <w:spacing w:after="0"/>
              <w:rPr>
                <w:sz w:val="12"/>
                <w:szCs w:val="12"/>
                <w:color w:val="auto"/>
              </w:rPr>
            </w:pPr>
          </w:p>
        </w:tc>
        <w:tc>
          <w:tcPr>
            <w:tcW w:w="560" w:type="dxa"/>
            <w:vAlign w:val="bottom"/>
            <w:vMerge w:val="restart"/>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9"/>
        </w:trPr>
        <w:tc>
          <w:tcPr>
            <w:tcW w:w="38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9"/>
              </w:rPr>
              <w:t>Receivable</w:t>
            </w:r>
          </w:p>
        </w:tc>
        <w:tc>
          <w:tcPr>
            <w:tcW w:w="2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8"/>
              </w:rPr>
              <w:t>long-term</w:t>
            </w: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Receivables</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Notes</w:t>
            </w: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0" w:type="dxa"/>
            <w:vAlign w:val="bottom"/>
            <w:gridSpan w:val="3"/>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December 31, 2021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center"/>
              <w:ind w:left="376"/>
              <w:spacing w:after="0"/>
              <w:rPr>
                <w:sz w:val="20"/>
                <w:szCs w:val="20"/>
                <w:color w:val="auto"/>
              </w:rPr>
            </w:pPr>
            <w:r>
              <w:rPr>
                <w:rFonts w:ascii="Times New Roman" w:cs="Times New Roman" w:eastAsia="Times New Roman" w:hAnsi="Times New Roman"/>
                <w:sz w:val="18"/>
                <w:szCs w:val="18"/>
                <w:color w:val="auto"/>
                <w:w w:val="97"/>
              </w:rPr>
              <w:t>1.0</w:t>
            </w:r>
          </w:p>
        </w:tc>
        <w:tc>
          <w:tcPr>
            <w:tcW w:w="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6.6</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5"/>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Bad debt (credit) expense</w:t>
            </w:r>
          </w:p>
        </w:tc>
        <w:tc>
          <w:tcPr>
            <w:tcW w:w="160" w:type="dxa"/>
            <w:vAlign w:val="bottom"/>
          </w:tcPr>
          <w:p>
            <w:pPr>
              <w:spacing w:after="0"/>
              <w:rPr>
                <w:sz w:val="19"/>
                <w:szCs w:val="19"/>
                <w:color w:val="auto"/>
              </w:rPr>
            </w:pPr>
          </w:p>
        </w:tc>
        <w:tc>
          <w:tcPr>
            <w:tcW w:w="920" w:type="dxa"/>
            <w:vAlign w:val="bottom"/>
          </w:tcPr>
          <w:p>
            <w:pPr>
              <w:jc w:val="center"/>
              <w:ind w:left="336"/>
              <w:spacing w:after="0"/>
              <w:rPr>
                <w:sz w:val="20"/>
                <w:szCs w:val="20"/>
                <w:color w:val="auto"/>
              </w:rPr>
            </w:pPr>
            <w:r>
              <w:rPr>
                <w:rFonts w:ascii="Times New Roman" w:cs="Times New Roman" w:eastAsia="Times New Roman" w:hAnsi="Times New Roman"/>
                <w:sz w:val="18"/>
                <w:szCs w:val="18"/>
                <w:color w:val="auto"/>
                <w:w w:val="98"/>
              </w:rPr>
              <w:t>(0.3)</w:t>
            </w:r>
          </w:p>
        </w:tc>
        <w:tc>
          <w:tcPr>
            <w:tcW w:w="22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0.1</w:t>
            </w:r>
          </w:p>
        </w:tc>
        <w:tc>
          <w:tcPr>
            <w:tcW w:w="200" w:type="dxa"/>
            <w:vAlign w:val="bottom"/>
          </w:tcPr>
          <w:p>
            <w:pPr>
              <w:spacing w:after="0"/>
              <w:rPr>
                <w:sz w:val="19"/>
                <w:szCs w:val="19"/>
                <w:color w:val="auto"/>
              </w:rPr>
            </w:pPr>
          </w:p>
        </w:tc>
        <w:tc>
          <w:tcPr>
            <w:tcW w:w="7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2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Advertising provision adjustment</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376"/>
              <w:spacing w:after="0"/>
              <w:rPr>
                <w:sz w:val="20"/>
                <w:szCs w:val="20"/>
                <w:color w:val="auto"/>
              </w:rPr>
            </w:pPr>
            <w:r>
              <w:rPr>
                <w:rFonts w:ascii="Times New Roman" w:cs="Times New Roman" w:eastAsia="Times New Roman" w:hAnsi="Times New Roman"/>
                <w:sz w:val="18"/>
                <w:szCs w:val="18"/>
                <w:color w:val="auto"/>
                <w:w w:val="97"/>
              </w:rPr>
              <w:t>0.1</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0" w:type="dxa"/>
            <w:vAlign w:val="bottom"/>
          </w:tcPr>
          <w:p>
            <w:pPr>
              <w:spacing w:after="0"/>
              <w:rPr>
                <w:sz w:val="1"/>
                <w:szCs w:val="1"/>
                <w:color w:val="auto"/>
              </w:rPr>
            </w:pPr>
          </w:p>
        </w:tc>
      </w:tr>
      <w:tr>
        <w:trPr>
          <w:trHeight w:val="225"/>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Write-offs</w:t>
            </w:r>
          </w:p>
        </w:tc>
        <w:tc>
          <w:tcPr>
            <w:tcW w:w="160" w:type="dxa"/>
            <w:vAlign w:val="bottom"/>
          </w:tcPr>
          <w:p>
            <w:pPr>
              <w:spacing w:after="0"/>
              <w:rPr>
                <w:sz w:val="19"/>
                <w:szCs w:val="19"/>
                <w:color w:val="auto"/>
              </w:rPr>
            </w:pPr>
          </w:p>
        </w:tc>
        <w:tc>
          <w:tcPr>
            <w:tcW w:w="920" w:type="dxa"/>
            <w:vAlign w:val="bottom"/>
          </w:tcPr>
          <w:p>
            <w:pPr>
              <w:jc w:val="center"/>
              <w:ind w:left="336"/>
              <w:spacing w:after="0"/>
              <w:rPr>
                <w:sz w:val="20"/>
                <w:szCs w:val="20"/>
                <w:color w:val="auto"/>
              </w:rPr>
            </w:pPr>
            <w:r>
              <w:rPr>
                <w:rFonts w:ascii="Times New Roman" w:cs="Times New Roman" w:eastAsia="Times New Roman" w:hAnsi="Times New Roman"/>
                <w:sz w:val="18"/>
                <w:szCs w:val="18"/>
                <w:color w:val="auto"/>
                <w:w w:val="98"/>
              </w:rPr>
              <w:t>(0.2)</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tcPr>
          <w:p>
            <w:pPr>
              <w:spacing w:after="0"/>
              <w:rPr>
                <w:sz w:val="19"/>
                <w:szCs w:val="19"/>
                <w:color w:val="auto"/>
              </w:rPr>
            </w:pPr>
          </w:p>
        </w:tc>
        <w:tc>
          <w:tcPr>
            <w:tcW w:w="8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25"/>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Recoveries</w:t>
            </w: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ind w:left="376"/>
              <w:spacing w:after="0"/>
              <w:rPr>
                <w:sz w:val="20"/>
                <w:szCs w:val="20"/>
                <w:color w:val="auto"/>
              </w:rPr>
            </w:pPr>
            <w:r>
              <w:rPr>
                <w:rFonts w:ascii="Times New Roman" w:cs="Times New Roman" w:eastAsia="Times New Roman" w:hAnsi="Times New Roman"/>
                <w:sz w:val="18"/>
                <w:szCs w:val="18"/>
                <w:color w:val="auto"/>
                <w:w w:val="97"/>
              </w:rPr>
              <w:t>0.0</w:t>
            </w: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0.0</w:t>
            </w:r>
          </w:p>
        </w:tc>
        <w:tc>
          <w:tcPr>
            <w:tcW w:w="2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18"/>
        </w:trPr>
        <w:tc>
          <w:tcPr>
            <w:tcW w:w="3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September 30, 2022</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center"/>
              <w:ind w:left="376"/>
              <w:spacing w:after="0"/>
              <w:rPr>
                <w:sz w:val="20"/>
                <w:szCs w:val="20"/>
                <w:color w:val="auto"/>
              </w:rPr>
            </w:pPr>
            <w:r>
              <w:rPr>
                <w:rFonts w:ascii="Times New Roman" w:cs="Times New Roman" w:eastAsia="Times New Roman" w:hAnsi="Times New Roman"/>
                <w:sz w:val="18"/>
                <w:szCs w:val="18"/>
                <w:color w:val="auto"/>
                <w:w w:val="97"/>
              </w:rPr>
              <w:t>0.6</w:t>
            </w:r>
          </w:p>
        </w:tc>
        <w:tc>
          <w:tcPr>
            <w:tcW w:w="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3.6</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0.1</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0.2</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0.0</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 w:lineRule="exact"/>
        <w:rPr>
          <w:sz w:val="20"/>
          <w:szCs w:val="20"/>
          <w:color w:val="auto"/>
        </w:rPr>
      </w:pPr>
    </w:p>
    <w:p>
      <w:pPr>
        <w:ind w:left="500" w:hanging="176"/>
        <w:spacing w:after="0"/>
        <w:tabs>
          <w:tab w:leader="none" w:pos="500" w:val="left"/>
        </w:tabs>
        <w:numPr>
          <w:ilvl w:val="0"/>
          <w:numId w:val="5"/>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5"/>
          <w:szCs w:val="15"/>
          <w:color w:val="auto"/>
        </w:rPr>
        <w:t>Primarily distributor receivables, gift card receivables and credit card receivables</w:t>
      </w: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0" w:lineRule="exact"/>
        <w:rPr>
          <w:rFonts w:ascii="Times New Roman" w:cs="Times New Roman" w:eastAsia="Times New Roman" w:hAnsi="Times New Roman"/>
          <w:sz w:val="22"/>
          <w:szCs w:val="22"/>
          <w:color w:val="auto"/>
          <w:vertAlign w:val="superscript"/>
        </w:rPr>
      </w:pPr>
    </w:p>
    <w:p>
      <w:pPr>
        <w:spacing w:after="0" w:line="208" w:lineRule="exact"/>
        <w:rPr>
          <w:rFonts w:ascii="Times New Roman" w:cs="Times New Roman" w:eastAsia="Times New Roman" w:hAnsi="Times New Roman"/>
          <w:sz w:val="22"/>
          <w:szCs w:val="22"/>
          <w:color w:val="auto"/>
          <w:vertAlign w:val="superscript"/>
        </w:rPr>
      </w:pPr>
    </w:p>
    <w:p>
      <w:pPr>
        <w:ind w:left="5540"/>
        <w:spacing w:after="0"/>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 Current Expected Credit Losses (Continued)</w:t>
      </w:r>
    </w:p>
    <w:p>
      <w:pPr>
        <w:spacing w:after="0" w:line="200" w:lineRule="exact"/>
        <w:rPr>
          <w:sz w:val="20"/>
          <w:szCs w:val="20"/>
          <w:color w:val="auto"/>
        </w:rPr>
      </w:pPr>
    </w:p>
    <w:p>
      <w:pPr>
        <w:spacing w:after="0" w:line="223" w:lineRule="exact"/>
        <w:rPr>
          <w:sz w:val="20"/>
          <w:szCs w:val="20"/>
          <w:color w:val="auto"/>
        </w:rPr>
      </w:pPr>
    </w:p>
    <w:p>
      <w:pPr>
        <w:ind w:right="420" w:firstLine="318"/>
        <w:spacing w:after="0" w:line="270" w:lineRule="auto"/>
        <w:rPr>
          <w:sz w:val="20"/>
          <w:szCs w:val="20"/>
          <w:color w:val="auto"/>
        </w:rPr>
      </w:pPr>
      <w:r>
        <w:rPr>
          <w:rFonts w:ascii="Times New Roman" w:cs="Times New Roman" w:eastAsia="Times New Roman" w:hAnsi="Times New Roman"/>
          <w:sz w:val="18"/>
          <w:szCs w:val="18"/>
          <w:color w:val="auto"/>
        </w:rPr>
        <w:t>The Company's primary credit quality indicator for all portfolio segments is delinquency. The delinquency status of receivables (other than accounts receivable, gift card receivables and distributor receivables) at September 30, 2022 was as follows:</w:t>
      </w:r>
    </w:p>
    <w:tbl>
      <w:tblPr>
        <w:tblLayout w:type="fixed"/>
        <w:tblInd w:w="22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jc w:val="right"/>
              <w:ind w:right="295"/>
              <w:spacing w:after="0" w:line="162" w:lineRule="exact"/>
              <w:rPr>
                <w:sz w:val="20"/>
                <w:szCs w:val="20"/>
                <w:color w:val="auto"/>
              </w:rPr>
            </w:pPr>
            <w:r>
              <w:rPr>
                <w:rFonts w:ascii="Times New Roman" w:cs="Times New Roman" w:eastAsia="Times New Roman" w:hAnsi="Times New Roman"/>
                <w:sz w:val="16"/>
                <w:szCs w:val="16"/>
                <w:b w:val="1"/>
                <w:bCs w:val="1"/>
                <w:color w:val="auto"/>
              </w:rPr>
              <w:t>Notes</w:t>
            </w:r>
          </w:p>
        </w:tc>
        <w:tc>
          <w:tcPr>
            <w:tcW w:w="240" w:type="dxa"/>
            <w:vAlign w:val="bottom"/>
          </w:tcPr>
          <w:p>
            <w:pPr>
              <w:spacing w:after="0"/>
              <w:rPr>
                <w:sz w:val="14"/>
                <w:szCs w:val="14"/>
                <w:color w:val="auto"/>
              </w:rPr>
            </w:pPr>
          </w:p>
        </w:tc>
        <w:tc>
          <w:tcPr>
            <w:tcW w:w="980" w:type="dxa"/>
            <w:vAlign w:val="bottom"/>
          </w:tcPr>
          <w:p>
            <w:pPr>
              <w:jc w:val="center"/>
              <w:ind w:right="75"/>
              <w:spacing w:after="0" w:line="162" w:lineRule="exact"/>
              <w:rPr>
                <w:sz w:val="20"/>
                <w:szCs w:val="20"/>
                <w:color w:val="auto"/>
              </w:rPr>
            </w:pPr>
            <w:r>
              <w:rPr>
                <w:rFonts w:ascii="Times New Roman" w:cs="Times New Roman" w:eastAsia="Times New Roman" w:hAnsi="Times New Roman"/>
                <w:sz w:val="16"/>
                <w:szCs w:val="16"/>
                <w:b w:val="1"/>
                <w:bCs w:val="1"/>
                <w:color w:val="auto"/>
                <w:w w:val="99"/>
              </w:rPr>
              <w:t>Notes</w:t>
            </w:r>
          </w:p>
        </w:tc>
        <w:tc>
          <w:tcPr>
            <w:tcW w:w="220" w:type="dxa"/>
            <w:vAlign w:val="bottom"/>
          </w:tcPr>
          <w:p>
            <w:pPr>
              <w:spacing w:after="0"/>
              <w:rPr>
                <w:sz w:val="14"/>
                <w:szCs w:val="14"/>
                <w:color w:val="auto"/>
              </w:rPr>
            </w:pPr>
          </w:p>
        </w:tc>
        <w:tc>
          <w:tcPr>
            <w:tcW w:w="1040" w:type="dxa"/>
            <w:vAlign w:val="bottom"/>
            <w:vMerge w:val="restart"/>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Lease</w:t>
            </w:r>
          </w:p>
        </w:tc>
        <w:tc>
          <w:tcPr>
            <w:tcW w:w="220" w:type="dxa"/>
            <w:vAlign w:val="bottom"/>
          </w:tcPr>
          <w:p>
            <w:pPr>
              <w:spacing w:after="0"/>
              <w:rPr>
                <w:sz w:val="14"/>
                <w:szCs w:val="14"/>
                <w:color w:val="auto"/>
              </w:rPr>
            </w:pPr>
          </w:p>
        </w:tc>
        <w:tc>
          <w:tcPr>
            <w:tcW w:w="1000" w:type="dxa"/>
            <w:vAlign w:val="bottom"/>
            <w:vMerge w:val="restart"/>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w w:val="99"/>
              </w:rPr>
              <w:t>Equipment</w:t>
            </w: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9"/>
        </w:trPr>
        <w:tc>
          <w:tcPr>
            <w:tcW w:w="3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right"/>
              <w:ind w:right="135"/>
              <w:spacing w:after="0" w:line="159" w:lineRule="exact"/>
              <w:rPr>
                <w:sz w:val="20"/>
                <w:szCs w:val="20"/>
                <w:color w:val="auto"/>
              </w:rPr>
            </w:pPr>
            <w:r>
              <w:rPr>
                <w:rFonts w:ascii="Times New Roman" w:cs="Times New Roman" w:eastAsia="Times New Roman" w:hAnsi="Times New Roman"/>
                <w:sz w:val="16"/>
                <w:szCs w:val="16"/>
                <w:b w:val="1"/>
                <w:bCs w:val="1"/>
                <w:color w:val="auto"/>
              </w:rPr>
              <w:t>receivable,</w:t>
            </w:r>
          </w:p>
        </w:tc>
        <w:tc>
          <w:tcPr>
            <w:tcW w:w="240" w:type="dxa"/>
            <w:vAlign w:val="bottom"/>
          </w:tcPr>
          <w:p>
            <w:pPr>
              <w:spacing w:after="0"/>
              <w:rPr>
                <w:sz w:val="13"/>
                <w:szCs w:val="13"/>
                <w:color w:val="auto"/>
              </w:rPr>
            </w:pPr>
          </w:p>
        </w:tc>
        <w:tc>
          <w:tcPr>
            <w:tcW w:w="980" w:type="dxa"/>
            <w:vAlign w:val="bottom"/>
          </w:tcPr>
          <w:p>
            <w:pPr>
              <w:jc w:val="center"/>
              <w:ind w:right="95"/>
              <w:spacing w:after="0" w:line="159" w:lineRule="exact"/>
              <w:rPr>
                <w:sz w:val="20"/>
                <w:szCs w:val="20"/>
                <w:color w:val="auto"/>
              </w:rPr>
            </w:pPr>
            <w:r>
              <w:rPr>
                <w:rFonts w:ascii="Times New Roman" w:cs="Times New Roman" w:eastAsia="Times New Roman" w:hAnsi="Times New Roman"/>
                <w:sz w:val="16"/>
                <w:szCs w:val="16"/>
                <w:b w:val="1"/>
                <w:bCs w:val="1"/>
                <w:color w:val="auto"/>
                <w:w w:val="98"/>
              </w:rPr>
              <w:t>receivable,</w:t>
            </w:r>
          </w:p>
        </w:tc>
        <w:tc>
          <w:tcPr>
            <w:tcW w:w="220" w:type="dxa"/>
            <w:vAlign w:val="bottom"/>
          </w:tcPr>
          <w:p>
            <w:pPr>
              <w:spacing w:after="0"/>
              <w:rPr>
                <w:sz w:val="13"/>
                <w:szCs w:val="13"/>
                <w:color w:val="auto"/>
              </w:rPr>
            </w:pPr>
          </w:p>
        </w:tc>
        <w:tc>
          <w:tcPr>
            <w:tcW w:w="1040" w:type="dxa"/>
            <w:vAlign w:val="bottom"/>
            <w:vMerge w:val="continue"/>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vMerge w:val="restart"/>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 xml:space="preserve">Other </w:t>
            </w:r>
            <w:r>
              <w:rPr>
                <w:rFonts w:ascii="Times New Roman" w:cs="Times New Roman" w:eastAsia="Times New Roman" w:hAnsi="Times New Roman"/>
                <w:sz w:val="20"/>
                <w:szCs w:val="20"/>
                <w:b w:val="1"/>
                <w:bCs w:val="1"/>
                <w:color w:val="auto"/>
                <w:vertAlign w:val="superscript"/>
              </w:rPr>
              <w:t>(1)</w:t>
            </w:r>
          </w:p>
        </w:tc>
        <w:tc>
          <w:tcPr>
            <w:tcW w:w="320" w:type="dxa"/>
            <w:vAlign w:val="bottom"/>
          </w:tcPr>
          <w:p>
            <w:pPr>
              <w:spacing w:after="0"/>
              <w:rPr>
                <w:sz w:val="13"/>
                <w:szCs w:val="13"/>
                <w:color w:val="auto"/>
              </w:rPr>
            </w:pPr>
          </w:p>
        </w:tc>
        <w:tc>
          <w:tcPr>
            <w:tcW w:w="920" w:type="dxa"/>
            <w:vAlign w:val="bottom"/>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2"/>
        </w:trPr>
        <w:tc>
          <w:tcPr>
            <w:tcW w:w="35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short-term</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rPr>
              <w:t>long-term</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Receivables</w:t>
            </w:r>
          </w:p>
        </w:tc>
        <w:tc>
          <w:tcPr>
            <w:tcW w:w="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Notes</w:t>
            </w: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gridSpan w:val="3"/>
          </w:tcPr>
          <w:p>
            <w:pPr>
              <w:jc w:val="right"/>
              <w:ind w:right="674"/>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19.9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28.4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0" w:type="dxa"/>
            <w:vAlign w:val="bottom"/>
          </w:tcPr>
          <w:p>
            <w:pPr>
              <w:spacing w:after="0"/>
              <w:rPr>
                <w:sz w:val="1"/>
                <w:szCs w:val="1"/>
                <w:color w:val="auto"/>
              </w:rPr>
            </w:pPr>
          </w:p>
        </w:tc>
      </w:tr>
      <w:tr>
        <w:trPr>
          <w:trHeight w:val="225"/>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30-59 days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25"/>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60-89 days</w:t>
            </w:r>
          </w:p>
        </w:tc>
        <w:tc>
          <w:tcPr>
            <w:tcW w:w="1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0" w:type="dxa"/>
            <w:vAlign w:val="bottom"/>
          </w:tcPr>
          <w:p>
            <w:pPr>
              <w:spacing w:after="0"/>
              <w:rPr>
                <w:sz w:val="1"/>
                <w:szCs w:val="1"/>
                <w:color w:val="auto"/>
              </w:rPr>
            </w:pPr>
          </w:p>
        </w:tc>
      </w:tr>
      <w:tr>
        <w:trPr>
          <w:trHeight w:val="225"/>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90-119 days</w:t>
            </w:r>
          </w:p>
        </w:tc>
        <w:tc>
          <w:tcPr>
            <w:tcW w:w="1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4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9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0" w:type="dxa"/>
            <w:vAlign w:val="bottom"/>
          </w:tcPr>
          <w:p>
            <w:pPr>
              <w:spacing w:after="0"/>
              <w:rPr>
                <w:sz w:val="1"/>
                <w:szCs w:val="1"/>
                <w:color w:val="auto"/>
              </w:rPr>
            </w:pPr>
          </w:p>
        </w:tc>
      </w:tr>
      <w:tr>
        <w:trPr>
          <w:trHeight w:val="225"/>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120+ days</w:t>
            </w:r>
          </w:p>
        </w:tc>
        <w:tc>
          <w:tcPr>
            <w:tcW w:w="1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8"/>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8"/>
                <w:szCs w:val="18"/>
                <w:color w:val="auto"/>
              </w:rPr>
              <w:t>19.9</w:t>
            </w:r>
          </w:p>
        </w:tc>
        <w:tc>
          <w:tcPr>
            <w:tcW w:w="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28.4</w:t>
            </w: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2.3</w:t>
            </w:r>
          </w:p>
        </w:tc>
        <w:tc>
          <w:tcPr>
            <w:tcW w:w="32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500" w:hanging="176"/>
        <w:spacing w:after="0"/>
        <w:tabs>
          <w:tab w:leader="none" w:pos="500" w:val="left"/>
        </w:tabs>
        <w:numPr>
          <w:ilvl w:val="0"/>
          <w:numId w:val="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Primarily c</w:t>
      </w:r>
      <w:r>
        <w:rPr>
          <w:rFonts w:ascii="Times New Roman" w:cs="Times New Roman" w:eastAsia="Times New Roman" w:hAnsi="Times New Roman"/>
          <w:sz w:val="14"/>
          <w:szCs w:val="14"/>
          <w:color w:val="auto"/>
        </w:rPr>
        <w:t>redit card receivables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year of origination of the Company's notes receivable and financing receivables is as follows:</w:t>
      </w:r>
    </w:p>
    <w:p>
      <w:pPr>
        <w:spacing w:after="0" w:line="25" w:lineRule="exact"/>
        <w:rPr>
          <w:sz w:val="20"/>
          <w:szCs w:val="20"/>
          <w:color w:val="auto"/>
        </w:rPr>
      </w:pPr>
    </w:p>
    <w:tbl>
      <w:tblPr>
        <w:tblLayout w:type="fixed"/>
        <w:tblInd w:w="5860" w:type="dxa"/>
        <w:tblCellMar>
          <w:top w:w="0" w:type="dxa"/>
          <w:left w:w="0" w:type="dxa"/>
          <w:bottom w:w="0" w:type="dxa"/>
          <w:right w:w="0" w:type="dxa"/>
        </w:tblCellMar>
      </w:tblPr>
      <w:tr>
        <w:trPr>
          <w:trHeight w:val="184"/>
        </w:trPr>
        <w:tc>
          <w:tcPr>
            <w:tcW w:w="1640" w:type="dxa"/>
            <w:vAlign w:val="bottom"/>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rPr>
              <w:t>Notes receivable,</w:t>
            </w:r>
          </w:p>
        </w:tc>
        <w:tc>
          <w:tcPr>
            <w:tcW w:w="1460" w:type="dxa"/>
            <w:vAlign w:val="bottom"/>
          </w:tcPr>
          <w:p>
            <w:pPr>
              <w:jc w:val="center"/>
              <w:ind w:right="201"/>
              <w:spacing w:after="0"/>
              <w:rPr>
                <w:sz w:val="20"/>
                <w:szCs w:val="20"/>
                <w:color w:val="auto"/>
              </w:rPr>
            </w:pPr>
            <w:r>
              <w:rPr>
                <w:rFonts w:ascii="Times New Roman" w:cs="Times New Roman" w:eastAsia="Times New Roman" w:hAnsi="Times New Roman"/>
                <w:sz w:val="16"/>
                <w:szCs w:val="16"/>
                <w:b w:val="1"/>
                <w:bCs w:val="1"/>
                <w:color w:val="auto"/>
                <w:w w:val="97"/>
              </w:rPr>
              <w:t>Lease</w:t>
            </w:r>
          </w:p>
        </w:tc>
        <w:tc>
          <w:tcPr>
            <w:tcW w:w="1120" w:type="dxa"/>
            <w:vAlign w:val="bottom"/>
          </w:tcPr>
          <w:p>
            <w:pPr>
              <w:jc w:val="center"/>
              <w:ind w:right="281"/>
              <w:spacing w:after="0"/>
              <w:rPr>
                <w:sz w:val="20"/>
                <w:szCs w:val="20"/>
                <w:color w:val="auto"/>
              </w:rPr>
            </w:pPr>
            <w:r>
              <w:rPr>
                <w:rFonts w:ascii="Times New Roman" w:cs="Times New Roman" w:eastAsia="Times New Roman" w:hAnsi="Times New Roman"/>
                <w:sz w:val="16"/>
                <w:szCs w:val="16"/>
                <w:b w:val="1"/>
                <w:bCs w:val="1"/>
                <w:color w:val="auto"/>
                <w:w w:val="99"/>
              </w:rPr>
              <w:t>Equipment</w:t>
            </w:r>
          </w:p>
        </w:tc>
        <w:tc>
          <w:tcPr>
            <w:tcW w:w="1120" w:type="dxa"/>
            <w:vAlign w:val="bottom"/>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1"/>
        </w:trPr>
        <w:tc>
          <w:tcPr>
            <w:tcW w:w="1640" w:type="dxa"/>
            <w:vAlign w:val="bottom"/>
            <w:tcBorders>
              <w:bottom w:val="single" w:sz="8" w:color="auto"/>
            </w:tcBorders>
          </w:tcPr>
          <w:p>
            <w:pPr>
              <w:jc w:val="center"/>
              <w:ind w:right="1"/>
              <w:spacing w:after="0"/>
              <w:rPr>
                <w:sz w:val="20"/>
                <w:szCs w:val="20"/>
                <w:color w:val="auto"/>
              </w:rPr>
            </w:pPr>
            <w:r>
              <w:rPr>
                <w:rFonts w:ascii="Times New Roman" w:cs="Times New Roman" w:eastAsia="Times New Roman" w:hAnsi="Times New Roman"/>
                <w:sz w:val="16"/>
                <w:szCs w:val="16"/>
                <w:b w:val="1"/>
                <w:bCs w:val="1"/>
                <w:color w:val="auto"/>
                <w:w w:val="99"/>
              </w:rPr>
              <w:t>short and long-term</w:t>
            </w:r>
          </w:p>
        </w:tc>
        <w:tc>
          <w:tcPr>
            <w:tcW w:w="1460" w:type="dxa"/>
            <w:vAlign w:val="bottom"/>
            <w:tcBorders>
              <w:bottom w:val="single" w:sz="8" w:color="auto"/>
            </w:tcBorders>
          </w:tcPr>
          <w:p>
            <w:pPr>
              <w:jc w:val="center"/>
              <w:ind w:right="181"/>
              <w:spacing w:after="0"/>
              <w:rPr>
                <w:sz w:val="20"/>
                <w:szCs w:val="20"/>
                <w:color w:val="auto"/>
              </w:rPr>
            </w:pPr>
            <w:r>
              <w:rPr>
                <w:rFonts w:ascii="Times New Roman" w:cs="Times New Roman" w:eastAsia="Times New Roman" w:hAnsi="Times New Roman"/>
                <w:sz w:val="16"/>
                <w:szCs w:val="16"/>
                <w:b w:val="1"/>
                <w:bCs w:val="1"/>
                <w:color w:val="auto"/>
                <w:w w:val="99"/>
              </w:rPr>
              <w:t>Receivables</w:t>
            </w:r>
          </w:p>
        </w:tc>
        <w:tc>
          <w:tcPr>
            <w:tcW w:w="1120" w:type="dxa"/>
            <w:vAlign w:val="bottom"/>
            <w:tcBorders>
              <w:bottom w:val="single" w:sz="8" w:color="auto"/>
            </w:tcBorders>
          </w:tcPr>
          <w:p>
            <w:pPr>
              <w:jc w:val="center"/>
              <w:ind w:right="261"/>
              <w:spacing w:after="0"/>
              <w:rPr>
                <w:sz w:val="20"/>
                <w:szCs w:val="20"/>
                <w:color w:val="auto"/>
              </w:rPr>
            </w:pPr>
            <w:r>
              <w:rPr>
                <w:rFonts w:ascii="Times New Roman" w:cs="Times New Roman" w:eastAsia="Times New Roman" w:hAnsi="Times New Roman"/>
                <w:sz w:val="16"/>
                <w:szCs w:val="16"/>
                <w:b w:val="1"/>
                <w:bCs w:val="1"/>
                <w:color w:val="auto"/>
                <w:w w:val="99"/>
              </w:rPr>
              <w:t>Notes</w:t>
            </w:r>
          </w:p>
        </w:tc>
        <w:tc>
          <w:tcPr>
            <w:tcW w:w="11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1640" w:type="dxa"/>
            <w:vAlign w:val="bottom"/>
          </w:tcPr>
          <w:p>
            <w:pPr>
              <w:spacing w:after="0"/>
              <w:rPr>
                <w:sz w:val="17"/>
                <w:szCs w:val="17"/>
                <w:color w:val="auto"/>
              </w:rPr>
            </w:pPr>
          </w:p>
        </w:tc>
        <w:tc>
          <w:tcPr>
            <w:tcW w:w="1460" w:type="dxa"/>
            <w:vAlign w:val="bottom"/>
          </w:tcPr>
          <w:p>
            <w:pPr>
              <w:ind w:left="600"/>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1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20" w:top="119" w:right="359" w:bottom="1440" w:gutter="0" w:footer="0" w:header="0"/>
        </w:sectPr>
      </w:pPr>
    </w:p>
    <w:p>
      <w:pPr>
        <w:ind w:left="380"/>
        <w:spacing w:after="0"/>
        <w:rPr>
          <w:sz w:val="20"/>
          <w:szCs w:val="20"/>
          <w:color w:val="auto"/>
        </w:rPr>
      </w:pPr>
      <w:r>
        <w:rPr>
          <w:rFonts w:ascii="Times New Roman" w:cs="Times New Roman" w:eastAsia="Times New Roman" w:hAnsi="Times New Roman"/>
          <w:sz w:val="18"/>
          <w:szCs w:val="18"/>
          <w:color w:val="auto"/>
        </w:rPr>
        <w:t>2022</w:t>
      </w:r>
    </w:p>
    <w:p>
      <w:pPr>
        <w:spacing w:after="0" w:line="2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2021</w:t>
      </w:r>
    </w:p>
    <w:p>
      <w:pPr>
        <w:spacing w:after="0" w:line="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2020</w:t>
      </w:r>
    </w:p>
    <w:p>
      <w:pPr>
        <w:spacing w:after="0" w:line="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2019</w:t>
      </w:r>
    </w:p>
    <w:p>
      <w:pPr>
        <w:spacing w:after="0" w:line="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2018</w:t>
      </w:r>
    </w:p>
    <w:p>
      <w:pPr>
        <w:spacing w:after="0" w:line="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Prior</w:t>
      </w:r>
    </w:p>
    <w:p>
      <w:pPr>
        <w:spacing w:after="0" w:line="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Total</w:t>
      </w:r>
    </w:p>
    <w:p>
      <w:pPr>
        <w:spacing w:after="0" w:line="35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does not place its financing receivables in non-accrual status.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64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1.7</w:t>
            </w:r>
          </w:p>
        </w:tc>
        <w:tc>
          <w:tcPr>
            <w:tcW w:w="5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8.4</w:t>
            </w:r>
          </w:p>
        </w:tc>
        <w:tc>
          <w:tcPr>
            <w:tcW w:w="50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5"/>
        </w:trPr>
        <w:tc>
          <w:tcPr>
            <w:tcW w:w="64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10.7</w:t>
            </w:r>
          </w:p>
        </w:tc>
        <w:tc>
          <w:tcPr>
            <w:tcW w:w="52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2.6</w:t>
            </w:r>
          </w:p>
        </w:tc>
        <w:tc>
          <w:tcPr>
            <w:tcW w:w="50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5"/>
        </w:trPr>
        <w:tc>
          <w:tcPr>
            <w:tcW w:w="64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0.4</w:t>
            </w:r>
          </w:p>
        </w:tc>
        <w:tc>
          <w:tcPr>
            <w:tcW w:w="52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w:t>
            </w:r>
          </w:p>
        </w:tc>
        <w:tc>
          <w:tcPr>
            <w:tcW w:w="50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25"/>
        </w:trPr>
        <w:tc>
          <w:tcPr>
            <w:tcW w:w="64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w:t>
            </w:r>
          </w:p>
        </w:tc>
        <w:tc>
          <w:tcPr>
            <w:tcW w:w="52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0.8</w:t>
            </w:r>
          </w:p>
        </w:tc>
        <w:tc>
          <w:tcPr>
            <w:tcW w:w="50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5"/>
        </w:trPr>
        <w:tc>
          <w:tcPr>
            <w:tcW w:w="640" w:type="dxa"/>
            <w:vAlign w:val="bottom"/>
          </w:tcPr>
          <w:p>
            <w:pPr>
              <w:spacing w:after="0"/>
              <w:rPr>
                <w:sz w:val="19"/>
                <w:szCs w:val="19"/>
                <w:color w:val="auto"/>
              </w:rPr>
            </w:pPr>
          </w:p>
        </w:tc>
        <w:tc>
          <w:tcPr>
            <w:tcW w:w="9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74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30"/>
        </w:trPr>
        <w:tc>
          <w:tcPr>
            <w:tcW w:w="6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5.1</w:t>
            </w:r>
          </w:p>
        </w:tc>
        <w:tc>
          <w:tcPr>
            <w:tcW w:w="5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6.7</w:t>
            </w:r>
          </w:p>
        </w:tc>
        <w:tc>
          <w:tcPr>
            <w:tcW w:w="5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28.4</w:t>
            </w:r>
          </w:p>
        </w:tc>
        <w:tc>
          <w:tcPr>
            <w:tcW w:w="5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w:t>
            </w:r>
          </w:p>
        </w:tc>
      </w:tr>
      <w:tr>
        <w:trPr>
          <w:trHeight w:val="218"/>
        </w:trPr>
        <w:tc>
          <w:tcPr>
            <w:tcW w:w="6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17.9</w:t>
            </w:r>
          </w:p>
        </w:tc>
        <w:tc>
          <w:tcPr>
            <w:tcW w:w="5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19.9</w:t>
            </w:r>
          </w:p>
        </w:tc>
        <w:tc>
          <w:tcPr>
            <w:tcW w:w="5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28.4</w:t>
            </w:r>
          </w:p>
        </w:tc>
        <w:tc>
          <w:tcPr>
            <w:tcW w:w="5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66.2</w:t>
            </w:r>
          </w:p>
        </w:tc>
      </w:tr>
      <w:tr>
        <w:trPr>
          <w:trHeight w:val="20"/>
        </w:trPr>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-3481070</wp:posOffset>
            </wp:positionH>
            <wp:positionV relativeFrom="paragraph">
              <wp:posOffset>-1042670</wp:posOffset>
            </wp:positionV>
            <wp:extent cx="6873875" cy="1428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73875" cy="142875"/>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-756285</wp:posOffset>
            </wp:positionV>
            <wp:extent cx="6873875" cy="142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73875" cy="142875"/>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-470535</wp:posOffset>
            </wp:positionV>
            <wp:extent cx="6873875" cy="142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73875" cy="142875"/>
                    </a:xfrm>
                    <a:prstGeom prst="rect">
                      <a:avLst/>
                    </a:prstGeom>
                    <a:noFill/>
                  </pic:spPr>
                </pic:pic>
              </a:graphicData>
            </a:graphic>
          </wp:anchor>
        </w:drawing>
        <w:drawing>
          <wp:anchor simplePos="0" relativeHeight="251657728" behindDoc="1" locked="0" layoutInCell="0" allowOverlap="1">
            <wp:simplePos x="0" y="0"/>
            <wp:positionH relativeFrom="column">
              <wp:posOffset>-3481070</wp:posOffset>
            </wp:positionH>
            <wp:positionV relativeFrom="paragraph">
              <wp:posOffset>-184150</wp:posOffset>
            </wp:positionV>
            <wp:extent cx="6873875" cy="1682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73875" cy="168275"/>
                    </a:xfrm>
                    <a:prstGeom prst="rect">
                      <a:avLst/>
                    </a:prstGeom>
                    <a:noFill/>
                  </pic:spPr>
                </pic:pic>
              </a:graphicData>
            </a:graphic>
          </wp:anchor>
        </w:drawing>
      </w:r>
    </w:p>
    <w:p>
      <w:pPr>
        <w:spacing w:after="0" w:line="695" w:lineRule="exact"/>
        <w:rPr>
          <w:sz w:val="20"/>
          <w:szCs w:val="20"/>
          <w:color w:val="auto"/>
        </w:rPr>
      </w:pPr>
    </w:p>
    <w:p>
      <w:pPr>
        <w:sectPr>
          <w:pgSz w:w="11900" w:h="16838" w:orient="portrait"/>
          <w:cols w:equalWidth="0" w:num="2">
            <w:col w:w="5700" w:space="160"/>
            <w:col w:w="5360"/>
          </w:cols>
          <w:pgMar w:left="320" w:top="119" w:right="359" w:bottom="1440" w:gutter="0" w:footer="0" w:header="0"/>
          <w:type w:val="continuous"/>
        </w:sectPr>
      </w:pP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Lease Disclosures</w:t>
      </w:r>
    </w:p>
    <w:p>
      <w:pPr>
        <w:spacing w:after="0" w:line="24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The Company engages in leasing activity as both a lessee and a lessor. The Company currently leases from third parties the real property on which approximately 530 IHOP franchisee-operated restaurants and one Applebee's franchisee-operated restaurant are located; the Company (as lessor) subleases the property to the franchisees that operate those restaurants. The Company also leases property it owns to the franchisees that operate approximately 50 IHOP restaurants and one Applebee's restaurant. The Company leases from third parties the real property on which 69 Applebee's company-operated restaurants are located. The Company also leases office space for its principal corporate offices in Glendale, California and Pasadena, California and restaurant support centers in Leawood, Kansas and Raleigh, North Carolina. The Company does not have a significant amount of non-real estate leases.</w:t>
      </w:r>
    </w:p>
    <w:p>
      <w:pPr>
        <w:spacing w:after="0" w:line="212" w:lineRule="exact"/>
        <w:rPr>
          <w:sz w:val="20"/>
          <w:szCs w:val="20"/>
          <w:color w:val="auto"/>
        </w:rPr>
      </w:pPr>
    </w:p>
    <w:p>
      <w:pPr>
        <w:ind w:right="20" w:firstLine="238"/>
        <w:spacing w:after="0" w:line="251" w:lineRule="auto"/>
        <w:rPr>
          <w:sz w:val="20"/>
          <w:szCs w:val="20"/>
          <w:color w:val="auto"/>
        </w:rPr>
      </w:pPr>
      <w:r>
        <w:rPr>
          <w:rFonts w:ascii="Times New Roman" w:cs="Times New Roman" w:eastAsia="Times New Roman" w:hAnsi="Times New Roman"/>
          <w:sz w:val="18"/>
          <w:szCs w:val="18"/>
          <w:color w:val="auto"/>
        </w:rPr>
        <w:t>The Company's existing leases/subleases related to IHOP restaurants generally provide for an initial term of 20 to 25 years, with most having one or more five-year renewal options. Leases related to Applebee's restaurants generally have an initial term of 10 to 20 years, with renewal terms of five to 20 years. Option periods were not included in determining liabilities and right-of-use assets related to operating leases. Approximately 290 of the Company's leases met the sales levels that required variable rent payments to the Company (as lessor), based on a percentage of restaurant sales during the nine months ended September 30, 2022. Approximately 65 of the leases met the sales levels that required variable rent payments by the Company (as lessee), based on a percentage of restaurant sales during the nine months ended September 30, 2022.</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type w:val="continuous"/>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 Lease Disclosures (Continued)</w:t>
      </w:r>
    </w:p>
    <w:p>
      <w:pPr>
        <w:spacing w:after="0" w:line="200" w:lineRule="exact"/>
        <w:rPr>
          <w:sz w:val="20"/>
          <w:szCs w:val="20"/>
          <w:color w:val="auto"/>
        </w:rPr>
      </w:pPr>
    </w:p>
    <w:p>
      <w:pPr>
        <w:spacing w:after="0" w:line="2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Company's lease cost for the three and nine months ended September 30, 2022 and 2021 was as follows: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20" w:type="dxa"/>
            <w:vAlign w:val="bottom"/>
          </w:tcPr>
          <w:p>
            <w:pPr>
              <w:spacing w:after="0"/>
              <w:rPr>
                <w:sz w:val="18"/>
                <w:szCs w:val="18"/>
                <w:color w:val="auto"/>
              </w:rPr>
            </w:pPr>
          </w:p>
        </w:tc>
        <w:tc>
          <w:tcPr>
            <w:tcW w:w="2800" w:type="dxa"/>
            <w:vAlign w:val="bottom"/>
            <w:gridSpan w:val="6"/>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52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7"/>
        </w:trPr>
        <w:tc>
          <w:tcPr>
            <w:tcW w:w="592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8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95"/>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80"/>
        </w:trPr>
        <w:tc>
          <w:tcPr>
            <w:tcW w:w="59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0" w:type="dxa"/>
            <w:vAlign w:val="bottom"/>
            <w:gridSpan w:val="3"/>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38"/>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cost:</w:t>
            </w:r>
          </w:p>
        </w:tc>
        <w:tc>
          <w:tcPr>
            <w:tcW w:w="8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25"/>
        </w:trPr>
        <w:tc>
          <w:tcPr>
            <w:tcW w:w="592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Amortization of right-of-use assets</w:t>
            </w:r>
          </w:p>
        </w:tc>
        <w:tc>
          <w:tcPr>
            <w:tcW w:w="860" w:type="dxa"/>
            <w:vAlign w:val="bottom"/>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5"/>
        </w:trPr>
        <w:tc>
          <w:tcPr>
            <w:tcW w:w="59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Interest on lease liabilities</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52"/>
        </w:trPr>
        <w:tc>
          <w:tcPr>
            <w:tcW w:w="5920" w:type="dxa"/>
            <w:vAlign w:val="bottom"/>
            <w:shd w:val="clear" w:color="auto" w:fill="CCEEFF"/>
          </w:tcPr>
          <w:p>
            <w:pPr>
              <w:ind w:left="20"/>
              <w:spacing w:after="0" w:line="251" w:lineRule="exact"/>
              <w:rPr>
                <w:sz w:val="20"/>
                <w:szCs w:val="20"/>
                <w:color w:val="auto"/>
              </w:rPr>
            </w:pPr>
            <w:r>
              <w:rPr>
                <w:rFonts w:ascii="Times New Roman" w:cs="Times New Roman" w:eastAsia="Times New Roman" w:hAnsi="Times New Roman"/>
                <w:sz w:val="18"/>
                <w:szCs w:val="18"/>
                <w:color w:val="auto"/>
              </w:rPr>
              <w:t>Operating lease cost</w:t>
            </w:r>
            <w:r>
              <w:rPr>
                <w:rFonts w:ascii="Times New Roman" w:cs="Times New Roman" w:eastAsia="Times New Roman" w:hAnsi="Times New Roman"/>
                <w:sz w:val="22"/>
                <w:szCs w:val="22"/>
                <w:color w:val="auto"/>
                <w:vertAlign w:val="superscript"/>
              </w:rPr>
              <w:t>(1)</w:t>
            </w:r>
          </w:p>
        </w:tc>
        <w:tc>
          <w:tcPr>
            <w:tcW w:w="86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8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r>
      <w:tr>
        <w:trPr>
          <w:trHeight w:val="225"/>
        </w:trPr>
        <w:tc>
          <w:tcPr>
            <w:tcW w:w="5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cost</w:t>
            </w:r>
          </w:p>
        </w:tc>
        <w:tc>
          <w:tcPr>
            <w:tcW w:w="8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25"/>
        </w:trPr>
        <w:tc>
          <w:tcPr>
            <w:tcW w:w="5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r>
      <w:tr>
        <w:trPr>
          <w:trHeight w:val="225"/>
        </w:trPr>
        <w:tc>
          <w:tcPr>
            <w:tcW w:w="5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Sublease income</w:t>
            </w: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(26.8)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r>
      <w:tr>
        <w:trPr>
          <w:trHeight w:val="243"/>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(income) cost</w:t>
            </w:r>
          </w:p>
        </w:tc>
        <w:tc>
          <w:tcPr>
            <w:tcW w:w="86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vertAlign w:val="superscript"/>
        </w:rPr>
        <w:t>(1)</w:t>
      </w:r>
      <w:r>
        <w:rPr>
          <w:rFonts w:ascii="Times New Roman" w:cs="Times New Roman" w:eastAsia="Times New Roman" w:hAnsi="Times New Roman"/>
          <w:sz w:val="14"/>
          <w:szCs w:val="14"/>
          <w:color w:val="auto"/>
        </w:rPr>
        <w:t>Operating lease cost for the three and nine months ended September 30, 2021 previously disclosed as $24.4 million and $74.2 million, respectively, were overstated due to the inclusion of</w:t>
      </w:r>
    </w:p>
    <w:p>
      <w:pPr>
        <w:spacing w:after="0" w:line="48" w:lineRule="exact"/>
        <w:rPr>
          <w:sz w:val="20"/>
          <w:szCs w:val="20"/>
          <w:color w:val="auto"/>
        </w:rPr>
      </w:pPr>
    </w:p>
    <w:p>
      <w:pPr>
        <w:ind w:right="240"/>
        <w:spacing w:after="0" w:line="290" w:lineRule="auto"/>
        <w:rPr>
          <w:sz w:val="20"/>
          <w:szCs w:val="20"/>
          <w:color w:val="auto"/>
        </w:rPr>
      </w:pPr>
      <w:r>
        <w:rPr>
          <w:rFonts w:ascii="Times New Roman" w:cs="Times New Roman" w:eastAsia="Times New Roman" w:hAnsi="Times New Roman"/>
          <w:sz w:val="14"/>
          <w:szCs w:val="14"/>
          <w:color w:val="auto"/>
        </w:rPr>
        <w:t>certain finance lease activity. The correct operating lease cost for the three and nine months ended September 30, 2021 was $20.9 million and $63.3 million, respectively, as reflected in the above table. The overstatement only impacted this note disclosure, and there was no impact to the Consolidated Statement of Comprehensive Income.</w:t>
      </w: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Future minimum lease payments under noncancelable leases as lessee as of September 30, 2022 were as follows:</w:t>
      </w:r>
    </w:p>
    <w:p>
      <w:pPr>
        <w:spacing w:after="0" w:line="127" w:lineRule="exact"/>
        <w:rPr>
          <w:sz w:val="20"/>
          <w:szCs w:val="20"/>
          <w:color w:val="auto"/>
        </w:rPr>
      </w:pPr>
    </w:p>
    <w:tbl>
      <w:tblPr>
        <w:tblLayout w:type="fixed"/>
        <w:tblInd w:w="140" w:type="dxa"/>
        <w:tblCellMar>
          <w:top w:w="0" w:type="dxa"/>
          <w:left w:w="0" w:type="dxa"/>
          <w:bottom w:w="0" w:type="dxa"/>
          <w:right w:w="0" w:type="dxa"/>
        </w:tblCellMar>
      </w:tblPr>
      <w:tr>
        <w:trPr>
          <w:trHeight w:val="161"/>
        </w:trPr>
        <w:tc>
          <w:tcPr>
            <w:tcW w:w="80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40" w:type="dxa"/>
            <w:vAlign w:val="bottom"/>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Operating</w:t>
            </w:r>
          </w:p>
        </w:tc>
      </w:tr>
      <w:tr>
        <w:trPr>
          <w:trHeight w:val="192"/>
        </w:trPr>
        <w:tc>
          <w:tcPr>
            <w:tcW w:w="802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Leases</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Leases</w:t>
            </w:r>
          </w:p>
        </w:tc>
      </w:tr>
      <w:tr>
        <w:trPr>
          <w:trHeight w:val="192"/>
        </w:trPr>
        <w:tc>
          <w:tcPr>
            <w:tcW w:w="80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9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40" w:type="dxa"/>
            <w:vAlign w:val="bottom"/>
          </w:tcPr>
          <w:p>
            <w:pPr>
              <w:spacing w:after="0"/>
              <w:rPr>
                <w:sz w:val="16"/>
                <w:szCs w:val="16"/>
                <w:color w:val="auto"/>
              </w:rPr>
            </w:pPr>
          </w:p>
        </w:tc>
      </w:tr>
      <w:tr>
        <w:trPr>
          <w:trHeight w:val="232"/>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(remaining three months)</w:t>
            </w:r>
          </w:p>
        </w:tc>
        <w:tc>
          <w:tcPr>
            <w:tcW w:w="960" w:type="dxa"/>
            <w:vAlign w:val="bottom"/>
            <w:shd w:val="clear" w:color="auto" w:fill="CCEEFF"/>
          </w:tcPr>
          <w:p>
            <w:pPr>
              <w:jc w:val="right"/>
              <w:ind w:right="76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25"/>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w:t>
            </w: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w:t>
            </w:r>
          </w:p>
        </w:tc>
      </w:tr>
      <w:tr>
        <w:trPr>
          <w:trHeight w:val="225"/>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9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25"/>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61.6</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198.3</w:t>
            </w:r>
          </w:p>
        </w:tc>
      </w:tr>
      <w:tr>
        <w:trPr>
          <w:trHeight w:val="21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100.4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505.4</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interest/imputed interest</w:t>
            </w: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(98.4)</w:t>
            </w:r>
          </w:p>
        </w:tc>
      </w:tr>
      <w:tr>
        <w:trPr>
          <w:trHeight w:val="21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obligations</w:t>
            </w:r>
          </w:p>
        </w:tc>
        <w:tc>
          <w:tcPr>
            <w:tcW w:w="9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407.0</w:t>
            </w:r>
          </w:p>
        </w:tc>
      </w:tr>
      <w:tr>
        <w:trPr>
          <w:trHeight w:val="225"/>
        </w:trPr>
        <w:tc>
          <w:tcPr>
            <w:tcW w:w="8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9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w:t>
            </w:r>
          </w:p>
        </w:tc>
      </w:tr>
      <w:tr>
        <w:trPr>
          <w:trHeight w:val="243"/>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lease obligations</w:t>
            </w:r>
          </w:p>
        </w:tc>
        <w:tc>
          <w:tcPr>
            <w:tcW w:w="960" w:type="dxa"/>
            <w:vAlign w:val="bottom"/>
            <w:tcBorders>
              <w:bottom w:val="single" w:sz="8" w:color="auto"/>
            </w:tcBorders>
            <w:shd w:val="clear" w:color="auto" w:fill="CCEEFF"/>
          </w:tcPr>
          <w:p>
            <w:pPr>
              <w:jc w:val="right"/>
              <w:ind w:right="761"/>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335.8</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 portion of the lease obligations have been included in liabilities held for sale in the Consolidated Balance Sheets.</w:t>
      </w:r>
    </w:p>
    <w:p>
      <w:pPr>
        <w:spacing w:after="0" w:line="244" w:lineRule="exact"/>
        <w:rPr>
          <w:sz w:val="20"/>
          <w:szCs w:val="20"/>
          <w:color w:val="auto"/>
        </w:rPr>
      </w:pPr>
    </w:p>
    <w:p>
      <w:pPr>
        <w:jc w:val="both"/>
        <w:ind w:right="160" w:firstLine="318"/>
        <w:spacing w:after="0" w:line="274" w:lineRule="auto"/>
        <w:rPr>
          <w:sz w:val="20"/>
          <w:szCs w:val="20"/>
          <w:color w:val="auto"/>
        </w:rPr>
      </w:pPr>
      <w:r>
        <w:rPr>
          <w:rFonts w:ascii="Times New Roman" w:cs="Times New Roman" w:eastAsia="Times New Roman" w:hAnsi="Times New Roman"/>
          <w:sz w:val="18"/>
          <w:szCs w:val="18"/>
          <w:color w:val="auto"/>
        </w:rPr>
        <w:t>The weighted average remaining lease term as of September 30, 2022 was 10.0 years for finance leases and 7.2 years for operating leases. The weighted average discount rate as of September 30, 2022 was 9.8% for finance leases and 5.5% for operating leases.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During the three and nine months ended September 30, 2022 and 2021, the Company made the following cash payments for leases:</w:t>
      </w:r>
    </w:p>
    <w:p>
      <w:pPr>
        <w:spacing w:after="0" w:line="47"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 w:type="dxa"/>
            <w:vAlign w:val="bottom"/>
          </w:tcPr>
          <w:p>
            <w:pPr>
              <w:spacing w:after="0"/>
              <w:rPr>
                <w:sz w:val="18"/>
                <w:szCs w:val="18"/>
                <w:color w:val="auto"/>
              </w:rPr>
            </w:pPr>
          </w:p>
        </w:tc>
        <w:tc>
          <w:tcPr>
            <w:tcW w:w="2480" w:type="dxa"/>
            <w:vAlign w:val="bottom"/>
            <w:gridSpan w:val="3"/>
          </w:tcPr>
          <w:p>
            <w:pPr>
              <w:jc w:val="right"/>
              <w:ind w:right="13"/>
              <w:spacing w:after="0"/>
              <w:rPr>
                <w:sz w:val="20"/>
                <w:szCs w:val="20"/>
                <w:color w:val="auto"/>
              </w:rPr>
            </w:pPr>
            <w:r>
              <w:rPr>
                <w:rFonts w:ascii="Times New Roman" w:cs="Times New Roman" w:eastAsia="Times New Roman" w:hAnsi="Times New Roman"/>
                <w:sz w:val="16"/>
                <w:szCs w:val="16"/>
                <w:b w:val="1"/>
                <w:bCs w:val="1"/>
                <w:color w:val="auto"/>
                <w:w w:val="98"/>
              </w:rPr>
              <w:t>Nine Months Ended September 30,</w:t>
            </w:r>
          </w:p>
        </w:tc>
      </w:tr>
      <w:tr>
        <w:trPr>
          <w:trHeight w:val="207"/>
        </w:trPr>
        <w:tc>
          <w:tcPr>
            <w:tcW w:w="542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38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Borders>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2022</w:t>
            </w:r>
          </w:p>
        </w:tc>
        <w:tc>
          <w:tcPr>
            <w:tcW w:w="42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87"/>
        </w:trPr>
        <w:tc>
          <w:tcPr>
            <w:tcW w:w="5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320" w:type="dxa"/>
            <w:vAlign w:val="bottom"/>
            <w:gridSpan w:val="4"/>
          </w:tcPr>
          <w:p>
            <w:pPr>
              <w:jc w:val="right"/>
              <w:ind w:right="83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Principal payments on finance lease obligations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3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7.0</w:t>
            </w:r>
          </w:p>
        </w:tc>
        <w:tc>
          <w:tcPr>
            <w:tcW w:w="4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25"/>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payments on finance lease obligations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3.7</w:t>
            </w:r>
          </w:p>
        </w:tc>
        <w:tc>
          <w:tcPr>
            <w:tcW w:w="4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Payments on operating leases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38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70.0</w:t>
            </w:r>
          </w:p>
        </w:tc>
        <w:tc>
          <w:tcPr>
            <w:tcW w:w="4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r>
      <w:tr>
        <w:trPr>
          <w:trHeight w:val="231"/>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payments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38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5.7</w:t>
            </w:r>
          </w:p>
        </w:tc>
        <w:tc>
          <w:tcPr>
            <w:tcW w:w="4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15" w:name="page16"/>
    <w:bookmarkEnd w:id="15"/>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2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6. Lease Disclosures (Continued)</w:t>
      </w:r>
    </w:p>
    <w:p>
      <w:pPr>
        <w:spacing w:after="0" w:line="200" w:lineRule="exact"/>
        <w:rPr>
          <w:sz w:val="20"/>
          <w:szCs w:val="20"/>
          <w:color w:val="auto"/>
        </w:rPr>
      </w:pPr>
    </w:p>
    <w:p>
      <w:pPr>
        <w:spacing w:after="0" w:line="2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Company's income from operating leases for the three and nine months ended September 30, 2022 and 2021 was as follows:</w:t>
      </w:r>
    </w:p>
    <w:p>
      <w:pPr>
        <w:spacing w:after="0" w:line="47"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960" w:type="dxa"/>
            <w:vAlign w:val="bottom"/>
          </w:tcPr>
          <w:p>
            <w:pPr>
              <w:spacing w:after="0"/>
              <w:rPr>
                <w:sz w:val="18"/>
                <w:szCs w:val="18"/>
                <w:color w:val="auto"/>
              </w:rPr>
            </w:pPr>
          </w:p>
        </w:tc>
        <w:tc>
          <w:tcPr>
            <w:tcW w:w="2900" w:type="dxa"/>
            <w:vAlign w:val="bottom"/>
            <w:gridSpan w:val="6"/>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8"/>
                <w:szCs w:val="18"/>
                <w:color w:val="auto"/>
              </w:rPr>
            </w:pPr>
          </w:p>
        </w:tc>
        <w:tc>
          <w:tcPr>
            <w:tcW w:w="2600" w:type="dxa"/>
            <w:vAlign w:val="bottom"/>
            <w:gridSpan w:val="5"/>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60" w:type="dxa"/>
            <w:vAlign w:val="bottom"/>
          </w:tcPr>
          <w:p>
            <w:pPr>
              <w:spacing w:after="0"/>
              <w:rPr>
                <w:sz w:val="18"/>
                <w:szCs w:val="18"/>
                <w:color w:val="auto"/>
              </w:rPr>
            </w:pPr>
          </w:p>
        </w:tc>
      </w:tr>
      <w:tr>
        <w:trPr>
          <w:trHeight w:val="207"/>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37"/>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2021</w:t>
            </w:r>
          </w:p>
        </w:tc>
        <w:tc>
          <w:tcPr>
            <w:tcW w:w="60" w:type="dxa"/>
            <w:vAlign w:val="bottom"/>
          </w:tcPr>
          <w:p>
            <w:pPr>
              <w:spacing w:after="0"/>
              <w:rPr>
                <w:sz w:val="17"/>
                <w:szCs w:val="17"/>
                <w:color w:val="auto"/>
              </w:rPr>
            </w:pPr>
          </w:p>
        </w:tc>
      </w:tr>
      <w:tr>
        <w:trPr>
          <w:trHeight w:val="187"/>
        </w:trPr>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20" w:type="dxa"/>
            <w:vAlign w:val="bottom"/>
            <w:gridSpan w:val="4"/>
          </w:tcPr>
          <w:p>
            <w:pPr>
              <w:jc w:val="right"/>
              <w:ind w:right="101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2"/>
        </w:trPr>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Minimum lease payments</w:t>
            </w: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60" w:type="dxa"/>
            <w:vAlign w:val="bottom"/>
          </w:tcPr>
          <w:p>
            <w:pPr>
              <w:spacing w:after="0"/>
              <w:rPr>
                <w:sz w:val="20"/>
                <w:szCs w:val="20"/>
                <w:color w:val="auto"/>
              </w:rPr>
            </w:pPr>
          </w:p>
        </w:tc>
      </w:tr>
      <w:tr>
        <w:trPr>
          <w:trHeight w:val="225"/>
        </w:trPr>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Variable lease income</w:t>
            </w:r>
          </w:p>
        </w:tc>
        <w:tc>
          <w:tcPr>
            <w:tcW w:w="9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60" w:type="dxa"/>
            <w:vAlign w:val="bottom"/>
          </w:tcPr>
          <w:p>
            <w:pPr>
              <w:spacing w:after="0"/>
              <w:rPr>
                <w:sz w:val="19"/>
                <w:szCs w:val="19"/>
                <w:color w:val="auto"/>
              </w:rPr>
            </w:pPr>
          </w:p>
        </w:tc>
      </w:tr>
      <w:tr>
        <w:trPr>
          <w:trHeight w:val="244"/>
        </w:trPr>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income</w:t>
            </w:r>
          </w:p>
        </w:tc>
        <w:tc>
          <w:tcPr>
            <w:tcW w:w="920" w:type="dxa"/>
            <w:vAlign w:val="bottom"/>
            <w:tcBorders>
              <w:bottom w:val="single" w:sz="8" w:color="auto"/>
            </w:tcBorders>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82.8</w:t>
            </w:r>
          </w:p>
        </w:tc>
        <w:tc>
          <w:tcPr>
            <w:tcW w:w="60" w:type="dxa"/>
            <w:vAlign w:val="bottom"/>
          </w:tcPr>
          <w:p>
            <w:pPr>
              <w:spacing w:after="0"/>
              <w:rPr>
                <w:sz w:val="20"/>
                <w:szCs w:val="20"/>
                <w:color w:val="auto"/>
              </w:rPr>
            </w:pPr>
          </w:p>
        </w:tc>
      </w:tr>
      <w:tr>
        <w:trPr>
          <w:trHeight w:val="20"/>
        </w:trPr>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30"/>
        </w:trPr>
        <w:tc>
          <w:tcPr>
            <w:tcW w:w="9420" w:type="dxa"/>
            <w:vAlign w:val="bottom"/>
            <w:gridSpan w:val="11"/>
          </w:tcPr>
          <w:p>
            <w:pPr>
              <w:jc w:val="right"/>
              <w:ind w:right="495"/>
              <w:spacing w:after="0"/>
              <w:rPr>
                <w:sz w:val="20"/>
                <w:szCs w:val="20"/>
                <w:color w:val="auto"/>
              </w:rPr>
            </w:pPr>
            <w:r>
              <w:rPr>
                <w:rFonts w:ascii="Times New Roman" w:cs="Times New Roman" w:eastAsia="Times New Roman" w:hAnsi="Times New Roman"/>
                <w:sz w:val="18"/>
                <w:szCs w:val="18"/>
                <w:color w:val="auto"/>
                <w:w w:val="97"/>
              </w:rPr>
              <w:t>Minimum payments to be received as lessor under noncancelable operating leases as of September 30, 2022 were as follows:</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0"/>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0" w:type="dxa"/>
            <w:vAlign w:val="bottom"/>
          </w:tcPr>
          <w:p>
            <w:pPr>
              <w:spacing w:after="0"/>
              <w:rPr>
                <w:sz w:val="17"/>
                <w:szCs w:val="17"/>
                <w:color w:val="auto"/>
              </w:rPr>
            </w:pPr>
          </w:p>
        </w:tc>
      </w:tr>
      <w:tr>
        <w:trPr>
          <w:trHeight w:val="24"/>
        </w:trPr>
        <w:tc>
          <w:tcPr>
            <w:tcW w:w="120" w:type="dxa"/>
            <w:vAlign w:val="bottom"/>
          </w:tcPr>
          <w:p>
            <w:pPr>
              <w:spacing w:after="0"/>
              <w:rPr>
                <w:sz w:val="2"/>
                <w:szCs w:val="2"/>
                <w:color w:val="auto"/>
              </w:rPr>
            </w:pPr>
          </w:p>
        </w:tc>
        <w:tc>
          <w:tcPr>
            <w:tcW w:w="502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0" w:type="dxa"/>
            <w:vAlign w:val="bottom"/>
          </w:tcPr>
          <w:p>
            <w:pPr>
              <w:spacing w:after="0"/>
              <w:rPr>
                <w:sz w:val="2"/>
                <w:szCs w:val="2"/>
                <w:color w:val="auto"/>
              </w:rPr>
            </w:pPr>
          </w:p>
        </w:tc>
      </w:tr>
      <w:tr>
        <w:trPr>
          <w:trHeight w:val="225"/>
        </w:trPr>
        <w:tc>
          <w:tcPr>
            <w:tcW w:w="120" w:type="dxa"/>
            <w:vAlign w:val="bottom"/>
          </w:tcPr>
          <w:p>
            <w:pPr>
              <w:spacing w:after="0"/>
              <w:rPr>
                <w:sz w:val="19"/>
                <w:szCs w:val="19"/>
                <w:color w:val="auto"/>
              </w:rPr>
            </w:pPr>
          </w:p>
        </w:tc>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(remaining three months)</w:t>
            </w: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60" w:type="dxa"/>
            <w:vAlign w:val="bottom"/>
            <w:shd w:val="clear" w:color="auto" w:fill="CCEEFF"/>
          </w:tcPr>
          <w:p>
            <w:pPr>
              <w:spacing w:after="0"/>
              <w:rPr>
                <w:sz w:val="19"/>
                <w:szCs w:val="19"/>
                <w:color w:val="auto"/>
              </w:rPr>
            </w:pPr>
          </w:p>
        </w:tc>
      </w:tr>
      <w:tr>
        <w:trPr>
          <w:trHeight w:val="225"/>
        </w:trPr>
        <w:tc>
          <w:tcPr>
            <w:tcW w:w="120" w:type="dxa"/>
            <w:vAlign w:val="bottom"/>
          </w:tcPr>
          <w:p>
            <w:pPr>
              <w:spacing w:after="0"/>
              <w:rPr>
                <w:sz w:val="19"/>
                <w:szCs w:val="19"/>
                <w:color w:val="auto"/>
              </w:rPr>
            </w:pPr>
          </w:p>
        </w:tc>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60" w:type="dxa"/>
            <w:vAlign w:val="bottom"/>
          </w:tcPr>
          <w:p>
            <w:pPr>
              <w:spacing w:after="0"/>
              <w:rPr>
                <w:sz w:val="19"/>
                <w:szCs w:val="19"/>
                <w:color w:val="auto"/>
              </w:rPr>
            </w:pPr>
          </w:p>
        </w:tc>
      </w:tr>
      <w:tr>
        <w:trPr>
          <w:trHeight w:val="225"/>
        </w:trPr>
        <w:tc>
          <w:tcPr>
            <w:tcW w:w="120" w:type="dxa"/>
            <w:vAlign w:val="bottom"/>
          </w:tcPr>
          <w:p>
            <w:pPr>
              <w:spacing w:after="0"/>
              <w:rPr>
                <w:sz w:val="19"/>
                <w:szCs w:val="19"/>
                <w:color w:val="auto"/>
              </w:rPr>
            </w:pPr>
          </w:p>
        </w:tc>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60" w:type="dxa"/>
            <w:vAlign w:val="bottom"/>
            <w:shd w:val="clear" w:color="auto" w:fill="CCEEFF"/>
          </w:tcPr>
          <w:p>
            <w:pPr>
              <w:spacing w:after="0"/>
              <w:rPr>
                <w:sz w:val="19"/>
                <w:szCs w:val="19"/>
                <w:color w:val="auto"/>
              </w:rPr>
            </w:pPr>
          </w:p>
        </w:tc>
      </w:tr>
      <w:tr>
        <w:trPr>
          <w:trHeight w:val="225"/>
        </w:trPr>
        <w:tc>
          <w:tcPr>
            <w:tcW w:w="120" w:type="dxa"/>
            <w:vAlign w:val="bottom"/>
          </w:tcPr>
          <w:p>
            <w:pPr>
              <w:spacing w:after="0"/>
              <w:rPr>
                <w:sz w:val="19"/>
                <w:szCs w:val="19"/>
                <w:color w:val="auto"/>
              </w:rPr>
            </w:pPr>
          </w:p>
        </w:tc>
        <w:tc>
          <w:tcPr>
            <w:tcW w:w="5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60" w:type="dxa"/>
            <w:vAlign w:val="bottom"/>
          </w:tcPr>
          <w:p>
            <w:pPr>
              <w:spacing w:after="0"/>
              <w:rPr>
                <w:sz w:val="19"/>
                <w:szCs w:val="19"/>
                <w:color w:val="auto"/>
              </w:rPr>
            </w:pPr>
          </w:p>
        </w:tc>
      </w:tr>
      <w:tr>
        <w:trPr>
          <w:trHeight w:val="225"/>
        </w:trPr>
        <w:tc>
          <w:tcPr>
            <w:tcW w:w="120" w:type="dxa"/>
            <w:vAlign w:val="bottom"/>
          </w:tcPr>
          <w:p>
            <w:pPr>
              <w:spacing w:after="0"/>
              <w:rPr>
                <w:sz w:val="19"/>
                <w:szCs w:val="19"/>
                <w:color w:val="auto"/>
              </w:rPr>
            </w:pPr>
          </w:p>
        </w:tc>
        <w:tc>
          <w:tcPr>
            <w:tcW w:w="50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w:t>
            </w:r>
          </w:p>
        </w:tc>
        <w:tc>
          <w:tcPr>
            <w:tcW w:w="60" w:type="dxa"/>
            <w:vAlign w:val="bottom"/>
            <w:shd w:val="clear" w:color="auto" w:fill="CCEEFF"/>
          </w:tcPr>
          <w:p>
            <w:pPr>
              <w:spacing w:after="0"/>
              <w:rPr>
                <w:sz w:val="19"/>
                <w:szCs w:val="19"/>
                <w:color w:val="auto"/>
              </w:rPr>
            </w:pPr>
          </w:p>
        </w:tc>
      </w:tr>
      <w:tr>
        <w:trPr>
          <w:trHeight w:val="225"/>
        </w:trPr>
        <w:tc>
          <w:tcPr>
            <w:tcW w:w="120" w:type="dxa"/>
            <w:vAlign w:val="bottom"/>
          </w:tcPr>
          <w:p>
            <w:pPr>
              <w:spacing w:after="0"/>
              <w:rPr>
                <w:sz w:val="19"/>
                <w:szCs w:val="19"/>
                <w:color w:val="auto"/>
              </w:rPr>
            </w:pPr>
          </w:p>
        </w:tc>
        <w:tc>
          <w:tcPr>
            <w:tcW w:w="50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9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60" w:type="dxa"/>
            <w:vAlign w:val="bottom"/>
            <w:tcBorders>
              <w:bottom w:val="single" w:sz="8" w:color="auto"/>
            </w:tcBorders>
          </w:tcPr>
          <w:p>
            <w:pPr>
              <w:spacing w:after="0"/>
              <w:rPr>
                <w:sz w:val="19"/>
                <w:szCs w:val="19"/>
                <w:color w:val="auto"/>
              </w:rPr>
            </w:pPr>
          </w:p>
        </w:tc>
      </w:tr>
      <w:tr>
        <w:trPr>
          <w:trHeight w:val="244"/>
        </w:trPr>
        <w:tc>
          <w:tcPr>
            <w:tcW w:w="120" w:type="dxa"/>
            <w:vAlign w:val="bottom"/>
          </w:tcPr>
          <w:p>
            <w:pPr>
              <w:spacing w:after="0"/>
              <w:rPr>
                <w:sz w:val="20"/>
                <w:szCs w:val="20"/>
                <w:color w:val="auto"/>
              </w:rPr>
            </w:pPr>
          </w:p>
        </w:tc>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minimum rents receivable</w:t>
            </w:r>
          </w:p>
        </w:tc>
        <w:tc>
          <w:tcPr>
            <w:tcW w:w="9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524.9</w:t>
            </w:r>
          </w:p>
        </w:tc>
        <w:tc>
          <w:tcPr>
            <w:tcW w:w="60" w:type="dxa"/>
            <w:vAlign w:val="bottom"/>
            <w:tcBorders>
              <w:bottom w:val="single" w:sz="8" w:color="auto"/>
            </w:tcBorders>
            <w:shd w:val="clear" w:color="auto" w:fill="CCEEFF"/>
          </w:tcPr>
          <w:p>
            <w:pPr>
              <w:spacing w:after="0"/>
              <w:rPr>
                <w:sz w:val="20"/>
                <w:szCs w:val="20"/>
                <w:color w:val="auto"/>
              </w:rPr>
            </w:pPr>
          </w:p>
        </w:tc>
      </w:tr>
      <w:tr>
        <w:trPr>
          <w:trHeight w:val="20"/>
        </w:trPr>
        <w:tc>
          <w:tcPr>
            <w:tcW w:w="120" w:type="dxa"/>
            <w:vAlign w:val="bottom"/>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Company's income from real estate leases receivables for the three and nine months ended September 30, 2022 and 2021 was as follows:</w:t>
      </w:r>
    </w:p>
    <w:p>
      <w:pPr>
        <w:spacing w:after="0" w:line="47"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2820" w:type="dxa"/>
            <w:vAlign w:val="bottom"/>
            <w:gridSpan w:val="6"/>
          </w:tcPr>
          <w:p>
            <w:pPr>
              <w:ind w:left="1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2640" w:type="dxa"/>
            <w:vAlign w:val="bottom"/>
            <w:gridSpan w:val="4"/>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7"/>
        </w:trPr>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ind w:right="36"/>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36"/>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5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4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Pr>
          <w:p>
            <w:pPr>
              <w:spacing w:after="0"/>
              <w:rPr>
                <w:sz w:val="17"/>
                <w:szCs w:val="17"/>
                <w:color w:val="auto"/>
              </w:rPr>
            </w:pPr>
          </w:p>
        </w:tc>
      </w:tr>
      <w:tr>
        <w:trPr>
          <w:trHeight w:val="187"/>
        </w:trPr>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9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500" w:type="dxa"/>
            <w:vAlign w:val="bottom"/>
            <w:gridSpan w:val="4"/>
          </w:tcPr>
          <w:p>
            <w:pPr>
              <w:jc w:val="right"/>
              <w:ind w:right="95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2"/>
        </w:trPr>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0" w:type="dxa"/>
            <w:vAlign w:val="bottom"/>
          </w:tcPr>
          <w:p>
            <w:pPr>
              <w:spacing w:after="0"/>
              <w:rPr>
                <w:sz w:val="20"/>
                <w:szCs w:val="20"/>
                <w:color w:val="auto"/>
              </w:rPr>
            </w:pPr>
          </w:p>
        </w:tc>
      </w:tr>
      <w:tr>
        <w:trPr>
          <w:trHeight w:val="225"/>
        </w:trPr>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Variable lease income</w:t>
            </w:r>
          </w:p>
        </w:tc>
        <w:tc>
          <w:tcPr>
            <w:tcW w:w="9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jc w:val="right"/>
              <w:ind w:right="115"/>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40" w:type="dxa"/>
            <w:vAlign w:val="bottom"/>
          </w:tcPr>
          <w:p>
            <w:pPr>
              <w:spacing w:after="0"/>
              <w:rPr>
                <w:sz w:val="19"/>
                <w:szCs w:val="19"/>
                <w:color w:val="auto"/>
              </w:rPr>
            </w:pPr>
          </w:p>
        </w:tc>
      </w:tr>
      <w:tr>
        <w:trPr>
          <w:trHeight w:val="225"/>
        </w:trPr>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profit</w:t>
            </w: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1.0</w:t>
            </w: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 w:type="dxa"/>
            <w:vAlign w:val="bottom"/>
          </w:tcPr>
          <w:p>
            <w:pPr>
              <w:spacing w:after="0"/>
              <w:rPr>
                <w:sz w:val="19"/>
                <w:szCs w:val="19"/>
                <w:color w:val="auto"/>
              </w:rPr>
            </w:pPr>
          </w:p>
        </w:tc>
      </w:tr>
      <w:tr>
        <w:trPr>
          <w:trHeight w:val="219"/>
        </w:trPr>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real estate lease income</w:t>
            </w:r>
          </w:p>
        </w:tc>
        <w:tc>
          <w:tcPr>
            <w:tcW w:w="920" w:type="dxa"/>
            <w:vAlign w:val="bottom"/>
            <w:tcBorders>
              <w:top w:val="single" w:sz="8" w:color="auto"/>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tcPr>
          <w:p>
            <w:pPr>
              <w:jc w:val="right"/>
              <w:ind w:right="115"/>
              <w:spacing w:after="0"/>
              <w:rPr>
                <w:sz w:val="20"/>
                <w:szCs w:val="20"/>
                <w:color w:val="auto"/>
              </w:rPr>
            </w:pPr>
            <w:r>
              <w:rPr>
                <w:rFonts w:ascii="Times New Roman" w:cs="Times New Roman" w:eastAsia="Times New Roman" w:hAnsi="Times New Roman"/>
                <w:sz w:val="18"/>
                <w:szCs w:val="18"/>
                <w:color w:val="auto"/>
              </w:rPr>
              <w:t>2.6</w:t>
            </w:r>
          </w:p>
        </w:tc>
        <w:tc>
          <w:tcPr>
            <w:tcW w:w="240" w:type="dxa"/>
            <w:vAlign w:val="bottom"/>
            <w:tcBorders>
              <w:top w:val="single" w:sz="8" w:color="auto"/>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tcPr>
          <w:p>
            <w:pPr>
              <w:spacing w:after="0"/>
              <w:rPr>
                <w:sz w:val="19"/>
                <w:szCs w:val="19"/>
                <w:color w:val="auto"/>
              </w:rPr>
            </w:pPr>
          </w:p>
        </w:tc>
      </w:tr>
      <w:tr>
        <w:trPr>
          <w:trHeight w:val="20"/>
        </w:trPr>
        <w:tc>
          <w:tcPr>
            <w:tcW w:w="140" w:type="dxa"/>
            <w:vAlign w:val="bottom"/>
          </w:tcPr>
          <w:p>
            <w:pPr>
              <w:spacing w:after="0" w:line="20" w:lineRule="exact"/>
              <w:rPr>
                <w:sz w:val="1"/>
                <w:szCs w:val="1"/>
                <w:color w:val="auto"/>
              </w:rPr>
            </w:pPr>
          </w:p>
        </w:tc>
        <w:tc>
          <w:tcPr>
            <w:tcW w:w="5040" w:type="dxa"/>
            <w:vAlign w:val="bottom"/>
            <w:gridSpan w:val="2"/>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50"/>
        </w:trPr>
        <w:tc>
          <w:tcPr>
            <w:tcW w:w="9380" w:type="dxa"/>
            <w:vAlign w:val="bottom"/>
            <w:gridSpan w:val="11"/>
          </w:tcPr>
          <w:p>
            <w:pPr>
              <w:jc w:val="right"/>
              <w:ind w:right="415"/>
              <w:spacing w:after="0"/>
              <w:rPr>
                <w:sz w:val="20"/>
                <w:szCs w:val="20"/>
                <w:color w:val="auto"/>
              </w:rPr>
            </w:pPr>
            <w:r>
              <w:rPr>
                <w:rFonts w:ascii="Times New Roman" w:cs="Times New Roman" w:eastAsia="Times New Roman" w:hAnsi="Times New Roman"/>
                <w:sz w:val="18"/>
                <w:szCs w:val="18"/>
                <w:color w:val="auto"/>
                <w:w w:val="97"/>
              </w:rPr>
              <w:t>Minimum payments to be received as lessor under noncancelable real estate leases as of September 30, 2022 were as follows:</w:t>
            </w: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0"/>
        </w:trPr>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9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4"/>
        </w:trPr>
        <w:tc>
          <w:tcPr>
            <w:tcW w:w="140" w:type="dxa"/>
            <w:vAlign w:val="bottom"/>
          </w:tcPr>
          <w:p>
            <w:pPr>
              <w:spacing w:after="0"/>
              <w:rPr>
                <w:sz w:val="2"/>
                <w:szCs w:val="2"/>
                <w:color w:val="auto"/>
              </w:rPr>
            </w:pPr>
          </w:p>
        </w:tc>
        <w:tc>
          <w:tcPr>
            <w:tcW w:w="5040" w:type="dxa"/>
            <w:vAlign w:val="bottom"/>
            <w:gridSpan w:val="2"/>
          </w:tcPr>
          <w:p>
            <w:pPr>
              <w:spacing w:after="0"/>
              <w:rPr>
                <w:sz w:val="2"/>
                <w:szCs w:val="2"/>
                <w:color w:val="auto"/>
              </w:rPr>
            </w:pPr>
          </w:p>
        </w:tc>
        <w:tc>
          <w:tcPr>
            <w:tcW w:w="9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225"/>
        </w:trPr>
        <w:tc>
          <w:tcPr>
            <w:tcW w:w="140" w:type="dxa"/>
            <w:vAlign w:val="bottom"/>
          </w:tcPr>
          <w:p>
            <w:pPr>
              <w:spacing w:after="0"/>
              <w:rPr>
                <w:sz w:val="19"/>
                <w:szCs w:val="19"/>
                <w:color w:val="auto"/>
              </w:rPr>
            </w:pPr>
          </w:p>
        </w:tc>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2022 (remaining three months)</w:t>
            </w: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shd w:val="clear" w:color="auto" w:fill="CCEEFF"/>
          </w:tcPr>
          <w:p>
            <w:pPr>
              <w:spacing w:after="0"/>
              <w:rPr>
                <w:sz w:val="19"/>
                <w:szCs w:val="19"/>
                <w:color w:val="auto"/>
              </w:rPr>
            </w:pPr>
          </w:p>
        </w:tc>
      </w:tr>
      <w:tr>
        <w:trPr>
          <w:trHeight w:val="225"/>
        </w:trPr>
        <w:tc>
          <w:tcPr>
            <w:tcW w:w="140" w:type="dxa"/>
            <w:vAlign w:val="bottom"/>
          </w:tcPr>
          <w:p>
            <w:pPr>
              <w:spacing w:after="0"/>
              <w:rPr>
                <w:sz w:val="19"/>
                <w:szCs w:val="19"/>
                <w:color w:val="auto"/>
              </w:rPr>
            </w:pPr>
          </w:p>
        </w:tc>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2023</w:t>
            </w: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0" w:type="dxa"/>
            <w:vAlign w:val="bottom"/>
          </w:tcPr>
          <w:p>
            <w:pPr>
              <w:spacing w:after="0"/>
              <w:rPr>
                <w:sz w:val="19"/>
                <w:szCs w:val="19"/>
                <w:color w:val="auto"/>
              </w:rPr>
            </w:pPr>
          </w:p>
        </w:tc>
      </w:tr>
      <w:tr>
        <w:trPr>
          <w:trHeight w:val="225"/>
        </w:trPr>
        <w:tc>
          <w:tcPr>
            <w:tcW w:w="140" w:type="dxa"/>
            <w:vAlign w:val="bottom"/>
          </w:tcPr>
          <w:p>
            <w:pPr>
              <w:spacing w:after="0"/>
              <w:rPr>
                <w:sz w:val="19"/>
                <w:szCs w:val="19"/>
                <w:color w:val="auto"/>
              </w:rPr>
            </w:pPr>
          </w:p>
        </w:tc>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2024</w:t>
            </w: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shd w:val="clear" w:color="auto" w:fill="CCEEFF"/>
          </w:tcPr>
          <w:p>
            <w:pPr>
              <w:spacing w:after="0"/>
              <w:rPr>
                <w:sz w:val="19"/>
                <w:szCs w:val="19"/>
                <w:color w:val="auto"/>
              </w:rPr>
            </w:pPr>
          </w:p>
        </w:tc>
      </w:tr>
      <w:tr>
        <w:trPr>
          <w:trHeight w:val="225"/>
        </w:trPr>
        <w:tc>
          <w:tcPr>
            <w:tcW w:w="140" w:type="dxa"/>
            <w:vAlign w:val="bottom"/>
          </w:tcPr>
          <w:p>
            <w:pPr>
              <w:spacing w:after="0"/>
              <w:rPr>
                <w:sz w:val="19"/>
                <w:szCs w:val="19"/>
                <w:color w:val="auto"/>
              </w:rPr>
            </w:pPr>
          </w:p>
        </w:tc>
        <w:tc>
          <w:tcPr>
            <w:tcW w:w="5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tcPr>
          <w:p>
            <w:pPr>
              <w:spacing w:after="0"/>
              <w:rPr>
                <w:sz w:val="19"/>
                <w:szCs w:val="19"/>
                <w:color w:val="auto"/>
              </w:rPr>
            </w:pPr>
          </w:p>
        </w:tc>
      </w:tr>
      <w:tr>
        <w:trPr>
          <w:trHeight w:val="225"/>
        </w:trPr>
        <w:tc>
          <w:tcPr>
            <w:tcW w:w="140" w:type="dxa"/>
            <w:vAlign w:val="bottom"/>
          </w:tcPr>
          <w:p>
            <w:pPr>
              <w:spacing w:after="0"/>
              <w:rPr>
                <w:sz w:val="19"/>
                <w:szCs w:val="19"/>
                <w:color w:val="auto"/>
              </w:rPr>
            </w:pPr>
          </w:p>
        </w:tc>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40" w:type="dxa"/>
            <w:vAlign w:val="bottom"/>
            <w:shd w:val="clear" w:color="auto" w:fill="CCEEFF"/>
          </w:tcPr>
          <w:p>
            <w:pPr>
              <w:spacing w:after="0"/>
              <w:rPr>
                <w:sz w:val="19"/>
                <w:szCs w:val="19"/>
                <w:color w:val="auto"/>
              </w:rPr>
            </w:pPr>
          </w:p>
        </w:tc>
      </w:tr>
      <w:tr>
        <w:trPr>
          <w:trHeight w:val="225"/>
        </w:trPr>
        <w:tc>
          <w:tcPr>
            <w:tcW w:w="140" w:type="dxa"/>
            <w:vAlign w:val="bottom"/>
          </w:tcPr>
          <w:p>
            <w:pPr>
              <w:spacing w:after="0"/>
              <w:rPr>
                <w:sz w:val="19"/>
                <w:szCs w:val="19"/>
                <w:color w:val="auto"/>
              </w:rPr>
            </w:pPr>
          </w:p>
        </w:tc>
        <w:tc>
          <w:tcPr>
            <w:tcW w:w="5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9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40" w:type="dxa"/>
            <w:vAlign w:val="bottom"/>
            <w:tcBorders>
              <w:bottom w:val="single" w:sz="8" w:color="auto"/>
            </w:tcBorders>
          </w:tcPr>
          <w:p>
            <w:pPr>
              <w:spacing w:after="0"/>
              <w:rPr>
                <w:sz w:val="19"/>
                <w:szCs w:val="19"/>
                <w:color w:val="auto"/>
              </w:rPr>
            </w:pPr>
          </w:p>
        </w:tc>
      </w:tr>
      <w:tr>
        <w:trPr>
          <w:trHeight w:val="219"/>
        </w:trPr>
        <w:tc>
          <w:tcPr>
            <w:tcW w:w="140" w:type="dxa"/>
            <w:vAlign w:val="bottom"/>
          </w:tcPr>
          <w:p>
            <w:pPr>
              <w:spacing w:after="0"/>
              <w:rPr>
                <w:sz w:val="19"/>
                <w:szCs w:val="19"/>
                <w:color w:val="auto"/>
              </w:rPr>
            </w:pPr>
          </w:p>
        </w:tc>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minimum rents receivable</w:t>
            </w: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40" w:type="dxa"/>
            <w:vAlign w:val="bottom"/>
            <w:shd w:val="clear" w:color="auto" w:fill="CCEEFF"/>
          </w:tcPr>
          <w:p>
            <w:pPr>
              <w:spacing w:after="0"/>
              <w:rPr>
                <w:sz w:val="19"/>
                <w:szCs w:val="19"/>
                <w:color w:val="auto"/>
              </w:rPr>
            </w:pPr>
          </w:p>
        </w:tc>
      </w:tr>
      <w:tr>
        <w:trPr>
          <w:trHeight w:val="225"/>
        </w:trPr>
        <w:tc>
          <w:tcPr>
            <w:tcW w:w="140" w:type="dxa"/>
            <w:vAlign w:val="bottom"/>
          </w:tcPr>
          <w:p>
            <w:pPr>
              <w:spacing w:after="0"/>
              <w:rPr>
                <w:sz w:val="19"/>
                <w:szCs w:val="19"/>
                <w:color w:val="auto"/>
              </w:rPr>
            </w:pPr>
          </w:p>
        </w:tc>
        <w:tc>
          <w:tcPr>
            <w:tcW w:w="5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unearned income</w:t>
            </w:r>
          </w:p>
        </w:tc>
        <w:tc>
          <w:tcPr>
            <w:tcW w:w="9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w:t>
            </w:r>
          </w:p>
        </w:tc>
      </w:tr>
      <w:tr>
        <w:trPr>
          <w:trHeight w:val="219"/>
        </w:trPr>
        <w:tc>
          <w:tcPr>
            <w:tcW w:w="140" w:type="dxa"/>
            <w:vAlign w:val="bottom"/>
          </w:tcPr>
          <w:p>
            <w:pPr>
              <w:spacing w:after="0"/>
              <w:rPr>
                <w:sz w:val="19"/>
                <w:szCs w:val="19"/>
                <w:color w:val="auto"/>
              </w:rPr>
            </w:pPr>
          </w:p>
        </w:tc>
        <w:tc>
          <w:tcPr>
            <w:tcW w:w="5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investment in real estate leases</w:t>
            </w:r>
          </w:p>
        </w:tc>
        <w:tc>
          <w:tcPr>
            <w:tcW w:w="9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40" w:type="dxa"/>
            <w:vAlign w:val="bottom"/>
            <w:shd w:val="clear" w:color="auto" w:fill="CCEEFF"/>
          </w:tcPr>
          <w:p>
            <w:pPr>
              <w:spacing w:after="0"/>
              <w:rPr>
                <w:sz w:val="19"/>
                <w:szCs w:val="19"/>
                <w:color w:val="auto"/>
              </w:rPr>
            </w:pPr>
          </w:p>
        </w:tc>
      </w:tr>
      <w:tr>
        <w:trPr>
          <w:trHeight w:val="225"/>
        </w:trPr>
        <w:tc>
          <w:tcPr>
            <w:tcW w:w="140" w:type="dxa"/>
            <w:vAlign w:val="bottom"/>
          </w:tcPr>
          <w:p>
            <w:pPr>
              <w:spacing w:after="0"/>
              <w:rPr>
                <w:sz w:val="19"/>
                <w:szCs w:val="19"/>
                <w:color w:val="auto"/>
              </w:rPr>
            </w:pPr>
          </w:p>
        </w:tc>
        <w:tc>
          <w:tcPr>
            <w:tcW w:w="50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Less: current portion</w:t>
            </w:r>
          </w:p>
        </w:tc>
        <w:tc>
          <w:tcPr>
            <w:tcW w:w="920" w:type="dxa"/>
            <w:vAlign w:val="bottom"/>
            <w:tcBorders>
              <w:bottom w:val="single" w:sz="8" w:color="CCEEFF"/>
            </w:tcBorders>
          </w:tcPr>
          <w:p>
            <w:pPr>
              <w:spacing w:after="0"/>
              <w:rPr>
                <w:sz w:val="19"/>
                <w:szCs w:val="19"/>
                <w:color w:val="auto"/>
              </w:rPr>
            </w:pPr>
          </w:p>
        </w:tc>
        <w:tc>
          <w:tcPr>
            <w:tcW w:w="4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0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r>
      <w:tr>
        <w:trPr>
          <w:trHeight w:val="244"/>
        </w:trPr>
        <w:tc>
          <w:tcPr>
            <w:tcW w:w="140" w:type="dxa"/>
            <w:vAlign w:val="bottom"/>
          </w:tcPr>
          <w:p>
            <w:pPr>
              <w:spacing w:after="0"/>
              <w:rPr>
                <w:sz w:val="20"/>
                <w:szCs w:val="20"/>
                <w:color w:val="auto"/>
              </w:rPr>
            </w:pPr>
          </w:p>
        </w:tc>
        <w:tc>
          <w:tcPr>
            <w:tcW w:w="5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investment in real estate leases</w:t>
            </w:r>
          </w:p>
        </w:tc>
        <w:tc>
          <w:tcPr>
            <w:tcW w:w="9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40" w:type="dxa"/>
            <w:vAlign w:val="bottom"/>
            <w:tcBorders>
              <w:bottom w:val="single" w:sz="8" w:color="auto"/>
            </w:tcBorders>
            <w:shd w:val="clear" w:color="auto" w:fill="CCEEFF"/>
          </w:tcPr>
          <w:p>
            <w:pPr>
              <w:spacing w:after="0"/>
              <w:rPr>
                <w:sz w:val="20"/>
                <w:szCs w:val="20"/>
                <w:color w:val="auto"/>
              </w:rPr>
            </w:pPr>
          </w:p>
        </w:tc>
      </w:tr>
      <w:tr>
        <w:trPr>
          <w:trHeight w:val="20"/>
        </w:trPr>
        <w:tc>
          <w:tcPr>
            <w:tcW w:w="140" w:type="dxa"/>
            <w:vAlign w:val="bottom"/>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9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40"/>
          </w:cols>
          <w:pgMar w:left="320" w:top="358" w:right="4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Long-Term Debt</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At September 30, 2022 and December 31, 2021, long-term debt consisted of the following:</w:t>
      </w:r>
    </w:p>
    <w:p>
      <w:pPr>
        <w:spacing w:after="0" w:line="47"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10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5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September 30, 2022</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w w:val="97"/>
              </w:rPr>
              <w:t>December 31, 2021</w:t>
            </w:r>
          </w:p>
        </w:tc>
      </w:tr>
      <w:tr>
        <w:trPr>
          <w:trHeight w:val="188"/>
        </w:trPr>
        <w:tc>
          <w:tcPr>
            <w:tcW w:w="10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520" w:type="dxa"/>
            <w:vAlign w:val="bottom"/>
          </w:tcPr>
          <w:p>
            <w:pPr>
              <w:spacing w:after="0"/>
              <w:rPr>
                <w:sz w:val="16"/>
                <w:szCs w:val="16"/>
                <w:color w:val="auto"/>
              </w:rPr>
            </w:pPr>
          </w:p>
        </w:tc>
      </w:tr>
      <w:tr>
        <w:trPr>
          <w:trHeight w:val="232"/>
        </w:trPr>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Series 2019-1</w:t>
            </w:r>
          </w:p>
        </w:tc>
        <w:tc>
          <w:tcPr>
            <w:tcW w:w="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7"/>
              </w:rPr>
              <w:t>4.194%</w:t>
            </w:r>
          </w:p>
        </w:tc>
        <w:tc>
          <w:tcPr>
            <w:tcW w:w="55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Rate Senior Secured Notes, Class A-2-I</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693.0</w:t>
            </w:r>
          </w:p>
        </w:tc>
      </w:tr>
      <w:tr>
        <w:trPr>
          <w:trHeight w:val="225"/>
        </w:trPr>
        <w:tc>
          <w:tcPr>
            <w:tcW w:w="10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Series 2019-1</w:t>
            </w:r>
          </w:p>
        </w:tc>
        <w:tc>
          <w:tcPr>
            <w:tcW w:w="5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7"/>
              </w:rPr>
              <w:t>4.723%</w:t>
            </w:r>
          </w:p>
        </w:tc>
        <w:tc>
          <w:tcPr>
            <w:tcW w:w="5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Fixed Rate Senior Secured Notes, Class A-2-II</w:t>
            </w:r>
          </w:p>
        </w:tc>
        <w:tc>
          <w:tcPr>
            <w:tcW w:w="2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594.0</w:t>
            </w:r>
          </w:p>
        </w:tc>
      </w:tr>
      <w:tr>
        <w:trPr>
          <w:trHeight w:val="225"/>
        </w:trPr>
        <w:tc>
          <w:tcPr>
            <w:tcW w:w="1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8"/>
              </w:rPr>
              <w:t>Series 2022-1</w:t>
            </w:r>
          </w:p>
        </w:tc>
        <w:tc>
          <w:tcPr>
            <w:tcW w:w="6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Variable Funding Class A-1, variable interest rate of 5.50% at September 30, 2022</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1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55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8"/>
        </w:trPr>
        <w:tc>
          <w:tcPr>
            <w:tcW w:w="71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net of debt issuance costs</w:t>
            </w:r>
          </w:p>
        </w:tc>
        <w:tc>
          <w:tcPr>
            <w:tcW w:w="22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1,279.6</w:t>
            </w:r>
          </w:p>
        </w:tc>
      </w:tr>
      <w:tr>
        <w:trPr>
          <w:trHeight w:val="225"/>
        </w:trPr>
        <w:tc>
          <w:tcPr>
            <w:tcW w:w="712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1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55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1,281.3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1,279.6</w:t>
            </w:r>
          </w:p>
        </w:tc>
      </w:tr>
      <w:tr>
        <w:trPr>
          <w:trHeight w:val="20"/>
        </w:trPr>
        <w:tc>
          <w:tcPr>
            <w:tcW w:w="10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5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ind w:right="160" w:firstLine="318"/>
        <w:spacing w:after="0" w:line="251" w:lineRule="auto"/>
        <w:rPr>
          <w:sz w:val="20"/>
          <w:szCs w:val="20"/>
          <w:color w:val="auto"/>
        </w:rPr>
      </w:pPr>
      <w:r>
        <w:rPr>
          <w:rFonts w:ascii="Times New Roman" w:cs="Times New Roman" w:eastAsia="Times New Roman" w:hAnsi="Times New Roman"/>
          <w:sz w:val="18"/>
          <w:szCs w:val="18"/>
          <w:color w:val="auto"/>
        </w:rPr>
        <w:t>On June 5, 2019, Applebee’s Funding LLC and IHOP Funding LLC (the “Co-Issuers”), each a special purpose, wholly-owned indirect subsidiary of the Company, issued two tranches of fixed rate senior secured notes, the Series 2019-1 4.194% Fixed Rate Senior Secured Notes, Class A-2-I (“Class A-2-I Notes”) in an initial aggregate principal amount of $700 million and the Series 2019-1 4.723% Fixed Rate Senior Secured Notes, Class A-2-II (“Class A-2-II Notes”) in an initial aggregate</w:t>
      </w:r>
    </w:p>
    <w:p>
      <w:pPr>
        <w:spacing w:after="0" w:line="1" w:lineRule="exact"/>
        <w:rPr>
          <w:sz w:val="20"/>
          <w:szCs w:val="20"/>
          <w:color w:val="auto"/>
        </w:rPr>
      </w:pPr>
    </w:p>
    <w:p>
      <w:pPr>
        <w:ind w:right="80"/>
        <w:spacing w:after="0" w:line="251" w:lineRule="auto"/>
        <w:rPr>
          <w:sz w:val="20"/>
          <w:szCs w:val="20"/>
          <w:color w:val="auto"/>
        </w:rPr>
      </w:pPr>
      <w:r>
        <w:rPr>
          <w:rFonts w:ascii="Times New Roman" w:cs="Times New Roman" w:eastAsia="Times New Roman" w:hAnsi="Times New Roman"/>
          <w:sz w:val="18"/>
          <w:szCs w:val="18"/>
          <w:color w:val="auto"/>
        </w:rPr>
        <w:t>principal amount of $600 million (the “Class A-2-II Notes” and, together with the Class A-2-I Notes, the “2019 Class A-2 Notes”). The 2019 Class A-2 Notes were issued pursuant to an offering exempt from registration under the Securities Act of 1933, as amended.</w:t>
      </w:r>
    </w:p>
    <w:p>
      <w:pPr>
        <w:spacing w:after="0" w:line="210" w:lineRule="exact"/>
        <w:rPr>
          <w:sz w:val="20"/>
          <w:szCs w:val="20"/>
          <w:color w:val="auto"/>
        </w:rPr>
      </w:pPr>
    </w:p>
    <w:p>
      <w:pPr>
        <w:ind w:right="140" w:firstLine="318"/>
        <w:spacing w:after="0" w:line="269" w:lineRule="auto"/>
        <w:rPr>
          <w:sz w:val="20"/>
          <w:szCs w:val="20"/>
          <w:color w:val="auto"/>
        </w:rPr>
      </w:pPr>
      <w:r>
        <w:rPr>
          <w:rFonts w:ascii="Times New Roman" w:cs="Times New Roman" w:eastAsia="Times New Roman" w:hAnsi="Times New Roman"/>
          <w:sz w:val="17"/>
          <w:szCs w:val="17"/>
          <w:color w:val="auto"/>
        </w:rPr>
        <w:t>On August 12, 2022, the Co-Issuers established a new revolving financing facility, the 2022-1 Variable Funding Notes, Class A-1 (the “Credit Facility”), that allows for drawings up to $325 million of variable funding notes on a revolving basis and the issuance of letters of credit. In connection with this transaction, the Co-Issuers terminated their $225 million revolving financing facility, the 2019-1 Variable Funding Notes, Class A-1 (the "Previous Credit Facility"). The Credit Facility and the 2019 Class A-2 Notes are referred to collectively herein as the “Notes.” The Notes were issued in securitization transactions pursuant to which substantially all the domestic revenue-generating assets and domestic intellectual property held by the Co-Issuers and certain other special-purpose, wholly-owned indirect subsidiaries of the Company (the “Guarantors”) were pledged as collateral to secure the Notes.</w:t>
      </w:r>
    </w:p>
    <w:p>
      <w:pPr>
        <w:spacing w:after="0" w:line="196" w:lineRule="exact"/>
        <w:rPr>
          <w:sz w:val="20"/>
          <w:szCs w:val="20"/>
          <w:color w:val="auto"/>
        </w:rPr>
      </w:pPr>
    </w:p>
    <w:p>
      <w:pPr>
        <w:ind w:right="40" w:firstLine="318"/>
        <w:spacing w:after="0" w:line="251" w:lineRule="auto"/>
        <w:rPr>
          <w:sz w:val="20"/>
          <w:szCs w:val="20"/>
          <w:color w:val="auto"/>
        </w:rPr>
      </w:pPr>
      <w:r>
        <w:rPr>
          <w:rFonts w:ascii="Times New Roman" w:cs="Times New Roman" w:eastAsia="Times New Roman" w:hAnsi="Times New Roman"/>
          <w:sz w:val="18"/>
          <w:szCs w:val="18"/>
          <w:color w:val="auto"/>
        </w:rPr>
        <w:t>The Notes were issued under a Base Indenture, dated as of September 30, 2014, and amended and restated as of June 5, 2019 (the “Base Indenture”). In addition, the 2019 Class A-2 Notes were issued under the related Series 2019-1 Supplement to the Base Indenture, dated June 5, 2019 (the “Series 2019-1 Supplement”), among the Co-Issuers and Citibank, N.A., as the trustee (in such capacity, the “Trustee”) and securities intermediary and the Credit Facility was issued under the related Series 2022-1 Supplement to the Base Indenture, dated August 12, 2022 (“Series 2022-1 Supplement”), among the Co-Issuers and Citibank, N.A., as Trustee and securities intermediary. The Base Indenture, Series 2019-1 Supplement and Series 2022-1 Supplement (collectively, the “Indenture”) will allow the Co-Issuers to issue additional series of notes in the future subject to certain conditions set forth therein.</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2019 Class A-2 Notes</w:t>
      </w:r>
    </w:p>
    <w:p>
      <w:pPr>
        <w:spacing w:after="0" w:line="246" w:lineRule="exact"/>
        <w:rPr>
          <w:sz w:val="20"/>
          <w:szCs w:val="20"/>
          <w:color w:val="auto"/>
        </w:rPr>
      </w:pPr>
    </w:p>
    <w:p>
      <w:pPr>
        <w:jc w:val="both"/>
        <w:ind w:right="140" w:firstLine="318"/>
        <w:spacing w:after="0" w:line="266" w:lineRule="auto"/>
        <w:rPr>
          <w:sz w:val="20"/>
          <w:szCs w:val="20"/>
          <w:color w:val="auto"/>
        </w:rPr>
      </w:pPr>
      <w:r>
        <w:rPr>
          <w:rFonts w:ascii="Times New Roman" w:cs="Times New Roman" w:eastAsia="Times New Roman" w:hAnsi="Times New Roman"/>
          <w:sz w:val="17"/>
          <w:szCs w:val="17"/>
          <w:color w:val="auto"/>
        </w:rPr>
        <w:t>The legal final maturity of the 2019 Class A-2 Notes is June 2049, but rapid amortization will apply if the Class A-2-I Notes are not repaid by June 2024 (the “Class A-2-I Anticipated Repayment Date”) and for the Class A-2-II Notes if not repaid by June 2026 (the “Class A-2-II Anticipated Repayment Date”). If the Co-Issuers have not repaid or refinanced the Class A-2-I Notes by the Class A-2-I Anticipated Repayment Date or the Class A-2-II Notes by the Class A-2-II Anticipated Repayment Date, then additional interest will accrue on the Class A-2-I Notes and the Class A-2-II Notes, as applicable, at the greater of:</w:t>
      </w:r>
    </w:p>
    <w:p>
      <w:pPr>
        <w:spacing w:after="0" w:line="1" w:lineRule="exact"/>
        <w:rPr>
          <w:sz w:val="20"/>
          <w:szCs w:val="20"/>
          <w:color w:val="auto"/>
        </w:rPr>
      </w:pPr>
    </w:p>
    <w:p>
      <w:pPr>
        <w:jc w:val="both"/>
        <w:ind w:right="380" w:firstLine="6"/>
        <w:spacing w:after="0" w:line="270" w:lineRule="auto"/>
        <w:tabs>
          <w:tab w:leader="none" w:pos="289"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5.0% and (B) the amount, if any, by which the sum of the following exceeds the applicable Series 2019-1 Class A-2 Note interest rate: (x) the yield to maturity (adjusted to a quarterly bond-equivalent basis) on the applicable anticipated repayment date of the United States Treasury Security having a term closest to 10 years plus (y) 5.0%, plus (z) 2.15% for the Series 2019-1 Class A-2-I Notes and 2.64% for the Series 2019-1 Class A-2-II Notes.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Long-Term Debt (Continued)</w:t>
      </w:r>
    </w:p>
    <w:p>
      <w:pPr>
        <w:spacing w:after="0" w:line="264" w:lineRule="exact"/>
        <w:rPr>
          <w:sz w:val="20"/>
          <w:szCs w:val="20"/>
          <w:color w:val="auto"/>
        </w:rPr>
      </w:pPr>
    </w:p>
    <w:p>
      <w:pPr>
        <w:ind w:right="200" w:firstLine="318"/>
        <w:spacing w:after="0" w:line="252" w:lineRule="auto"/>
        <w:rPr>
          <w:sz w:val="20"/>
          <w:szCs w:val="20"/>
          <w:color w:val="auto"/>
        </w:rPr>
      </w:pPr>
      <w:r>
        <w:rPr>
          <w:rFonts w:ascii="Times New Roman" w:cs="Times New Roman" w:eastAsia="Times New Roman" w:hAnsi="Times New Roman"/>
          <w:sz w:val="18"/>
          <w:szCs w:val="18"/>
          <w:color w:val="auto"/>
        </w:rPr>
        <w:t>While the 2019 Class A-2 Notes are outstanding, payment of principal and interest is required to be made on the 2019 Class A-2 Notes on a quarterly basis. The quarterly principal payment of $3.25 million on the 2019 Class A-2 Notes may be suspended when the leverage ratio for the Company and its subsidiaries is less than or equal to 5.25x. Exceeding the leverage ratio of 5.25x does not violate any covenant related to the Notes. In general, the leverage ratio is the Company's indebtedness (as defined in the Indenture) divided by adjusted EBITDA (as defined in the Indenture) for the four preceding quarterly periods. The complete definitions of all calculation elements of the leverage ratio are contained in the Indenture.</w:t>
      </w:r>
    </w:p>
    <w:p>
      <w:pPr>
        <w:spacing w:after="0" w:line="212" w:lineRule="exact"/>
        <w:rPr>
          <w:sz w:val="20"/>
          <w:szCs w:val="20"/>
          <w:color w:val="auto"/>
        </w:rPr>
      </w:pPr>
    </w:p>
    <w:p>
      <w:pPr>
        <w:ind w:right="900" w:firstLine="318"/>
        <w:spacing w:after="0" w:line="274" w:lineRule="auto"/>
        <w:rPr>
          <w:sz w:val="20"/>
          <w:szCs w:val="20"/>
          <w:color w:val="auto"/>
        </w:rPr>
      </w:pPr>
      <w:r>
        <w:rPr>
          <w:rFonts w:ascii="Times New Roman" w:cs="Times New Roman" w:eastAsia="Times New Roman" w:hAnsi="Times New Roman"/>
          <w:sz w:val="18"/>
          <w:szCs w:val="18"/>
          <w:color w:val="auto"/>
        </w:rPr>
        <w:t>As of September 30, 2022, the Company's leverage ratio was 3.90x. As a result, quarterly principal payments on the 2019 Class A-2 Notes of $3.25 million currently are not required.</w:t>
      </w:r>
    </w:p>
    <w:p>
      <w:pPr>
        <w:spacing w:after="0" w:line="177" w:lineRule="exact"/>
        <w:rPr>
          <w:sz w:val="20"/>
          <w:szCs w:val="20"/>
          <w:color w:val="auto"/>
        </w:rPr>
      </w:pPr>
    </w:p>
    <w:p>
      <w:pPr>
        <w:ind w:firstLine="318"/>
        <w:spacing w:after="0" w:line="225" w:lineRule="auto"/>
        <w:rPr>
          <w:sz w:val="20"/>
          <w:szCs w:val="20"/>
          <w:color w:val="auto"/>
        </w:rPr>
      </w:pPr>
      <w:r>
        <w:rPr>
          <w:rFonts w:ascii="Times New Roman" w:cs="Times New Roman" w:eastAsia="Times New Roman" w:hAnsi="Times New Roman"/>
          <w:sz w:val="18"/>
          <w:szCs w:val="18"/>
          <w:color w:val="auto"/>
        </w:rPr>
        <w:t>The Company may voluntarily repay the 2019 Class A-2 Notes at any time; however, if the 2019 Class A-2 Notes are repaid prior to certain dates, the Company would be required to pay make-whole premiums. As of September 30, 2022, the make-whole premium associated with voluntary prepayment of the Class A-2-I Notes was zero and will remain as such. As of September 30, 2022, the make-whole premium associated with voluntary prepayment of the Class A-2-II Notes was approximately $0.5 million; this amount declines progressively each quarter to zero in June 2024. The Company also would be subject to a make-whole premium in the event of a mandatory prepayment required following a Rapid Amortization Event (as defined in the Indenture) or certain asset dispositions. The mandatory make-whole premium requirements are considered derivatives embedded in the Notes that must be bifurcated for separate valuation. The Company estimated the fair value of these derivatives to be immaterial as of September 30, 2022, based on the probability-weighted discounted cash flows associated with either event.</w:t>
      </w: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2019 Class A-1 Notes</w:t>
      </w:r>
    </w:p>
    <w:p>
      <w:pPr>
        <w:spacing w:after="0" w:line="246" w:lineRule="exact"/>
        <w:rPr>
          <w:sz w:val="20"/>
          <w:szCs w:val="20"/>
          <w:color w:val="auto"/>
        </w:rPr>
      </w:pPr>
    </w:p>
    <w:p>
      <w:pPr>
        <w:ind w:right="160" w:firstLine="318"/>
        <w:spacing w:after="0" w:line="259" w:lineRule="auto"/>
        <w:rPr>
          <w:sz w:val="20"/>
          <w:szCs w:val="20"/>
          <w:color w:val="auto"/>
        </w:rPr>
      </w:pPr>
      <w:r>
        <w:rPr>
          <w:rFonts w:ascii="Times New Roman" w:cs="Times New Roman" w:eastAsia="Times New Roman" w:hAnsi="Times New Roman"/>
          <w:sz w:val="18"/>
          <w:szCs w:val="18"/>
          <w:color w:val="auto"/>
        </w:rPr>
        <w:t>The Previous Credit Facility allowed for drawings up to $225 million of variable funding notes on a revolving basis and the issuance of letters of credit. In March 2020, the Company borrowed $220.0 million against the Previous Credit Facility. The $220.0 million was repaid on March 5, 2021, and as of December 31, 2021, there were no outstanding borrowings under the Previous Credit Facility.</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2022 Class A-1 Notes</w:t>
      </w:r>
    </w:p>
    <w:p>
      <w:pPr>
        <w:spacing w:after="0" w:line="26" w:lineRule="exact"/>
        <w:rPr>
          <w:sz w:val="20"/>
          <w:szCs w:val="20"/>
          <w:color w:val="auto"/>
        </w:rPr>
      </w:pPr>
    </w:p>
    <w:p>
      <w:pPr>
        <w:ind w:right="20" w:firstLine="318"/>
        <w:spacing w:after="0" w:line="246" w:lineRule="auto"/>
        <w:rPr>
          <w:sz w:val="20"/>
          <w:szCs w:val="20"/>
          <w:color w:val="auto"/>
        </w:rPr>
      </w:pPr>
      <w:r>
        <w:rPr>
          <w:rFonts w:ascii="Times New Roman" w:cs="Times New Roman" w:eastAsia="Times New Roman" w:hAnsi="Times New Roman"/>
          <w:sz w:val="18"/>
          <w:szCs w:val="18"/>
          <w:color w:val="auto"/>
        </w:rPr>
        <w:t>In August 2022, the Co-Issuers entered into the Credit Facility that allows for drawings up to $325 million of variable funding notes on a revolving basis and the issuance of letters of credit. The applicable interest rate under the Credit Facility depends on the type of borrowing by the Co-Issuers. The applicable interest rate for advances is generally calculated at a per annum rate equal to the commercial paper funding rate or one-, two-, three- or six-month Term SOFR Rate, in either case, plus 2.50%. The applicable interest rate for swingline advances and unreimbursed draws on outstanding letters of credit is a per annum base rate equal to the sum of (a) the greatest of (i) the Prime Rate in effect from time to time; (ii) the Federal Funds Rate in effect from time to time plus 0.50%; and (iii) Term SOFR for a one-month tenor in effect at such time plus 0.50% plus (b) 2.00%.</w:t>
      </w:r>
    </w:p>
    <w:p>
      <w:pPr>
        <w:spacing w:after="0" w:line="218" w:lineRule="exact"/>
        <w:rPr>
          <w:sz w:val="20"/>
          <w:szCs w:val="20"/>
          <w:color w:val="auto"/>
        </w:rPr>
      </w:pPr>
    </w:p>
    <w:p>
      <w:pPr>
        <w:ind w:right="100" w:firstLine="318"/>
        <w:spacing w:after="0" w:line="274" w:lineRule="auto"/>
        <w:rPr>
          <w:sz w:val="20"/>
          <w:szCs w:val="20"/>
          <w:color w:val="auto"/>
        </w:rPr>
      </w:pPr>
      <w:r>
        <w:rPr>
          <w:rFonts w:ascii="Times New Roman" w:cs="Times New Roman" w:eastAsia="Times New Roman" w:hAnsi="Times New Roman"/>
          <w:sz w:val="17"/>
          <w:szCs w:val="17"/>
          <w:color w:val="auto"/>
        </w:rPr>
        <w:t>The legal final maturity of the Credit Facility is June 2052, but amortization will apply if there are outstanding amounts under the Credit Facility after June 2027 (the “Class A-1 Renewal Date”). The Class A-1 Renewal Date may be extended at the Co-Issuers’ election for up to two successive one-year periods if certain conditions are met. If the Co-Issuers have not repaid or refinanced the Credit Facility by the Class A-1 Renewal Date (after giving effect to any extensions), then interest will accrue on the Credit Facility at a rate equal to 5.00% in addition to the regular interest rate applicable to the Credit Facility.</w:t>
      </w:r>
    </w:p>
    <w:p>
      <w:pPr>
        <w:spacing w:after="0" w:line="194"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8"/>
          <w:szCs w:val="18"/>
          <w:color w:val="auto"/>
        </w:rPr>
        <w:t>In August 2022, the Company borrowed $100 million against the Credit Facility, all of which was outstanding at September 30, 2022. The amount of $3.4 million was pledged against the Credit Facility at September 30, 2022 for outstanding letters of credit, leaving $221.6 million available for borrowing. The letters of credit are used primarily to satisfy insurance-related collateral requirements.</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Covenants and Restrictions</w:t>
      </w:r>
    </w:p>
    <w:p>
      <w:pPr>
        <w:spacing w:after="0" w:line="246" w:lineRule="exact"/>
        <w:rPr>
          <w:sz w:val="20"/>
          <w:szCs w:val="20"/>
          <w:color w:val="auto"/>
        </w:rPr>
      </w:pPr>
    </w:p>
    <w:p>
      <w:pPr>
        <w:ind w:right="40" w:firstLine="318"/>
        <w:spacing w:after="0" w:line="274" w:lineRule="auto"/>
        <w:rPr>
          <w:sz w:val="20"/>
          <w:szCs w:val="20"/>
          <w:color w:val="auto"/>
        </w:rPr>
      </w:pPr>
      <w:r>
        <w:rPr>
          <w:rFonts w:ascii="Times New Roman" w:cs="Times New Roman" w:eastAsia="Times New Roman" w:hAnsi="Times New Roman"/>
          <w:sz w:val="17"/>
          <w:szCs w:val="17"/>
          <w:color w:val="auto"/>
        </w:rPr>
        <w:t>The Notes are subject to a series of covenants and restrictions customary for transactions of this type, including: (i) that the Co-Issuers maintain specified reserve accounts to be used to make required payments in respect of the Notes; (ii) provisions relating to optional and mandatory prepayments, and the related payment of specified amounts, including specified call redemption premiums in the case of Class A-2 Notes under certain circumstances; (iii) certain indemnification payments in the event, among other things, the transfers of the assets pledged as collateral for the Notes are in stated ways defective or</w:t>
      </w: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Long-Term Debt (Continued)</w:t>
      </w:r>
    </w:p>
    <w:p>
      <w:pPr>
        <w:spacing w:after="0" w:line="264"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ineffective; and (iv) covenants relating to recordkeeping, access to information and similar matters. The Notes are subject to customary rapid amortization events provided for in the Indenture, including events tied to failure of the Securitization Entities (as defined in the Indenture) to maintain the stated debt service coverage ratio (“DSCR”), the sum of domestic retail sales for all restaurants being below certain levels on certain measurement dates, certain manager termination events, certain events of default and the failure to repay or refinance the Class A-2 Notes on the anticipated repayment dates. The Notes are also subject to certain customary events of default, including events relating to non-payment of required interest, principal or other amounts due on or with respect to the Notes, failure of the Securitization Entities to maintain the stated DSCR, failure to comply with covenants within certain time frames, certain bankruptcy events, breaches of specified representations and warranties and certain judgments.</w:t>
      </w:r>
    </w:p>
    <w:p>
      <w:pPr>
        <w:spacing w:after="0" w:line="213" w:lineRule="exact"/>
        <w:rPr>
          <w:sz w:val="20"/>
          <w:szCs w:val="20"/>
          <w:color w:val="auto"/>
        </w:rPr>
      </w:pPr>
    </w:p>
    <w:p>
      <w:pPr>
        <w:ind w:firstLine="318"/>
        <w:spacing w:after="0" w:line="250" w:lineRule="auto"/>
        <w:rPr>
          <w:sz w:val="20"/>
          <w:szCs w:val="20"/>
          <w:color w:val="auto"/>
        </w:rPr>
      </w:pPr>
      <w:r>
        <w:rPr>
          <w:rFonts w:ascii="Times New Roman" w:cs="Times New Roman" w:eastAsia="Times New Roman" w:hAnsi="Times New Roman"/>
          <w:sz w:val="18"/>
          <w:szCs w:val="18"/>
          <w:color w:val="auto"/>
        </w:rPr>
        <w:t>In general, the DSCR ratio is Net Cash Flow (as defined in the Indenture) for the four quarters preceding the calculation date divided by the total debt service payments (as defined in the Indenture) of the preceding four quarters. The complete definitions of the DSCR and all calculation elements are contained in the Indenture. Failure to maintain a prescribed DSCR can trigger a Cash Flow Sweeping Event, A Rapid Amortization Event, a Manager Termination Event or a Default Event as described below. In a Cash Flow Sweeping Event, the Trustee is required to retain 50% of excess Cash Flow (as defined in the Indenture) in a restricted account. In a Rapid Amortization Event, all excess Cash Flow is retained and used to retire principal</w:t>
      </w:r>
    </w:p>
    <w:p>
      <w:pPr>
        <w:spacing w:after="0" w:line="1"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17"/>
          <w:szCs w:val="17"/>
          <w:color w:val="auto"/>
        </w:rPr>
        <w:t>amounts of debt. In a Manager Termination Event, the Company may be replaced as manager of the assets securitized under the Indenture. In a Default Event, the outstanding principal amount and any accrued but unpaid interest can be called to become immediately due and payable. Key DSCRs are as follows:</w:t>
      </w:r>
    </w:p>
    <w:p>
      <w:pPr>
        <w:spacing w:after="0" w:line="187" w:lineRule="exact"/>
        <w:rPr>
          <w:sz w:val="20"/>
          <w:szCs w:val="20"/>
          <w:color w:val="auto"/>
        </w:rPr>
      </w:pPr>
    </w:p>
    <w:p>
      <w:pPr>
        <w:ind w:left="1280" w:hanging="320"/>
        <w:spacing w:after="0"/>
        <w:tabs>
          <w:tab w:leader="none" w:pos="1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DSCR less than 1.75x - Cash Flow Sweeping Event</w:t>
      </w:r>
    </w:p>
    <w:p>
      <w:pPr>
        <w:spacing w:after="0" w:line="24"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DSCR less than 1.20x - Rapid Amortization Event</w:t>
      </w:r>
    </w:p>
    <w:p>
      <w:pPr>
        <w:spacing w:after="0" w:line="5"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Interest-only DSCR less than 1.20x - Manager Termination Event</w:t>
      </w:r>
    </w:p>
    <w:p>
      <w:pPr>
        <w:spacing w:after="0" w:line="5"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Interest-only DSCR less than 1.10x - Default Event</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Company's DSCR for the reporting period ended September 30, 2022 was approximately 4.15x.</w:t>
      </w:r>
    </w:p>
    <w:p>
      <w:pPr>
        <w:spacing w:after="0" w:line="25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Loss on Extinguishment of Debt</w:t>
      </w:r>
    </w:p>
    <w:p>
      <w:pPr>
        <w:spacing w:after="0" w:line="246" w:lineRule="exact"/>
        <w:rPr>
          <w:sz w:val="20"/>
          <w:szCs w:val="20"/>
          <w:color w:val="auto"/>
        </w:rPr>
      </w:pPr>
    </w:p>
    <w:p>
      <w:pPr>
        <w:ind w:right="100" w:firstLine="318"/>
        <w:spacing w:after="0" w:line="274" w:lineRule="auto"/>
        <w:rPr>
          <w:sz w:val="20"/>
          <w:szCs w:val="20"/>
          <w:color w:val="auto"/>
        </w:rPr>
      </w:pPr>
      <w:r>
        <w:rPr>
          <w:rFonts w:ascii="Times New Roman" w:cs="Times New Roman" w:eastAsia="Times New Roman" w:hAnsi="Times New Roman"/>
          <w:sz w:val="18"/>
          <w:szCs w:val="18"/>
          <w:color w:val="auto"/>
        </w:rPr>
        <w:t>In connection with the termination of the Previous Credit Facility during the three months ended September 30, 2022, the Company recognized a loss on extinguishment of debt of $1.2 million, representing the remaining unamortized debt issuance costs associated with the Previous Credit Facility.</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Debt Issuance Costs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2019 Class A-2 Notes</w:t>
      </w:r>
    </w:p>
    <w:p>
      <w:pPr>
        <w:spacing w:after="0" w:line="244" w:lineRule="exact"/>
        <w:rPr>
          <w:sz w:val="20"/>
          <w:szCs w:val="20"/>
          <w:color w:val="auto"/>
        </w:rPr>
      </w:pPr>
    </w:p>
    <w:p>
      <w:pPr>
        <w:jc w:val="both"/>
        <w:ind w:right="260" w:firstLine="318"/>
        <w:spacing w:after="0" w:line="264" w:lineRule="auto"/>
        <w:rPr>
          <w:sz w:val="20"/>
          <w:szCs w:val="20"/>
          <w:color w:val="auto"/>
        </w:rPr>
      </w:pPr>
      <w:r>
        <w:rPr>
          <w:rFonts w:ascii="Times New Roman" w:cs="Times New Roman" w:eastAsia="Times New Roman" w:hAnsi="Times New Roman"/>
          <w:sz w:val="17"/>
          <w:szCs w:val="17"/>
          <w:color w:val="auto"/>
        </w:rPr>
        <w:t>Amortization of costs incurred in connection with the issuance of the 2019 Class A-2 Notes of $0.6 million and $0.6 million were included in interest expense for the three months ended September 30, 2022 and 2021, respectively. Amortization of costs incurred in connection with the issuance of the 2019 Class A-2 Notes of $1.7 million and $1.7 million were included in interest expense for the nine months ended September 30, 2022 and 2021, respectively. Amortization costs incurred in connection with the Previous Credit Facility of $0.0 million and $0.2 million were included in interest expense for the three months ended September 30, 2022 and 2021, respectively. Amortization costs incurred in connection with the Previous Credit Facility of $0.4 million and $0.5 million were included in interest expense for the nine months ended September 30, 2022 and 2021, respectively.</w:t>
      </w:r>
    </w:p>
    <w:p>
      <w:pPr>
        <w:spacing w:after="0" w:line="1" w:lineRule="exact"/>
        <w:rPr>
          <w:sz w:val="20"/>
          <w:szCs w:val="20"/>
          <w:color w:val="auto"/>
        </w:rPr>
      </w:pPr>
    </w:p>
    <w:p>
      <w:pPr>
        <w:ind w:right="60" w:firstLine="318"/>
        <w:spacing w:after="0" w:line="251" w:lineRule="auto"/>
        <w:rPr>
          <w:sz w:val="20"/>
          <w:szCs w:val="20"/>
          <w:color w:val="auto"/>
        </w:rPr>
      </w:pPr>
      <w:r>
        <w:rPr>
          <w:rFonts w:ascii="Times New Roman" w:cs="Times New Roman" w:eastAsia="Times New Roman" w:hAnsi="Times New Roman"/>
          <w:sz w:val="18"/>
          <w:szCs w:val="18"/>
          <w:color w:val="auto"/>
        </w:rPr>
        <w:t>At September 30, 2022, total unamortized debt issuance costs related to the 2019 Class A-2 Notes of $5.7 million are reported as a direct reduction of the 2019 Class A-2 Notes in the Consolidated Balance Sheets.</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2022 Class A-1 Notes</w:t>
      </w:r>
    </w:p>
    <w:p>
      <w:pPr>
        <w:spacing w:after="0" w:line="244" w:lineRule="exact"/>
        <w:rPr>
          <w:sz w:val="20"/>
          <w:szCs w:val="20"/>
          <w:color w:val="auto"/>
        </w:rPr>
      </w:pPr>
    </w:p>
    <w:p>
      <w:pPr>
        <w:ind w:right="140" w:firstLine="318"/>
        <w:spacing w:after="0" w:line="255" w:lineRule="auto"/>
        <w:rPr>
          <w:sz w:val="20"/>
          <w:szCs w:val="20"/>
          <w:color w:val="auto"/>
        </w:rPr>
      </w:pPr>
      <w:r>
        <w:rPr>
          <w:rFonts w:ascii="Times New Roman" w:cs="Times New Roman" w:eastAsia="Times New Roman" w:hAnsi="Times New Roman"/>
          <w:sz w:val="18"/>
          <w:szCs w:val="18"/>
          <w:color w:val="auto"/>
        </w:rPr>
        <w:t>In August 2022, the Company incurred costs of approximately $6.3 million in connection with the issuance of the Credit Facility. These debt issuance costs are being amortized over the estimated life of the Credit Facility. Amortization of $0.1 million of these costs was included in interest expense for the three and nine months ended September 30, 2022. At September 30, 2022, total unamortized debt issuance costs of $6.1 million related to the Credit Facility are classified as other non-current assets in the Consolidated Balance Sheets.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 Long-Term Debt (Continued)</w:t>
      </w:r>
    </w:p>
    <w:p>
      <w:pPr>
        <w:spacing w:after="0" w:line="200" w:lineRule="exact"/>
        <w:rPr>
          <w:sz w:val="20"/>
          <w:szCs w:val="20"/>
          <w:color w:val="auto"/>
        </w:rPr>
      </w:pPr>
    </w:p>
    <w:p>
      <w:pPr>
        <w:spacing w:after="0" w:line="3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Maturities of Long-term Debt</w:t>
      </w:r>
    </w:p>
    <w:p>
      <w:pPr>
        <w:spacing w:after="0" w:line="246" w:lineRule="exact"/>
        <w:rPr>
          <w:sz w:val="20"/>
          <w:szCs w:val="20"/>
          <w:color w:val="auto"/>
        </w:rPr>
      </w:pPr>
    </w:p>
    <w:p>
      <w:pPr>
        <w:ind w:left="640" w:hanging="316"/>
        <w:spacing w:after="0"/>
        <w:tabs>
          <w:tab w:leader="none" w:pos="6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repayment date of the Class A-2-I Notes is June 2024.</w:t>
      </w:r>
    </w:p>
    <w:p>
      <w:pPr>
        <w:spacing w:after="0" w:line="2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repayment date of the Class A-2-II Notes is June 2026.</w:t>
      </w:r>
    </w:p>
    <w:p>
      <w:pPr>
        <w:spacing w:after="0" w:line="5"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renewal date of the Credit Facility is June 2027.</w:t>
      </w:r>
    </w:p>
    <w:p>
      <w:pPr>
        <w:spacing w:after="0" w:line="5" w:lineRule="exact"/>
        <w:rPr>
          <w:rFonts w:ascii="Times New Roman" w:cs="Times New Roman" w:eastAsia="Times New Roman" w:hAnsi="Times New Roman"/>
          <w:sz w:val="18"/>
          <w:szCs w:val="18"/>
          <w:color w:val="auto"/>
        </w:rPr>
      </w:pPr>
    </w:p>
    <w:p>
      <w:pPr>
        <w:ind w:left="640" w:right="820" w:hanging="316"/>
        <w:spacing w:after="0" w:line="251" w:lineRule="auto"/>
        <w:tabs>
          <w:tab w:leader="none" w:pos="635"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Quarterly principal payments on the Class A-2-I and Class A-2-II Notes totaling $3.25 million ($13.0 million per annum) are required if the Company's leverage ratio is greater than 5.25x.</w:t>
      </w:r>
    </w:p>
    <w:p>
      <w:pPr>
        <w:spacing w:after="0" w:line="208" w:lineRule="exact"/>
        <w:rPr>
          <w:rFonts w:ascii="Times New Roman" w:cs="Times New Roman" w:eastAsia="Times New Roman" w:hAnsi="Times New Roman"/>
          <w:sz w:val="18"/>
          <w:szCs w:val="18"/>
          <w:color w:val="auto"/>
        </w:rPr>
      </w:pPr>
    </w:p>
    <w:p>
      <w:pPr>
        <w:ind w:left="180" w:hanging="174"/>
        <w:spacing w:after="0"/>
        <w:tabs>
          <w:tab w:leader="none" w:pos="1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Deficit</w:t>
      </w:r>
    </w:p>
    <w:p>
      <w:pPr>
        <w:spacing w:after="0" w:line="22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Dividends declared and paid per share for the three and nine months ended September 30, 2022 and 2021 were as follows:</w:t>
      </w:r>
    </w:p>
    <w:p>
      <w:pPr>
        <w:spacing w:after="0" w:line="25"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7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3"/>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1"/>
        </w:trPr>
        <w:tc>
          <w:tcPr>
            <w:tcW w:w="70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5"/>
        </w:trPr>
        <w:tc>
          <w:tcPr>
            <w:tcW w:w="706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19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0"/>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15"/>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r>
      <w:tr>
        <w:trPr>
          <w:trHeight w:val="231"/>
        </w:trPr>
        <w:tc>
          <w:tcPr>
            <w:tcW w:w="7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 per common share</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0"/>
                <w:szCs w:val="20"/>
                <w:color w:val="auto"/>
              </w:rPr>
            </w:pPr>
          </w:p>
        </w:tc>
        <w:tc>
          <w:tcPr>
            <w:tcW w:w="620" w:type="dxa"/>
            <w:vAlign w:val="bottom"/>
          </w:tcPr>
          <w:p>
            <w:pPr>
              <w:jc w:val="right"/>
              <w:ind w:right="415"/>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60" w:type="dxa"/>
            <w:vAlign w:val="bottom"/>
          </w:tcPr>
          <w:p>
            <w:pPr>
              <w:spacing w:after="0"/>
              <w:rPr>
                <w:sz w:val="20"/>
                <w:szCs w:val="20"/>
                <w:color w:val="auto"/>
              </w:rPr>
            </w:pPr>
          </w:p>
        </w:tc>
        <w:tc>
          <w:tcPr>
            <w:tcW w:w="740" w:type="dxa"/>
            <w:vAlign w:val="bottom"/>
          </w:tcPr>
          <w:p>
            <w:pPr>
              <w:jc w:val="right"/>
              <w:ind w:right="555"/>
              <w:spacing w:after="0"/>
              <w:rPr>
                <w:sz w:val="20"/>
                <w:szCs w:val="20"/>
                <w:color w:val="auto"/>
              </w:rPr>
            </w:pPr>
            <w:r>
              <w:rPr>
                <w:rFonts w:ascii="Times New Roman" w:cs="Times New Roman" w:eastAsia="Times New Roman" w:hAnsi="Times New Roman"/>
                <w:sz w:val="18"/>
                <w:szCs w:val="18"/>
                <w:color w:val="auto"/>
                <w:w w:val="88"/>
              </w:rPr>
              <w:t>$</w:t>
            </w:r>
          </w:p>
        </w:tc>
      </w:tr>
    </w:tbl>
    <w:p>
      <w:pPr>
        <w:spacing w:after="0" w:line="320" w:lineRule="exact"/>
        <w:rPr>
          <w:sz w:val="20"/>
          <w:szCs w:val="20"/>
          <w:color w:val="auto"/>
        </w:rPr>
      </w:pPr>
    </w:p>
    <w:p>
      <w:pPr>
        <w:ind w:right="620" w:firstLine="318"/>
        <w:spacing w:after="0" w:line="274" w:lineRule="auto"/>
        <w:rPr>
          <w:sz w:val="20"/>
          <w:szCs w:val="20"/>
          <w:color w:val="auto"/>
        </w:rPr>
      </w:pPr>
      <w:r>
        <w:rPr>
          <w:rFonts w:ascii="Times New Roman" w:cs="Times New Roman" w:eastAsia="Times New Roman" w:hAnsi="Times New Roman"/>
          <w:sz w:val="18"/>
          <w:szCs w:val="18"/>
          <w:color w:val="auto"/>
        </w:rPr>
        <w:t>On October 28, 2021, the Company's Board of Directors declared a fourth quarter 2021 cash dividend of $0.40 per share of common stock, paid on January 7, 2022 to the stockholders of record as of the close of business on December 17, 2021.</w:t>
      </w:r>
    </w:p>
    <w:p>
      <w:pPr>
        <w:spacing w:after="0" w:line="177" w:lineRule="exact"/>
        <w:rPr>
          <w:sz w:val="20"/>
          <w:szCs w:val="20"/>
          <w:color w:val="auto"/>
        </w:rPr>
      </w:pPr>
    </w:p>
    <w:p>
      <w:pPr>
        <w:ind w:right="2380" w:firstLine="318"/>
        <w:spacing w:after="0" w:line="274" w:lineRule="auto"/>
        <w:rPr>
          <w:sz w:val="20"/>
          <w:szCs w:val="20"/>
          <w:color w:val="auto"/>
        </w:rPr>
      </w:pPr>
      <w:r>
        <w:rPr>
          <w:rFonts w:ascii="Times New Roman" w:cs="Times New Roman" w:eastAsia="Times New Roman" w:hAnsi="Times New Roman"/>
          <w:sz w:val="18"/>
          <w:szCs w:val="18"/>
          <w:color w:val="auto"/>
        </w:rPr>
        <w:t>On February 17, 2022, the Company's Board of Directors declared a first quarter 2022 cash dividend of $0.46 per share of common stock, paid on April 1, 2022 to the stockholders of record as of the close of business on March 21, 2022.</w:t>
      </w:r>
    </w:p>
    <w:p>
      <w:pPr>
        <w:spacing w:after="0" w:line="190" w:lineRule="exact"/>
        <w:rPr>
          <w:sz w:val="20"/>
          <w:szCs w:val="20"/>
          <w:color w:val="auto"/>
        </w:rPr>
      </w:pPr>
    </w:p>
    <w:p>
      <w:pPr>
        <w:ind w:right="2500" w:firstLine="318"/>
        <w:spacing w:after="0" w:line="274" w:lineRule="auto"/>
        <w:rPr>
          <w:sz w:val="20"/>
          <w:szCs w:val="20"/>
          <w:color w:val="auto"/>
        </w:rPr>
      </w:pPr>
      <w:r>
        <w:rPr>
          <w:rFonts w:ascii="Times New Roman" w:cs="Times New Roman" w:eastAsia="Times New Roman" w:hAnsi="Times New Roman"/>
          <w:sz w:val="18"/>
          <w:szCs w:val="18"/>
          <w:color w:val="auto"/>
        </w:rPr>
        <w:t>On May 12, 2022, the Company's Board of Directors declared a second quarter 2022 cash dividend of $0.51 per share of common stock, paid on July 8, 2022 to the stockholders of record as of the close of business on June 20, 2022.</w:t>
      </w:r>
    </w:p>
    <w:p>
      <w:pPr>
        <w:spacing w:after="0" w:line="190" w:lineRule="exact"/>
        <w:rPr>
          <w:sz w:val="20"/>
          <w:szCs w:val="20"/>
          <w:color w:val="auto"/>
        </w:rPr>
      </w:pPr>
    </w:p>
    <w:p>
      <w:pPr>
        <w:ind w:right="2300" w:firstLine="318"/>
        <w:spacing w:after="0" w:line="288" w:lineRule="auto"/>
        <w:rPr>
          <w:sz w:val="20"/>
          <w:szCs w:val="20"/>
          <w:color w:val="auto"/>
        </w:rPr>
      </w:pPr>
      <w:r>
        <w:rPr>
          <w:rFonts w:ascii="Times New Roman" w:cs="Times New Roman" w:eastAsia="Times New Roman" w:hAnsi="Times New Roman"/>
          <w:sz w:val="17"/>
          <w:szCs w:val="17"/>
          <w:color w:val="auto"/>
        </w:rPr>
        <w:t>On September 9, 2022, the Company's Board of Directors declared a third quarter 2022 cash dividend of $0.51 per share of common stock, paid on September 30, 2022 to the stockholders of record as of the close of business on September 20, 2022.</w:t>
      </w:r>
    </w:p>
    <w:p>
      <w:pPr>
        <w:spacing w:after="0" w:line="16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48" w:lineRule="exact"/>
        <w:rPr>
          <w:sz w:val="20"/>
          <w:szCs w:val="20"/>
          <w:color w:val="auto"/>
        </w:rPr>
      </w:pPr>
    </w:p>
    <w:p>
      <w:pPr>
        <w:ind w:right="200" w:firstLine="318"/>
        <w:spacing w:after="0" w:line="255" w:lineRule="auto"/>
        <w:rPr>
          <w:sz w:val="20"/>
          <w:szCs w:val="20"/>
          <w:color w:val="auto"/>
        </w:rPr>
      </w:pPr>
      <w:r>
        <w:rPr>
          <w:rFonts w:ascii="Times New Roman" w:cs="Times New Roman" w:eastAsia="Times New Roman" w:hAnsi="Times New Roman"/>
          <w:sz w:val="18"/>
          <w:szCs w:val="18"/>
          <w:color w:val="auto"/>
        </w:rPr>
        <w:t>In February 2019, the Company’s Board of Directors approved a stock repurchase program authorizing the Company to repurchase up to $200 million of the Company’s common stock (the “2019 Repurchase Program”) on an opportunistic basis from time to time in the open market or in privately negotiated transactions based on business, market, applicable legal requirements and other considerations. The 2019 Repurchase Program, as approved by the Board of Directors, does not require the repurchase of a specific number of shares and can be terminated at any time.</w:t>
      </w:r>
    </w:p>
    <w:p>
      <w:pPr>
        <w:spacing w:after="0" w:line="207" w:lineRule="exact"/>
        <w:rPr>
          <w:sz w:val="20"/>
          <w:szCs w:val="20"/>
          <w:color w:val="auto"/>
        </w:rPr>
      </w:pPr>
    </w:p>
    <w:p>
      <w:pPr>
        <w:jc w:val="both"/>
        <w:ind w:right="200" w:firstLine="318"/>
        <w:spacing w:after="0" w:line="255" w:lineRule="auto"/>
        <w:rPr>
          <w:sz w:val="20"/>
          <w:szCs w:val="20"/>
          <w:color w:val="auto"/>
        </w:rPr>
      </w:pPr>
      <w:r>
        <w:rPr>
          <w:rFonts w:ascii="Times New Roman" w:cs="Times New Roman" w:eastAsia="Times New Roman" w:hAnsi="Times New Roman"/>
          <w:sz w:val="18"/>
          <w:szCs w:val="18"/>
          <w:color w:val="auto"/>
        </w:rPr>
        <w:t>On February 17, 2022, the Company's Board of Directors authorized a new share repurchase program, effective April 1, 2022, of up to $250 million (the “2022 Repurchase Program”). In connection with the approval of the 2022 Repurchase Program, the 2019 Repurchase Program terminated effective April 1, 2022. Cumulatively, the Company repurchased 588,108 shares of common stock at a cost of $41.4 million under the 2019 Repurchase Program through April 1, 2022.</w:t>
      </w:r>
    </w:p>
    <w:p>
      <w:pPr>
        <w:spacing w:after="0" w:line="207" w:lineRule="exact"/>
        <w:rPr>
          <w:sz w:val="20"/>
          <w:szCs w:val="20"/>
          <w:color w:val="auto"/>
        </w:rPr>
      </w:pPr>
    </w:p>
    <w:p>
      <w:pPr>
        <w:ind w:right="140" w:firstLine="318"/>
        <w:spacing w:after="0" w:line="241" w:lineRule="auto"/>
        <w:rPr>
          <w:sz w:val="20"/>
          <w:szCs w:val="20"/>
          <w:color w:val="auto"/>
        </w:rPr>
      </w:pPr>
      <w:r>
        <w:rPr>
          <w:rFonts w:ascii="Times New Roman" w:cs="Times New Roman" w:eastAsia="Times New Roman" w:hAnsi="Times New Roman"/>
          <w:sz w:val="18"/>
          <w:szCs w:val="18"/>
          <w:color w:val="auto"/>
        </w:rPr>
        <w:t>During the three and nine months ended September 30, 2022, the Company repurchased 140,997 and 1,642,097 shares of common stock at a cost of $9.5 million and $113.6 million, respectively. The amounts for the three months ended September 30, 2022 relate to the 2022 Repurchase Program. For the nine months ended September 30, 2022, 588,108 shares of common stock at a cost of $41.4 million relate to the 2019 Repurchase Program and 1,053,989 shares of common stock at a cost of $72.1 million relate to the 2022 Repurchase Program. The Company did not repurchase any shares of common stock during the three and nine months ended September 30, 2021.</w:t>
      </w:r>
    </w:p>
    <w:p>
      <w:pPr>
        <w:sectPr>
          <w:pgSz w:w="11900" w:h="16838" w:orient="portrait"/>
          <w:cols w:equalWidth="0" w:num="1">
            <w:col w:w="11340"/>
          </w:cols>
          <w:pgMar w:left="320" w:top="11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14" w:right="239" w:bottom="1440" w:gutter="0" w:footer="0" w:header="0"/>
          <w:type w:val="continuous"/>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 Stockholders' Deficit (Continued)</w:t>
      </w:r>
    </w:p>
    <w:p>
      <w:pPr>
        <w:spacing w:after="0" w:line="200" w:lineRule="exact"/>
        <w:rPr>
          <w:sz w:val="20"/>
          <w:szCs w:val="20"/>
          <w:color w:val="auto"/>
        </w:rPr>
      </w:pP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Treasury Stock</w:t>
      </w:r>
    </w:p>
    <w:p>
      <w:pPr>
        <w:spacing w:after="0" w:line="234" w:lineRule="exact"/>
        <w:rPr>
          <w:sz w:val="20"/>
          <w:szCs w:val="20"/>
          <w:color w:val="auto"/>
        </w:rPr>
      </w:pPr>
    </w:p>
    <w:p>
      <w:pPr>
        <w:ind w:right="140" w:firstLine="318"/>
        <w:spacing w:after="0" w:line="255" w:lineRule="auto"/>
        <w:rPr>
          <w:sz w:val="20"/>
          <w:szCs w:val="20"/>
          <w:color w:val="auto"/>
        </w:rPr>
      </w:pPr>
      <w:r>
        <w:rPr>
          <w:rFonts w:ascii="Times New Roman" w:cs="Times New Roman" w:eastAsia="Times New Roman" w:hAnsi="Times New Roman"/>
          <w:sz w:val="18"/>
          <w:szCs w:val="18"/>
          <w:color w:val="auto"/>
        </w:rPr>
        <w:t>Repurchases of the Company's common stock are included in treasury stock at the cost of shares repurchased plus any transaction costs. Treasury stock may be re-issued when stock options are exercised, when restricted stock awards are granted and when restricted stock units settle in stock upon vesting. The cost of treasury stock re-issued is determined using the first-in, first-out (“FIFO”) method. During the nine months ended September 30, 2022, the Company re-issued 186,035 shares of treasury stock at a total FIFO cost of $8.7 million.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Income Taxes</w:t>
      </w:r>
    </w:p>
    <w:p>
      <w:pPr>
        <w:spacing w:after="0" w:line="140" w:lineRule="exact"/>
        <w:rPr>
          <w:sz w:val="20"/>
          <w:szCs w:val="20"/>
          <w:color w:val="auto"/>
        </w:rPr>
      </w:pPr>
    </w:p>
    <w:p>
      <w:pPr>
        <w:ind w:firstLine="318"/>
        <w:spacing w:after="0" w:line="236" w:lineRule="auto"/>
        <w:rPr>
          <w:sz w:val="20"/>
          <w:szCs w:val="20"/>
          <w:color w:val="auto"/>
        </w:rPr>
      </w:pPr>
      <w:r>
        <w:rPr>
          <w:rFonts w:ascii="Times New Roman" w:cs="Times New Roman" w:eastAsia="Times New Roman" w:hAnsi="Times New Roman"/>
          <w:sz w:val="18"/>
          <w:szCs w:val="18"/>
          <w:color w:val="auto"/>
        </w:rPr>
        <w:t>The Company's effective tax rate was 26.9% for the nine months ended September 30, 2022, as compared to 16.4% for the nine months ended September 30, 2021. The effective tax rate for the nine months ended September 30, 2022 was higher than the rate of the prior comparable period, primarily due to the recognition of excess tax benefits on stock-based compensation related to the departure of the Company's previous chief executive officer in the first quarter of 2021.</w:t>
      </w:r>
    </w:p>
    <w:p>
      <w:pPr>
        <w:spacing w:after="0" w:line="219"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The total gross unrecognized tax benefit as of September 30, 2022 and December 31, 2021 was $2.2 million and $1.9 million, respectively, excluding interest, penalties and related tax benefits. The Company estimates the unrecognized tax benefit as of September 30, 2022 may decrease over the upcoming 12 months by an amount up to $0.3 million related to settlements with taxing authorities and expiring statutes of limitations. For the remaining liability, due to the uncertainties related to these tax matters, the Company is unable to make a reasonable estimate as to when cash settlement with a taxing authority will occur.</w:t>
      </w:r>
    </w:p>
    <w:p>
      <w:pPr>
        <w:spacing w:after="0" w:line="212" w:lineRule="exact"/>
        <w:rPr>
          <w:sz w:val="20"/>
          <w:szCs w:val="20"/>
          <w:color w:val="auto"/>
        </w:rPr>
      </w:pPr>
    </w:p>
    <w:p>
      <w:pPr>
        <w:ind w:right="40" w:firstLine="318"/>
        <w:spacing w:after="0" w:line="255" w:lineRule="auto"/>
        <w:rPr>
          <w:sz w:val="20"/>
          <w:szCs w:val="20"/>
          <w:color w:val="auto"/>
        </w:rPr>
      </w:pPr>
      <w:r>
        <w:rPr>
          <w:rFonts w:ascii="Times New Roman" w:cs="Times New Roman" w:eastAsia="Times New Roman" w:hAnsi="Times New Roman"/>
          <w:sz w:val="18"/>
          <w:szCs w:val="18"/>
          <w:color w:val="auto"/>
        </w:rPr>
        <w:t>As of September 30, 2022, accrued interest was $0.7 million and accrued penalties were less than $0.1 million, excluding any related income tax benefits. As of December 31, 2021, accrued interest was $0.6 million and accrued penalties were less than $0.1 million, excluding any related income tax benefits. The Company recognizes interest accrued related to unrecognized tax benefits and penalties as a component of its income tax provision recognized in its Consolidated Statements of Comprehensive Income.</w:t>
      </w:r>
    </w:p>
    <w:p>
      <w:pPr>
        <w:spacing w:after="0" w:line="207" w:lineRule="exact"/>
        <w:rPr>
          <w:sz w:val="20"/>
          <w:szCs w:val="20"/>
          <w:color w:val="auto"/>
        </w:rPr>
      </w:pPr>
    </w:p>
    <w:p>
      <w:pPr>
        <w:ind w:right="340" w:firstLine="318"/>
        <w:spacing w:after="0" w:line="255" w:lineRule="auto"/>
        <w:rPr>
          <w:sz w:val="20"/>
          <w:szCs w:val="20"/>
          <w:color w:val="auto"/>
        </w:rPr>
      </w:pPr>
      <w:r>
        <w:rPr>
          <w:rFonts w:ascii="Times New Roman" w:cs="Times New Roman" w:eastAsia="Times New Roman" w:hAnsi="Times New Roman"/>
          <w:sz w:val="18"/>
          <w:szCs w:val="18"/>
          <w:color w:val="auto"/>
        </w:rPr>
        <w:t>The Company files federal income tax returns and the Company or one of its subsidiaries file income tax returns in various state and international jurisdictions. With few exceptions, the Company is no longer subject to federal tax examinations by tax authorities for years before 2017 and state or non-United States tax examinations by tax authorities for years before 2011. The Company believes that adequate reserves have been provided related to all matters contained in the tax periods open to examination.</w:t>
      </w:r>
    </w:p>
    <w:p>
      <w:pPr>
        <w:spacing w:after="0" w:line="194" w:lineRule="exact"/>
        <w:rPr>
          <w:sz w:val="20"/>
          <w:szCs w:val="20"/>
          <w:color w:val="auto"/>
        </w:rPr>
      </w:pPr>
    </w:p>
    <w:p>
      <w:pPr>
        <w:ind w:right="580" w:firstLine="318"/>
        <w:spacing w:after="0" w:line="258" w:lineRule="auto"/>
        <w:rPr>
          <w:sz w:val="20"/>
          <w:szCs w:val="20"/>
          <w:color w:val="auto"/>
        </w:rPr>
      </w:pPr>
      <w:r>
        <w:rPr>
          <w:rFonts w:ascii="Times New Roman" w:cs="Times New Roman" w:eastAsia="Times New Roman" w:hAnsi="Times New Roman"/>
          <w:sz w:val="18"/>
          <w:szCs w:val="18"/>
          <w:color w:val="auto"/>
        </w:rPr>
        <w:t>On August 16, 2022, the Inflation Reduction Act of 2022 (“Inflation Reduction Act”) was signed into law in the United States. The Company will monitor regulatory developments and will continue to evaluate the impact, if any, on our consolidated financial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Stock-Based Compensation</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summarizes the components of stock-based compensation expense included in general and administrative expenses in the</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Statements of Comprehensive Income: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860" w:type="dxa"/>
            <w:vAlign w:val="bottom"/>
          </w:tcPr>
          <w:p>
            <w:pPr>
              <w:spacing w:after="0"/>
              <w:rPr>
                <w:sz w:val="16"/>
                <w:szCs w:val="16"/>
                <w:color w:val="auto"/>
              </w:rPr>
            </w:pPr>
          </w:p>
        </w:tc>
        <w:tc>
          <w:tcPr>
            <w:tcW w:w="18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60" w:type="dxa"/>
            <w:vAlign w:val="bottom"/>
            <w:gridSpan w:val="4"/>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1"/>
        </w:trPr>
        <w:tc>
          <w:tcPr>
            <w:tcW w:w="6860" w:type="dxa"/>
            <w:vAlign w:val="bottom"/>
          </w:tcPr>
          <w:p>
            <w:pPr>
              <w:spacing w:after="0"/>
              <w:rPr>
                <w:sz w:val="18"/>
                <w:szCs w:val="18"/>
                <w:color w:val="auto"/>
              </w:rPr>
            </w:pPr>
          </w:p>
        </w:tc>
        <w:tc>
          <w:tcPr>
            <w:tcW w:w="1860" w:type="dxa"/>
            <w:vAlign w:val="bottom"/>
            <w:tcBorders>
              <w:bottom w:val="single" w:sz="8" w:color="auto"/>
            </w:tcBorders>
            <w:gridSpan w:val="4"/>
          </w:tcPr>
          <w:p>
            <w:pPr>
              <w:jc w:val="right"/>
              <w:ind w:right="178"/>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4"/>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05"/>
        </w:trPr>
        <w:tc>
          <w:tcPr>
            <w:tcW w:w="68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3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206"/>
        </w:trPr>
        <w:tc>
          <w:tcPr>
            <w:tcW w:w="6860" w:type="dxa"/>
            <w:vAlign w:val="bottom"/>
            <w:vMerge w:val="continue"/>
          </w:tcPr>
          <w:p>
            <w:pPr>
              <w:spacing w:after="0"/>
              <w:rPr>
                <w:sz w:val="17"/>
                <w:szCs w:val="17"/>
                <w:color w:val="auto"/>
              </w:rPr>
            </w:pPr>
          </w:p>
        </w:tc>
        <w:tc>
          <w:tcPr>
            <w:tcW w:w="7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8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Equity classified awards expense</w:t>
            </w:r>
          </w:p>
        </w:tc>
        <w:tc>
          <w:tcPr>
            <w:tcW w:w="700" w:type="dxa"/>
            <w:vAlign w:val="bottom"/>
            <w:shd w:val="clear" w:color="auto" w:fill="CCEEFF"/>
          </w:tcPr>
          <w:p>
            <w:pPr>
              <w:jc w:val="right"/>
              <w:ind w:right="517"/>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3.8</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8"/>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25"/>
        </w:trPr>
        <w:tc>
          <w:tcPr>
            <w:tcW w:w="68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Liability classified awards expense</w:t>
            </w:r>
          </w:p>
        </w:tc>
        <w:tc>
          <w:tcPr>
            <w:tcW w:w="7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0.3</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0.2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19"/>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pre-tax stock-based compensation expense</w:t>
            </w:r>
          </w:p>
        </w:tc>
        <w:tc>
          <w:tcPr>
            <w:tcW w:w="700" w:type="dxa"/>
            <w:vAlign w:val="bottom"/>
            <w:shd w:val="clear" w:color="auto" w:fill="CCEEFF"/>
          </w:tcPr>
          <w:p>
            <w:pPr>
              <w:spacing w:after="0"/>
              <w:rPr>
                <w:sz w:val="19"/>
                <w:szCs w:val="19"/>
                <w:color w:val="auto"/>
              </w:rPr>
            </w:pPr>
          </w:p>
        </w:tc>
        <w:tc>
          <w:tcPr>
            <w:tcW w:w="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25"/>
        </w:trPr>
        <w:tc>
          <w:tcPr>
            <w:tcW w:w="6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Book income tax benefit</w:t>
            </w:r>
          </w:p>
        </w:tc>
        <w:tc>
          <w:tcPr>
            <w:tcW w:w="7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(1.1)</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2"/>
              </w:rPr>
              <w:t>(0.8)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44"/>
        </w:trPr>
        <w:tc>
          <w:tcPr>
            <w:tcW w:w="6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 net of tax</w:t>
            </w:r>
          </w:p>
        </w:tc>
        <w:tc>
          <w:tcPr>
            <w:tcW w:w="700" w:type="dxa"/>
            <w:vAlign w:val="bottom"/>
            <w:tcBorders>
              <w:bottom w:val="single" w:sz="8" w:color="auto"/>
            </w:tcBorders>
            <w:shd w:val="clear" w:color="auto" w:fill="CCEEFF"/>
          </w:tcPr>
          <w:p>
            <w:pPr>
              <w:jc w:val="right"/>
              <w:ind w:right="517"/>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3.0</w:t>
            </w:r>
          </w:p>
        </w:tc>
        <w:tc>
          <w:tcPr>
            <w:tcW w:w="1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ind w:right="498"/>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2.4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0"/>
        </w:trPr>
        <w:tc>
          <w:tcPr>
            <w:tcW w:w="68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0"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8"/>
          <w:szCs w:val="18"/>
          <w:color w:val="auto"/>
        </w:rPr>
        <w:t>As of September 30, 2022, total unrecognized compensation expense of $19.7 million related to restricted stock and restricted stock units and $3.3 million related to stock options are expected to be recognized over a weighted average period of 1.5 years for restricted stock and restricted stock units and 1.5 years for stock options.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Stock-Based Compensation (Continued)</w:t>
      </w:r>
    </w:p>
    <w:p>
      <w:pPr>
        <w:spacing w:after="0" w:line="200" w:lineRule="exact"/>
        <w:rPr>
          <w:sz w:val="20"/>
          <w:szCs w:val="20"/>
          <w:color w:val="auto"/>
        </w:rPr>
      </w:pPr>
    </w:p>
    <w:p>
      <w:pPr>
        <w:spacing w:after="0" w:line="2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Fair Value Assumptions</w:t>
      </w:r>
    </w:p>
    <w:p>
      <w:pPr>
        <w:spacing w:after="0" w:line="248" w:lineRule="exact"/>
        <w:rPr>
          <w:sz w:val="20"/>
          <w:szCs w:val="20"/>
          <w:color w:val="auto"/>
        </w:rPr>
      </w:pPr>
    </w:p>
    <w:p>
      <w:pPr>
        <w:ind w:right="80" w:firstLine="318"/>
        <w:spacing w:after="0" w:line="274" w:lineRule="auto"/>
        <w:rPr>
          <w:sz w:val="20"/>
          <w:szCs w:val="20"/>
          <w:color w:val="auto"/>
        </w:rPr>
      </w:pPr>
      <w:r>
        <w:rPr>
          <w:rFonts w:ascii="Times New Roman" w:cs="Times New Roman" w:eastAsia="Times New Roman" w:hAnsi="Times New Roman"/>
          <w:sz w:val="18"/>
          <w:szCs w:val="18"/>
          <w:color w:val="auto"/>
        </w:rPr>
        <w:t>The following table summarizes the assumptions used in the Black-Scholes model for stock options granted during the nine months ended September 30,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0" w:type="dxa"/>
            <w:vAlign w:val="bottom"/>
          </w:tcPr>
          <w:p>
            <w:pPr>
              <w:spacing w:after="0"/>
              <w:rPr>
                <w:sz w:val="1"/>
                <w:szCs w:val="1"/>
                <w:color w:val="auto"/>
              </w:rPr>
            </w:pPr>
          </w:p>
        </w:tc>
      </w:tr>
      <w:tr>
        <w:trPr>
          <w:trHeight w:val="225"/>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Historical volatility</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70.1 %</w:t>
            </w:r>
          </w:p>
        </w:tc>
        <w:tc>
          <w:tcPr>
            <w:tcW w:w="0" w:type="dxa"/>
            <w:vAlign w:val="bottom"/>
          </w:tcPr>
          <w:p>
            <w:pPr>
              <w:spacing w:after="0"/>
              <w:rPr>
                <w:sz w:val="1"/>
                <w:szCs w:val="1"/>
                <w:color w:val="auto"/>
              </w:rPr>
            </w:pPr>
          </w:p>
        </w:tc>
      </w:tr>
      <w:tr>
        <w:trPr>
          <w:trHeight w:val="225"/>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 yield</w:t>
            </w: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0" w:type="dxa"/>
            <w:vAlign w:val="bottom"/>
          </w:tcPr>
          <w:p>
            <w:pPr>
              <w:spacing w:after="0"/>
              <w:rPr>
                <w:sz w:val="1"/>
                <w:szCs w:val="1"/>
                <w:color w:val="auto"/>
              </w:rPr>
            </w:pPr>
          </w:p>
        </w:tc>
      </w:tr>
      <w:tr>
        <w:trPr>
          <w:trHeight w:val="225"/>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years until exercise</w:t>
            </w: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25"/>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Fair value of options granted</w:t>
            </w: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$33.23</w:t>
            </w:r>
          </w:p>
        </w:tc>
        <w:tc>
          <w:tcPr>
            <w:tcW w:w="0" w:type="dxa"/>
            <w:vAlign w:val="bottom"/>
          </w:tcPr>
          <w:p>
            <w:pPr>
              <w:spacing w:after="0"/>
              <w:rPr>
                <w:sz w:val="1"/>
                <w:szCs w:val="1"/>
                <w:color w:val="auto"/>
              </w:rPr>
            </w:pPr>
          </w:p>
        </w:tc>
      </w:tr>
      <w:tr>
        <w:trPr>
          <w:trHeight w:val="796"/>
        </w:trPr>
        <w:tc>
          <w:tcPr>
            <w:tcW w:w="56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Equity Classified Awards - Stock Options</w:t>
            </w: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10000" w:type="dxa"/>
            <w:vAlign w:val="bottom"/>
            <w:gridSpan w:val="8"/>
          </w:tcPr>
          <w:p>
            <w:pPr>
              <w:ind w:left="320"/>
              <w:spacing w:after="0"/>
              <w:rPr>
                <w:sz w:val="20"/>
                <w:szCs w:val="20"/>
                <w:color w:val="auto"/>
              </w:rPr>
            </w:pPr>
            <w:r>
              <w:rPr>
                <w:rFonts w:ascii="Times New Roman" w:cs="Times New Roman" w:eastAsia="Times New Roman" w:hAnsi="Times New Roman"/>
                <w:sz w:val="18"/>
                <w:szCs w:val="18"/>
                <w:color w:val="auto"/>
              </w:rPr>
              <w:t>Stock option balances at September 30, 2022, and activity for the nine months ended September 30, 2022 were as follows:</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56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Weighted Average</w:t>
            </w:r>
          </w:p>
        </w:tc>
        <w:tc>
          <w:tcPr>
            <w:tcW w:w="200" w:type="dxa"/>
            <w:vAlign w:val="bottom"/>
          </w:tcPr>
          <w:p>
            <w:pPr>
              <w:spacing w:after="0"/>
              <w:rPr>
                <w:sz w:val="16"/>
                <w:szCs w:val="16"/>
                <w:color w:val="auto"/>
              </w:rPr>
            </w:pPr>
          </w:p>
        </w:tc>
        <w:tc>
          <w:tcPr>
            <w:tcW w:w="104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9"/>
              </w:rPr>
              <w:t>Aggregate</w:t>
            </w:r>
          </w:p>
        </w:tc>
        <w:tc>
          <w:tcPr>
            <w:tcW w:w="0" w:type="dxa"/>
            <w:vAlign w:val="bottom"/>
          </w:tcPr>
          <w:p>
            <w:pPr>
              <w:spacing w:after="0"/>
              <w:rPr>
                <w:sz w:val="1"/>
                <w:szCs w:val="1"/>
                <w:color w:val="auto"/>
              </w:rPr>
            </w:pPr>
          </w:p>
        </w:tc>
      </w:tr>
      <w:tr>
        <w:trPr>
          <w:trHeight w:val="159"/>
        </w:trPr>
        <w:tc>
          <w:tcPr>
            <w:tcW w:w="56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280"/>
              <w:spacing w:after="0" w:line="159"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1820" w:type="dxa"/>
            <w:vAlign w:val="bottom"/>
            <w:gridSpan w:val="2"/>
          </w:tcPr>
          <w:p>
            <w:pPr>
              <w:jc w:val="center"/>
              <w:ind w:right="80"/>
              <w:spacing w:after="0" w:line="159" w:lineRule="exact"/>
              <w:rPr>
                <w:sz w:val="20"/>
                <w:szCs w:val="20"/>
                <w:color w:val="auto"/>
              </w:rPr>
            </w:pPr>
            <w:r>
              <w:rPr>
                <w:rFonts w:ascii="Times New Roman" w:cs="Times New Roman" w:eastAsia="Times New Roman" w:hAnsi="Times New Roman"/>
                <w:sz w:val="16"/>
                <w:szCs w:val="16"/>
                <w:b w:val="1"/>
                <w:bCs w:val="1"/>
                <w:color w:val="auto"/>
                <w:w w:val="99"/>
              </w:rPr>
              <w:t>Remaining</w:t>
            </w:r>
          </w:p>
        </w:tc>
        <w:tc>
          <w:tcPr>
            <w:tcW w:w="200" w:type="dxa"/>
            <w:vAlign w:val="bottom"/>
          </w:tcPr>
          <w:p>
            <w:pPr>
              <w:spacing w:after="0"/>
              <w:rPr>
                <w:sz w:val="13"/>
                <w:szCs w:val="13"/>
                <w:color w:val="auto"/>
              </w:rPr>
            </w:pPr>
          </w:p>
        </w:tc>
        <w:tc>
          <w:tcPr>
            <w:tcW w:w="1040" w:type="dxa"/>
            <w:vAlign w:val="bottom"/>
          </w:tcPr>
          <w:p>
            <w:pPr>
              <w:jc w:val="center"/>
              <w:ind w:right="95"/>
              <w:spacing w:after="0" w:line="159" w:lineRule="exact"/>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159"/>
        </w:trPr>
        <w:tc>
          <w:tcPr>
            <w:tcW w:w="5680" w:type="dxa"/>
            <w:vAlign w:val="bottom"/>
          </w:tcPr>
          <w:p>
            <w:pPr>
              <w:spacing w:after="0"/>
              <w:rPr>
                <w:sz w:val="13"/>
                <w:szCs w:val="13"/>
                <w:color w:val="auto"/>
              </w:rPr>
            </w:pPr>
          </w:p>
        </w:tc>
        <w:tc>
          <w:tcPr>
            <w:tcW w:w="1180" w:type="dxa"/>
            <w:vAlign w:val="bottom"/>
            <w:vMerge w:val="restart"/>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center"/>
              <w:ind w:right="260"/>
              <w:spacing w:after="0" w:line="159" w:lineRule="exact"/>
              <w:rPr>
                <w:sz w:val="20"/>
                <w:szCs w:val="20"/>
                <w:color w:val="auto"/>
              </w:rPr>
            </w:pPr>
            <w:r>
              <w:rPr>
                <w:rFonts w:ascii="Times New Roman" w:cs="Times New Roman" w:eastAsia="Times New Roman" w:hAnsi="Times New Roman"/>
                <w:sz w:val="16"/>
                <w:szCs w:val="16"/>
                <w:b w:val="1"/>
                <w:bCs w:val="1"/>
                <w:color w:val="auto"/>
              </w:rPr>
              <w:t>Exercise</w:t>
            </w:r>
          </w:p>
        </w:tc>
        <w:tc>
          <w:tcPr>
            <w:tcW w:w="1820" w:type="dxa"/>
            <w:vAlign w:val="bottom"/>
            <w:gridSpan w:val="2"/>
          </w:tcPr>
          <w:p>
            <w:pPr>
              <w:jc w:val="center"/>
              <w:ind w:right="80"/>
              <w:spacing w:after="0" w:line="159" w:lineRule="exact"/>
              <w:rPr>
                <w:sz w:val="20"/>
                <w:szCs w:val="20"/>
                <w:color w:val="auto"/>
              </w:rPr>
            </w:pPr>
            <w:r>
              <w:rPr>
                <w:rFonts w:ascii="Times New Roman" w:cs="Times New Roman" w:eastAsia="Times New Roman" w:hAnsi="Times New Roman"/>
                <w:sz w:val="16"/>
                <w:szCs w:val="16"/>
                <w:b w:val="1"/>
                <w:bCs w:val="1"/>
                <w:color w:val="auto"/>
                <w:w w:val="97"/>
              </w:rPr>
              <w:t>Contractual Term</w:t>
            </w:r>
          </w:p>
        </w:tc>
        <w:tc>
          <w:tcPr>
            <w:tcW w:w="200" w:type="dxa"/>
            <w:vAlign w:val="bottom"/>
          </w:tcPr>
          <w:p>
            <w:pPr>
              <w:spacing w:after="0"/>
              <w:rPr>
                <w:sz w:val="13"/>
                <w:szCs w:val="13"/>
                <w:color w:val="auto"/>
              </w:rPr>
            </w:pPr>
          </w:p>
        </w:tc>
        <w:tc>
          <w:tcPr>
            <w:tcW w:w="1040" w:type="dxa"/>
            <w:vAlign w:val="bottom"/>
          </w:tcPr>
          <w:p>
            <w:pPr>
              <w:jc w:val="center"/>
              <w:ind w:right="115"/>
              <w:spacing w:after="0" w:line="159" w:lineRule="exact"/>
              <w:rPr>
                <w:sz w:val="20"/>
                <w:szCs w:val="20"/>
                <w:color w:val="auto"/>
              </w:rPr>
            </w:pPr>
            <w:r>
              <w:rPr>
                <w:rFonts w:ascii="Times New Roman" w:cs="Times New Roman" w:eastAsia="Times New Roman" w:hAnsi="Times New Roman"/>
                <w:sz w:val="16"/>
                <w:szCs w:val="16"/>
                <w:b w:val="1"/>
                <w:bCs w:val="1"/>
                <w:color w:val="auto"/>
                <w:w w:val="95"/>
              </w:rPr>
              <w:t>Value (in</w:t>
            </w:r>
          </w:p>
        </w:tc>
        <w:tc>
          <w:tcPr>
            <w:tcW w:w="0" w:type="dxa"/>
            <w:vAlign w:val="bottom"/>
          </w:tcPr>
          <w:p>
            <w:pPr>
              <w:spacing w:after="0"/>
              <w:rPr>
                <w:sz w:val="1"/>
                <w:szCs w:val="1"/>
                <w:color w:val="auto"/>
              </w:rPr>
            </w:pPr>
          </w:p>
        </w:tc>
      </w:tr>
      <w:tr>
        <w:trPr>
          <w:trHeight w:val="211"/>
        </w:trPr>
        <w:tc>
          <w:tcPr>
            <w:tcW w:w="5680" w:type="dxa"/>
            <w:vAlign w:val="bottom"/>
          </w:tcPr>
          <w:p>
            <w:pPr>
              <w:spacing w:after="0"/>
              <w:rPr>
                <w:sz w:val="18"/>
                <w:szCs w:val="18"/>
                <w:color w:val="auto"/>
              </w:rPr>
            </w:pPr>
          </w:p>
        </w:tc>
        <w:tc>
          <w:tcPr>
            <w:tcW w:w="11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8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(in Years)</w:t>
            </w:r>
          </w:p>
        </w:tc>
        <w:tc>
          <w:tcPr>
            <w:tcW w:w="200" w:type="dxa"/>
            <w:vAlign w:val="bottom"/>
          </w:tcPr>
          <w:p>
            <w:pPr>
              <w:spacing w:after="0"/>
              <w:rPr>
                <w:sz w:val="18"/>
                <w:szCs w:val="18"/>
                <w:color w:val="auto"/>
              </w:rPr>
            </w:pPr>
          </w:p>
        </w:tc>
        <w:tc>
          <w:tcPr>
            <w:tcW w:w="1040" w:type="dxa"/>
            <w:vAlign w:val="bottom"/>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rPr>
              <w:t>Millions)</w:t>
            </w:r>
          </w:p>
        </w:tc>
        <w:tc>
          <w:tcPr>
            <w:tcW w:w="0" w:type="dxa"/>
            <w:vAlign w:val="bottom"/>
          </w:tcPr>
          <w:p>
            <w:pPr>
              <w:spacing w:after="0"/>
              <w:rPr>
                <w:sz w:val="1"/>
                <w:szCs w:val="1"/>
                <w:color w:val="auto"/>
              </w:rPr>
            </w:pPr>
          </w:p>
        </w:tc>
      </w:tr>
      <w:tr>
        <w:trPr>
          <w:trHeight w:val="220"/>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475,904</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76.65</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75,795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70.08</w:t>
            </w: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Exercised</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68.80</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Expired</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94.43</w:t>
            </w:r>
          </w:p>
        </w:tc>
        <w:tc>
          <w:tcPr>
            <w:tcW w:w="1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81.13</w:t>
            </w:r>
          </w:p>
        </w:tc>
        <w:tc>
          <w:tcPr>
            <w:tcW w:w="10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2022</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539,575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75.65</w:t>
            </w:r>
          </w:p>
        </w:tc>
        <w:tc>
          <w:tcPr>
            <w:tcW w:w="10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6.2</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56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7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 at September 30, 2022 and Expected to Vest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524,475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75.73</w:t>
            </w:r>
          </w:p>
        </w:tc>
        <w:tc>
          <w:tcPr>
            <w:tcW w:w="10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0"/>
        </w:trPr>
        <w:tc>
          <w:tcPr>
            <w:tcW w:w="56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56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Exercisable at September 30, 2022</w:t>
            </w:r>
          </w:p>
        </w:tc>
        <w:tc>
          <w:tcPr>
            <w:tcW w:w="11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378,811</w:t>
            </w:r>
          </w:p>
        </w:tc>
        <w:tc>
          <w:tcPr>
            <w:tcW w:w="28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75.95</w:t>
            </w:r>
          </w:p>
        </w:tc>
        <w:tc>
          <w:tcPr>
            <w:tcW w:w="100" w:type="dxa"/>
            <w:vAlign w:val="bottom"/>
          </w:tcPr>
          <w:p>
            <w:pPr>
              <w:spacing w:after="0"/>
              <w:rPr>
                <w:sz w:val="17"/>
                <w:szCs w:val="17"/>
                <w:color w:val="auto"/>
              </w:rPr>
            </w:pPr>
          </w:p>
        </w:tc>
        <w:tc>
          <w:tcPr>
            <w:tcW w:w="172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5.1</w:t>
            </w:r>
          </w:p>
        </w:tc>
        <w:tc>
          <w:tcPr>
            <w:tcW w:w="100" w:type="dxa"/>
            <w:vAlign w:val="bottom"/>
          </w:tcPr>
          <w:p>
            <w:pPr>
              <w:spacing w:after="0"/>
              <w:rPr>
                <w:sz w:val="17"/>
                <w:szCs w:val="17"/>
                <w:color w:val="auto"/>
              </w:rPr>
            </w:pPr>
          </w:p>
        </w:tc>
        <w:tc>
          <w:tcPr>
            <w:tcW w:w="2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6" w:lineRule="exact"/>
        <w:rPr>
          <w:sz w:val="20"/>
          <w:szCs w:val="20"/>
          <w:color w:val="auto"/>
        </w:rPr>
      </w:pPr>
    </w:p>
    <w:p>
      <w:pPr>
        <w:ind w:right="200" w:firstLine="318"/>
        <w:spacing w:after="0" w:line="255"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total pre-tax intrinsic value (the difference between the closing stock price of the Company’s common stock on the last trading day of the third quarter of 2022 and the exercise price, multiplied by the number of in-the-money options) that would have been received by the option holders had all option holders exercised their options on September 30, 2022. The aggregate intrinsic value will change based on the fair market value of the Company’s common stock and the number of in-the-money options.</w:t>
      </w:r>
    </w:p>
    <w:p>
      <w:pPr>
        <w:spacing w:after="0" w:line="200" w:lineRule="exact"/>
        <w:rPr>
          <w:sz w:val="20"/>
          <w:szCs w:val="20"/>
          <w:color w:val="auto"/>
        </w:rPr>
      </w:pPr>
    </w:p>
    <w:p>
      <w:pPr>
        <w:spacing w:after="0" w:line="22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Equity Classified Awards - Restricted Stock and Restricted Stock Units</w:t>
      </w:r>
    </w:p>
    <w:p>
      <w:pPr>
        <w:spacing w:after="0" w:line="221" w:lineRule="exact"/>
        <w:rPr>
          <w:sz w:val="20"/>
          <w:szCs w:val="20"/>
          <w:color w:val="auto"/>
        </w:rPr>
      </w:pPr>
    </w:p>
    <w:p>
      <w:pPr>
        <w:ind w:right="60" w:firstLine="318"/>
        <w:spacing w:after="0" w:line="270" w:lineRule="auto"/>
        <w:rPr>
          <w:sz w:val="20"/>
          <w:szCs w:val="20"/>
          <w:color w:val="auto"/>
        </w:rPr>
      </w:pPr>
      <w:r>
        <w:rPr>
          <w:rFonts w:ascii="Times New Roman" w:cs="Times New Roman" w:eastAsia="Times New Roman" w:hAnsi="Times New Roman"/>
          <w:sz w:val="18"/>
          <w:szCs w:val="18"/>
          <w:color w:val="auto"/>
        </w:rPr>
        <w:t>Outstanding balances as of September 30, 2022, and activity related to restricted stock and restricted stock units for the nine months ended September 30, 2022 were as follows:</w:t>
      </w:r>
    </w:p>
    <w:tbl>
      <w:tblPr>
        <w:tblLayout w:type="fixed"/>
        <w:tblInd w:w="0" w:type="dxa"/>
        <w:tblCellMar>
          <w:top w:w="0" w:type="dxa"/>
          <w:left w:w="0" w:type="dxa"/>
          <w:bottom w:w="0" w:type="dxa"/>
          <w:right w:w="0" w:type="dxa"/>
        </w:tblCellMar>
      </w:tblPr>
      <w:tr>
        <w:trPr>
          <w:trHeight w:val="162"/>
        </w:trPr>
        <w:tc>
          <w:tcPr>
            <w:tcW w:w="59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Stock-Settled</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center"/>
              <w:ind w:right="56"/>
              <w:spacing w:after="0" w:line="162"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0" w:type="dxa"/>
            <w:vAlign w:val="bottom"/>
          </w:tcPr>
          <w:p>
            <w:pPr>
              <w:spacing w:after="0"/>
              <w:rPr>
                <w:sz w:val="1"/>
                <w:szCs w:val="1"/>
                <w:color w:val="auto"/>
              </w:rPr>
            </w:pPr>
          </w:p>
        </w:tc>
      </w:tr>
      <w:tr>
        <w:trPr>
          <w:trHeight w:val="159"/>
        </w:trPr>
        <w:tc>
          <w:tcPr>
            <w:tcW w:w="5940" w:type="dxa"/>
            <w:vAlign w:val="bottom"/>
          </w:tcPr>
          <w:p>
            <w:pPr>
              <w:spacing w:after="0"/>
              <w:rPr>
                <w:sz w:val="13"/>
                <w:szCs w:val="13"/>
                <w:color w:val="auto"/>
              </w:rPr>
            </w:pPr>
          </w:p>
        </w:tc>
        <w:tc>
          <w:tcPr>
            <w:tcW w:w="1320" w:type="dxa"/>
            <w:vAlign w:val="bottom"/>
            <w:vMerge w:val="restart"/>
          </w:tcPr>
          <w:p>
            <w:pPr>
              <w:ind w:left="300"/>
              <w:spacing w:after="0"/>
              <w:rPr>
                <w:sz w:val="20"/>
                <w:szCs w:val="20"/>
                <w:color w:val="auto"/>
              </w:rPr>
            </w:pPr>
            <w:r>
              <w:rPr>
                <w:rFonts w:ascii="Times New Roman" w:cs="Times New Roman" w:eastAsia="Times New Roman" w:hAnsi="Times New Roman"/>
                <w:sz w:val="16"/>
                <w:szCs w:val="16"/>
                <w:b w:val="1"/>
                <w:bCs w:val="1"/>
                <w:color w:val="auto"/>
              </w:rPr>
              <w:t>Restricted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260"/>
              <w:spacing w:after="0" w:line="159"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13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center"/>
              <w:ind w:right="76"/>
              <w:spacing w:after="0" w:line="159" w:lineRule="exact"/>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159"/>
        </w:trPr>
        <w:tc>
          <w:tcPr>
            <w:tcW w:w="5940" w:type="dxa"/>
            <w:vAlign w:val="bottom"/>
          </w:tcPr>
          <w:p>
            <w:pPr>
              <w:spacing w:after="0"/>
              <w:rPr>
                <w:sz w:val="13"/>
                <w:szCs w:val="13"/>
                <w:color w:val="auto"/>
              </w:rPr>
            </w:pPr>
          </w:p>
        </w:tc>
        <w:tc>
          <w:tcPr>
            <w:tcW w:w="13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260"/>
              <w:spacing w:after="0" w:line="159" w:lineRule="exact"/>
              <w:rPr>
                <w:sz w:val="20"/>
                <w:szCs w:val="20"/>
                <w:color w:val="auto"/>
              </w:rPr>
            </w:pPr>
            <w:r>
              <w:rPr>
                <w:rFonts w:ascii="Times New Roman" w:cs="Times New Roman" w:eastAsia="Times New Roman" w:hAnsi="Times New Roman"/>
                <w:sz w:val="16"/>
                <w:szCs w:val="16"/>
                <w:b w:val="1"/>
                <w:bCs w:val="1"/>
                <w:color w:val="auto"/>
              </w:rPr>
              <w:t>Grant Date</w:t>
            </w:r>
          </w:p>
        </w:tc>
        <w:tc>
          <w:tcPr>
            <w:tcW w:w="1320" w:type="dxa"/>
            <w:vAlign w:val="bottom"/>
          </w:tcPr>
          <w:p>
            <w:pPr>
              <w:jc w:val="center"/>
              <w:spacing w:after="0" w:line="159" w:lineRule="exact"/>
              <w:rPr>
                <w:sz w:val="20"/>
                <w:szCs w:val="20"/>
                <w:color w:val="auto"/>
              </w:rPr>
            </w:pPr>
            <w:r>
              <w:rPr>
                <w:rFonts w:ascii="Times New Roman" w:cs="Times New Roman" w:eastAsia="Times New Roman" w:hAnsi="Times New Roman"/>
                <w:sz w:val="16"/>
                <w:szCs w:val="16"/>
                <w:b w:val="1"/>
                <w:bCs w:val="1"/>
                <w:color w:val="auto"/>
                <w:w w:val="96"/>
              </w:rPr>
              <w:t>Restricted</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jc w:val="center"/>
              <w:ind w:right="76"/>
              <w:spacing w:after="0" w:line="159" w:lineRule="exact"/>
              <w:rPr>
                <w:sz w:val="20"/>
                <w:szCs w:val="20"/>
                <w:color w:val="auto"/>
              </w:rPr>
            </w:pPr>
            <w:r>
              <w:rPr>
                <w:rFonts w:ascii="Times New Roman" w:cs="Times New Roman" w:eastAsia="Times New Roman" w:hAnsi="Times New Roman"/>
                <w:sz w:val="16"/>
                <w:szCs w:val="16"/>
                <w:b w:val="1"/>
                <w:bCs w:val="1"/>
                <w:color w:val="auto"/>
              </w:rPr>
              <w:t>Grant Date</w:t>
            </w:r>
          </w:p>
        </w:tc>
        <w:tc>
          <w:tcPr>
            <w:tcW w:w="0" w:type="dxa"/>
            <w:vAlign w:val="bottom"/>
          </w:tcPr>
          <w:p>
            <w:pPr>
              <w:spacing w:after="0"/>
              <w:rPr>
                <w:sz w:val="1"/>
                <w:szCs w:val="1"/>
                <w:color w:val="auto"/>
              </w:rPr>
            </w:pPr>
          </w:p>
        </w:tc>
      </w:tr>
      <w:tr>
        <w:trPr>
          <w:trHeight w:val="211"/>
        </w:trPr>
        <w:tc>
          <w:tcPr>
            <w:tcW w:w="5940" w:type="dxa"/>
            <w:vAlign w:val="bottom"/>
          </w:tcPr>
          <w:p>
            <w:pPr>
              <w:spacing w:after="0"/>
              <w:rPr>
                <w:sz w:val="18"/>
                <w:szCs w:val="18"/>
                <w:color w:val="auto"/>
              </w:rPr>
            </w:pPr>
          </w:p>
        </w:tc>
        <w:tc>
          <w:tcPr>
            <w:tcW w:w="1320" w:type="dxa"/>
            <w:vAlign w:val="bottom"/>
          </w:tcPr>
          <w:p>
            <w:pPr>
              <w:ind w:left="46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5"/>
              </w:rPr>
              <w:t>Fair Value</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 Units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center"/>
              <w:ind w:right="76"/>
              <w:spacing w:after="0"/>
              <w:rPr>
                <w:sz w:val="20"/>
                <w:szCs w:val="20"/>
                <w:color w:val="auto"/>
              </w:rPr>
            </w:pPr>
            <w:r>
              <w:rPr>
                <w:rFonts w:ascii="Times New Roman" w:cs="Times New Roman" w:eastAsia="Times New Roman" w:hAnsi="Times New Roman"/>
                <w:sz w:val="16"/>
                <w:szCs w:val="16"/>
                <w:b w:val="1"/>
                <w:bCs w:val="1"/>
                <w:color w:val="auto"/>
                <w:w w:val="95"/>
              </w:rPr>
              <w:t>Fair Value</w:t>
            </w:r>
          </w:p>
        </w:tc>
        <w:tc>
          <w:tcPr>
            <w:tcW w:w="0" w:type="dxa"/>
            <w:vAlign w:val="bottom"/>
          </w:tcPr>
          <w:p>
            <w:pPr>
              <w:spacing w:after="0"/>
              <w:rPr>
                <w:sz w:val="1"/>
                <w:szCs w:val="1"/>
                <w:color w:val="auto"/>
              </w:rPr>
            </w:pPr>
          </w:p>
        </w:tc>
      </w:tr>
      <w:tr>
        <w:trPr>
          <w:trHeight w:val="220"/>
        </w:trPr>
        <w:tc>
          <w:tcPr>
            <w:tcW w:w="59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132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276,611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80.85</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105,592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71.00</w:t>
            </w:r>
          </w:p>
        </w:tc>
        <w:tc>
          <w:tcPr>
            <w:tcW w:w="0" w:type="dxa"/>
            <w:vAlign w:val="bottom"/>
          </w:tcPr>
          <w:p>
            <w:pPr>
              <w:spacing w:after="0"/>
              <w:rPr>
                <w:sz w:val="1"/>
                <w:szCs w:val="1"/>
                <w:color w:val="auto"/>
              </w:rPr>
            </w:pPr>
          </w:p>
        </w:tc>
      </w:tr>
      <w:tr>
        <w:trPr>
          <w:trHeight w:val="225"/>
        </w:trPr>
        <w:tc>
          <w:tcPr>
            <w:tcW w:w="5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3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182,530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70.24</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49.36</w:t>
            </w:r>
          </w:p>
        </w:tc>
        <w:tc>
          <w:tcPr>
            <w:tcW w:w="0" w:type="dxa"/>
            <w:vAlign w:val="bottom"/>
          </w:tcPr>
          <w:p>
            <w:pPr>
              <w:spacing w:after="0"/>
              <w:rPr>
                <w:sz w:val="1"/>
                <w:szCs w:val="1"/>
                <w:color w:val="auto"/>
              </w:rPr>
            </w:pPr>
          </w:p>
        </w:tc>
      </w:tr>
      <w:tr>
        <w:trPr>
          <w:trHeight w:val="225"/>
        </w:trPr>
        <w:tc>
          <w:tcPr>
            <w:tcW w:w="5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1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(87,779)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(42,180)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66.46</w:t>
            </w:r>
          </w:p>
        </w:tc>
        <w:tc>
          <w:tcPr>
            <w:tcW w:w="0" w:type="dxa"/>
            <w:vAlign w:val="bottom"/>
          </w:tcPr>
          <w:p>
            <w:pPr>
              <w:spacing w:after="0"/>
              <w:rPr>
                <w:sz w:val="1"/>
                <w:szCs w:val="1"/>
                <w:color w:val="auto"/>
              </w:rPr>
            </w:pPr>
          </w:p>
        </w:tc>
      </w:tr>
      <w:tr>
        <w:trPr>
          <w:trHeight w:val="225"/>
        </w:trPr>
        <w:tc>
          <w:tcPr>
            <w:tcW w:w="5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32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(20,592)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77.24</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4"/>
        </w:trPr>
        <w:tc>
          <w:tcPr>
            <w:tcW w:w="5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2022</w:t>
            </w:r>
          </w:p>
        </w:tc>
        <w:tc>
          <w:tcPr>
            <w:tcW w:w="132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350,770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73.67</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124,326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62.18</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10. Stock-Based Compensation (Continued)</w:t>
      </w:r>
    </w:p>
    <w:p>
      <w:pPr>
        <w:spacing w:after="0" w:line="200" w:lineRule="exact"/>
        <w:rPr>
          <w:sz w:val="20"/>
          <w:szCs w:val="20"/>
          <w:color w:val="auto"/>
        </w:rPr>
      </w:pPr>
    </w:p>
    <w:p>
      <w:pPr>
        <w:spacing w:after="0" w:line="2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Liability Classified Awards - Cash-settled Restricted Stock Units</w:t>
      </w:r>
    </w:p>
    <w:p>
      <w:pPr>
        <w:spacing w:after="0" w:line="248" w:lineRule="exact"/>
        <w:rPr>
          <w:sz w:val="20"/>
          <w:szCs w:val="20"/>
          <w:color w:val="auto"/>
        </w:rPr>
      </w:pPr>
    </w:p>
    <w:p>
      <w:pPr>
        <w:ind w:right="400" w:firstLine="318"/>
        <w:spacing w:after="0" w:line="270" w:lineRule="auto"/>
        <w:rPr>
          <w:sz w:val="20"/>
          <w:szCs w:val="20"/>
          <w:color w:val="auto"/>
        </w:rPr>
      </w:pPr>
      <w:r>
        <w:rPr>
          <w:rFonts w:ascii="Times New Roman" w:cs="Times New Roman" w:eastAsia="Times New Roman" w:hAnsi="Times New Roman"/>
          <w:sz w:val="18"/>
          <w:szCs w:val="18"/>
          <w:color w:val="auto"/>
        </w:rPr>
        <w:t>The Company has granted cash-settled restricted stock units to certain employees. These instruments are recorded as liabilities at fair value as of the respective period end.</w:t>
      </w:r>
    </w:p>
    <w:tbl>
      <w:tblPr>
        <w:tblLayout w:type="fixed"/>
        <w:tblInd w:w="420" w:type="dxa"/>
        <w:tblCellMar>
          <w:top w:w="0" w:type="dxa"/>
          <w:left w:w="0" w:type="dxa"/>
          <w:bottom w:w="0" w:type="dxa"/>
          <w:right w:w="0" w:type="dxa"/>
        </w:tblCellMar>
      </w:tblPr>
      <w:tr>
        <w:trPr>
          <w:trHeight w:val="162"/>
        </w:trPr>
        <w:tc>
          <w:tcPr>
            <w:tcW w:w="8420" w:type="dxa"/>
            <w:vAlign w:val="bottom"/>
          </w:tcPr>
          <w:p>
            <w:pPr>
              <w:spacing w:after="0"/>
              <w:rPr>
                <w:sz w:val="14"/>
                <w:szCs w:val="14"/>
                <w:color w:val="auto"/>
              </w:rPr>
            </w:pPr>
          </w:p>
        </w:tc>
        <w:tc>
          <w:tcPr>
            <w:tcW w:w="2300" w:type="dxa"/>
            <w:vAlign w:val="bottom"/>
          </w:tcPr>
          <w:p>
            <w:pPr>
              <w:jc w:val="right"/>
              <w:ind w:right="255"/>
              <w:spacing w:after="0" w:line="162" w:lineRule="exact"/>
              <w:rPr>
                <w:sz w:val="20"/>
                <w:szCs w:val="20"/>
                <w:color w:val="auto"/>
              </w:rPr>
            </w:pPr>
            <w:r>
              <w:rPr>
                <w:rFonts w:ascii="Times New Roman" w:cs="Times New Roman" w:eastAsia="Times New Roman" w:hAnsi="Times New Roman"/>
                <w:sz w:val="16"/>
                <w:szCs w:val="16"/>
                <w:b w:val="1"/>
                <w:bCs w:val="1"/>
                <w:color w:val="auto"/>
              </w:rPr>
              <w:t>Cash-Settled Restricted</w:t>
            </w:r>
          </w:p>
        </w:tc>
      </w:tr>
      <w:tr>
        <w:trPr>
          <w:trHeight w:val="211"/>
        </w:trPr>
        <w:tc>
          <w:tcPr>
            <w:tcW w:w="8420" w:type="dxa"/>
            <w:vAlign w:val="bottom"/>
            <w:tcBorders>
              <w:bottom w:val="single" w:sz="8" w:color="CCEEFF"/>
            </w:tcBorders>
          </w:tcPr>
          <w:p>
            <w:pPr>
              <w:spacing w:after="0"/>
              <w:rPr>
                <w:sz w:val="18"/>
                <w:szCs w:val="18"/>
                <w:color w:val="auto"/>
              </w:rPr>
            </w:pPr>
          </w:p>
        </w:tc>
        <w:tc>
          <w:tcPr>
            <w:tcW w:w="230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6"/>
                <w:szCs w:val="16"/>
                <w:b w:val="1"/>
                <w:bCs w:val="1"/>
                <w:color w:val="auto"/>
              </w:rPr>
              <w:t>Stock Units</w:t>
            </w:r>
          </w:p>
        </w:tc>
      </w:tr>
      <w:tr>
        <w:trPr>
          <w:trHeight w:val="220"/>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2021</w:t>
            </w:r>
          </w:p>
        </w:tc>
        <w:tc>
          <w:tcPr>
            <w:tcW w:w="2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12,799</w:t>
            </w:r>
          </w:p>
        </w:tc>
      </w:tr>
      <w:tr>
        <w:trPr>
          <w:trHeight w:val="225"/>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2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25"/>
        </w:trPr>
        <w:tc>
          <w:tcPr>
            <w:tcW w:w="8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Released</w:t>
            </w:r>
          </w:p>
        </w:tc>
        <w:tc>
          <w:tcPr>
            <w:tcW w:w="2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(12,866)</w:t>
            </w:r>
          </w:p>
        </w:tc>
      </w:tr>
      <w:tr>
        <w:trPr>
          <w:trHeight w:val="218"/>
        </w:trPr>
        <w:tc>
          <w:tcPr>
            <w:tcW w:w="8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2022</w:t>
            </w:r>
          </w:p>
        </w:tc>
        <w:tc>
          <w:tcPr>
            <w:tcW w:w="2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420" w:type="dxa"/>
            <w:vAlign w:val="bottom"/>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32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For the three months ended September 30, 2022 and 2021, an expense of zero and $0.1 million, respectively, was included as stock-based compensation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expense related to cash-settled restricted stock units. For the nine months ended September 30, 2022 and 2021, an expense of $0.2 million and a credit of $1.5</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million, respectively, was included as stock-based compensation expense related to cash-settled restricted stock units. At September 30, 2022 and</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31, 2021, liabilities were zero and $0.9 million, respectively, related to cash-settled restricted stock units were included as part of accrued employee</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and benefits in the Consolidated Balance Sheets.</w:t>
      </w:r>
    </w:p>
    <w:p>
      <w:pPr>
        <w:spacing w:after="0" w:line="22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Liability Classified Awards - Long-Term Incentive Awards</w:t>
      </w:r>
    </w:p>
    <w:p>
      <w:pPr>
        <w:spacing w:after="0" w:line="155" w:lineRule="exact"/>
        <w:rPr>
          <w:sz w:val="20"/>
          <w:szCs w:val="20"/>
          <w:color w:val="auto"/>
        </w:rPr>
      </w:pPr>
    </w:p>
    <w:p>
      <w:pPr>
        <w:ind w:right="20" w:firstLine="318"/>
        <w:spacing w:after="0" w:line="249" w:lineRule="auto"/>
        <w:rPr>
          <w:sz w:val="20"/>
          <w:szCs w:val="20"/>
          <w:color w:val="auto"/>
        </w:rPr>
      </w:pPr>
      <w:r>
        <w:rPr>
          <w:rFonts w:ascii="Times New Roman" w:cs="Times New Roman" w:eastAsia="Times New Roman" w:hAnsi="Times New Roman"/>
          <w:sz w:val="18"/>
          <w:szCs w:val="18"/>
          <w:color w:val="auto"/>
        </w:rPr>
        <w:t>The Company has granted cash long-term incentive awards (“LTIP awards”) to certain employees. Annual LTIP awards vest over a three-year period and are determined using multipliers from 0% to 200% of the target award based on the total stockholder return of the Company's common stock compared to the total stockholder returns of a peer group of companies. The awards are considered stock-based compensation and are classified as liabilities measured at fair value as of the respective period end. For the three months ended September 30, 2022 and 2021, an expense of $0.2 million and $0.2 million, respectively, were included in total stock-based compensation expense related to LTIP awards. For the nine months ended September 30, 2022 and 2021, $1.5 million and $0.7 million, respectively, were included in total stock-based compensation expense related to LTIP awards. At September 30, 2022 and December 31, 2021, liabilities of $2.4 million and $1.5 million, respectively, related to LTIP awards were included as part of accrued employee compensation and benefits, and for the long-term portion in other non-current liabilities in the Consolidated Balance Sheets.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Net Income per Share</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computation of the Company's basic and diluted net income per share is as follows: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5"/>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w w:val="98"/>
              </w:rPr>
              <w:t>Three Months Ended</w:t>
            </w:r>
          </w:p>
        </w:tc>
        <w:tc>
          <w:tcPr>
            <w:tcW w:w="240" w:type="dxa"/>
            <w:vAlign w:val="bottom"/>
          </w:tcPr>
          <w:p>
            <w:pPr>
              <w:spacing w:after="0"/>
              <w:rPr>
                <w:sz w:val="16"/>
                <w:szCs w:val="16"/>
                <w:color w:val="auto"/>
              </w:rPr>
            </w:pPr>
          </w:p>
        </w:tc>
        <w:tc>
          <w:tcPr>
            <w:tcW w:w="1980" w:type="dxa"/>
            <w:vAlign w:val="bottom"/>
            <w:gridSpan w:val="4"/>
          </w:tcPr>
          <w:p>
            <w:pPr>
              <w:jc w:val="right"/>
              <w:ind w:right="312"/>
              <w:spacing w:after="0"/>
              <w:rPr>
                <w:sz w:val="20"/>
                <w:szCs w:val="20"/>
                <w:color w:val="auto"/>
              </w:rPr>
            </w:pPr>
            <w:r>
              <w:rPr>
                <w:rFonts w:ascii="Times New Roman" w:cs="Times New Roman" w:eastAsia="Times New Roman" w:hAnsi="Times New Roman"/>
                <w:sz w:val="17"/>
                <w:szCs w:val="17"/>
                <w:b w:val="1"/>
                <w:bCs w:val="1"/>
                <w:color w:val="auto"/>
              </w:rPr>
              <w:t>Nine Months Ended</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00" w:type="dxa"/>
            <w:vAlign w:val="bottom"/>
            <w:gridSpan w:val="5"/>
          </w:tcPr>
          <w:p>
            <w:pPr>
              <w:jc w:val="center"/>
              <w:ind w:right="340"/>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240" w:type="dxa"/>
            <w:vAlign w:val="bottom"/>
          </w:tcPr>
          <w:p>
            <w:pPr>
              <w:spacing w:after="0"/>
              <w:rPr>
                <w:sz w:val="19"/>
                <w:szCs w:val="19"/>
                <w:color w:val="auto"/>
              </w:rPr>
            </w:pPr>
          </w:p>
        </w:tc>
        <w:tc>
          <w:tcPr>
            <w:tcW w:w="1980" w:type="dxa"/>
            <w:vAlign w:val="bottom"/>
            <w:gridSpan w:val="4"/>
          </w:tcPr>
          <w:p>
            <w:pPr>
              <w:jc w:val="right"/>
              <w:ind w:right="512"/>
              <w:spacing w:after="0"/>
              <w:rPr>
                <w:sz w:val="20"/>
                <w:szCs w:val="20"/>
                <w:color w:val="auto"/>
              </w:rPr>
            </w:pPr>
            <w:r>
              <w:rPr>
                <w:rFonts w:ascii="Times New Roman" w:cs="Times New Roman" w:eastAsia="Times New Roman" w:hAnsi="Times New Roman"/>
                <w:sz w:val="17"/>
                <w:szCs w:val="17"/>
                <w:b w:val="1"/>
                <w:bCs w:val="1"/>
                <w:color w:val="auto"/>
              </w:rPr>
              <w:t>September 30,</w:t>
            </w:r>
          </w:p>
        </w:tc>
        <w:tc>
          <w:tcPr>
            <w:tcW w:w="0" w:type="dxa"/>
            <w:vAlign w:val="bottom"/>
          </w:tcPr>
          <w:p>
            <w:pPr>
              <w:spacing w:after="0"/>
              <w:rPr>
                <w:sz w:val="1"/>
                <w:szCs w:val="1"/>
                <w:color w:val="auto"/>
              </w:rPr>
            </w:pPr>
          </w:p>
        </w:tc>
      </w:tr>
      <w:tr>
        <w:trPr>
          <w:trHeight w:val="206"/>
        </w:trPr>
        <w:tc>
          <w:tcPr>
            <w:tcW w:w="652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80"/>
        </w:trPr>
        <w:tc>
          <w:tcPr>
            <w:tcW w:w="6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4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6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Numerator for basic and diluted income per common share:</w:t>
            </w: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20,948</w:t>
            </w:r>
          </w:p>
        </w:tc>
        <w:tc>
          <w:tcPr>
            <w:tcW w:w="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69,760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78,076</w:t>
            </w:r>
          </w:p>
        </w:tc>
        <w:tc>
          <w:tcPr>
            <w:tcW w:w="0" w:type="dxa"/>
            <w:vAlign w:val="bottom"/>
          </w:tcPr>
          <w:p>
            <w:pPr>
              <w:spacing w:after="0"/>
              <w:rPr>
                <w:sz w:val="1"/>
                <w:szCs w:val="1"/>
                <w:color w:val="auto"/>
              </w:rPr>
            </w:pPr>
          </w:p>
        </w:tc>
      </w:tr>
      <w:tr>
        <w:trPr>
          <w:trHeight w:val="225"/>
        </w:trPr>
        <w:tc>
          <w:tcPr>
            <w:tcW w:w="6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Net income allocated to unvested participating restricted stock</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(1,920)</w:t>
            </w:r>
          </w:p>
        </w:tc>
        <w:tc>
          <w:tcPr>
            <w:tcW w:w="0" w:type="dxa"/>
            <w:vAlign w:val="bottom"/>
          </w:tcPr>
          <w:p>
            <w:pPr>
              <w:spacing w:after="0"/>
              <w:rPr>
                <w:sz w:val="1"/>
                <w:szCs w:val="1"/>
                <w:color w:val="auto"/>
              </w:rPr>
            </w:pPr>
          </w:p>
        </w:tc>
      </w:tr>
      <w:tr>
        <w:trPr>
          <w:trHeight w:val="219"/>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stockholders - basic</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76,156</w:t>
            </w:r>
          </w:p>
        </w:tc>
        <w:tc>
          <w:tcPr>
            <w:tcW w:w="0" w:type="dxa"/>
            <w:vAlign w:val="bottom"/>
          </w:tcPr>
          <w:p>
            <w:pPr>
              <w:spacing w:after="0"/>
              <w:rPr>
                <w:sz w:val="1"/>
                <w:szCs w:val="1"/>
                <w:color w:val="auto"/>
              </w:rPr>
            </w:pPr>
          </w:p>
        </w:tc>
      </w:tr>
      <w:tr>
        <w:trPr>
          <w:trHeight w:val="225"/>
        </w:trPr>
        <w:tc>
          <w:tcPr>
            <w:tcW w:w="6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Effect of unvested participating restricted stock in two-class calculation</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43"/>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available to common stockholders - diluted</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22,611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67,911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76,169</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5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outstanding shares of common stock - basic</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16,752</w:t>
            </w:r>
          </w:p>
        </w:tc>
        <w:tc>
          <w:tcPr>
            <w:tcW w:w="0" w:type="dxa"/>
            <w:vAlign w:val="bottom"/>
          </w:tcPr>
          <w:p>
            <w:pPr>
              <w:spacing w:after="0"/>
              <w:rPr>
                <w:sz w:val="1"/>
                <w:szCs w:val="1"/>
                <w:color w:val="auto"/>
              </w:rPr>
            </w:pPr>
          </w:p>
        </w:tc>
      </w:tr>
      <w:tr>
        <w:trPr>
          <w:trHeight w:val="225"/>
        </w:trPr>
        <w:tc>
          <w:tcPr>
            <w:tcW w:w="6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Dilutive effect of stock options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44"/>
        </w:trPr>
        <w:tc>
          <w:tcPr>
            <w:tcW w:w="6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outstanding shares of common stock - diluted</w:t>
            </w: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16,079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16,858</w:t>
            </w:r>
          </w:p>
        </w:tc>
        <w:tc>
          <w:tcPr>
            <w:tcW w:w="0" w:type="dxa"/>
            <w:vAlign w:val="bottom"/>
          </w:tcPr>
          <w:p>
            <w:pPr>
              <w:spacing w:after="0"/>
              <w:rPr>
                <w:sz w:val="1"/>
                <w:szCs w:val="1"/>
                <w:color w:val="auto"/>
              </w:rPr>
            </w:pPr>
          </w:p>
        </w:tc>
      </w:tr>
      <w:tr>
        <w:trPr>
          <w:trHeight w:val="20"/>
        </w:trPr>
        <w:tc>
          <w:tcPr>
            <w:tcW w:w="65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52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65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52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top w:val="single" w:sz="8" w:color="auto"/>
              <w:bottom w:val="single" w:sz="8" w:color="auto"/>
            </w:tcBorders>
          </w:tcPr>
          <w:p>
            <w:pPr>
              <w:jc w:val="right"/>
              <w:ind w:right="32"/>
              <w:spacing w:after="0" w:line="198"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1.32</w:t>
            </w:r>
          </w:p>
        </w:tc>
        <w:tc>
          <w:tcPr>
            <w:tcW w:w="12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1.33</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4.22</w:t>
            </w:r>
          </w:p>
        </w:tc>
        <w:tc>
          <w:tcPr>
            <w:tcW w:w="100" w:type="dxa"/>
            <w:vAlign w:val="bottom"/>
          </w:tcPr>
          <w:p>
            <w:pPr>
              <w:spacing w:after="0"/>
              <w:rPr>
                <w:sz w:val="17"/>
                <w:szCs w:val="17"/>
                <w:color w:val="auto"/>
              </w:rPr>
            </w:pPr>
          </w:p>
        </w:tc>
        <w:tc>
          <w:tcPr>
            <w:tcW w:w="240" w:type="dxa"/>
            <w:vAlign w:val="bottom"/>
            <w:tcBorders>
              <w:top w:val="single" w:sz="8" w:color="auto"/>
              <w:bottom w:val="single" w:sz="8" w:color="auto"/>
            </w:tcBorders>
          </w:tcPr>
          <w:p>
            <w:pPr>
              <w:jc w:val="right"/>
              <w:ind w:right="52"/>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00"/>
          </w:cols>
          <w:pgMar w:left="320" w:top="114"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14" w:right="37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Segments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Company identifies its reporting segments based on the organizational units used by management to monitor performance and make operating</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decisions. The Company currently has five operating segments: Applebee's franchise operations, Applebee's company-operated restaurant operations, IHOP</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franchise operations, rental operations and financing operations. The Company has four reportable segments: franchise operations, (an aggregation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Applebee's and IHOP franchise operations), company-operated restaurant operations, rental operations and financing operations. The Company</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considers these to be its reportable segments, regardless of whether any segment exceeds 10% of consolidated revenues, income before income tax provision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total assets.</w:t>
      </w:r>
    </w:p>
    <w:p>
      <w:pPr>
        <w:spacing w:after="0" w:line="224" w:lineRule="exact"/>
        <w:rPr>
          <w:sz w:val="20"/>
          <w:szCs w:val="20"/>
          <w:color w:val="auto"/>
        </w:rPr>
      </w:pPr>
    </w:p>
    <w:p>
      <w:pPr>
        <w:ind w:right="100" w:firstLine="352"/>
        <w:spacing w:after="0" w:line="251" w:lineRule="auto"/>
        <w:rPr>
          <w:sz w:val="20"/>
          <w:szCs w:val="20"/>
          <w:color w:val="auto"/>
        </w:rPr>
      </w:pPr>
      <w:r>
        <w:rPr>
          <w:rFonts w:ascii="Times New Roman" w:cs="Times New Roman" w:eastAsia="Times New Roman" w:hAnsi="Times New Roman"/>
          <w:sz w:val="18"/>
          <w:szCs w:val="18"/>
          <w:color w:val="auto"/>
        </w:rPr>
        <w:t>As of September 30, 2022, the franchise operations segment consisted of (i) 1,601 restaurants operated by Applebee’s franchisees in the United States, two U.S. territories and 11 countries outside the United States and (ii) 1,766 restaurants operated by IHOP franchisees and area licensees in the United States, two U.S. territories and eight countries outside the United States. Franchise operations revenue consists primarily of franchise royalty revenues, franchise advertising revenue, sales of proprietary products to franchisees (primarily pancake and waffle dry mixes for the IHOP restaurants), and franchise fees. Franchise operations expenses include advertising expenses, the cost of IHOP proprietary products, bad debt expense, franchisor contributions to marketing funds, pre-opening training expenses and other franchise-related costs.</w:t>
      </w:r>
    </w:p>
    <w:p>
      <w:pPr>
        <w:spacing w:after="0" w:line="212" w:lineRule="exact"/>
        <w:rPr>
          <w:sz w:val="20"/>
          <w:szCs w:val="20"/>
          <w:color w:val="auto"/>
        </w:rPr>
      </w:pPr>
    </w:p>
    <w:p>
      <w:pPr>
        <w:ind w:right="640" w:firstLine="318"/>
        <w:spacing w:after="0" w:line="257" w:lineRule="auto"/>
        <w:rPr>
          <w:sz w:val="20"/>
          <w:szCs w:val="20"/>
          <w:color w:val="auto"/>
        </w:rPr>
      </w:pPr>
      <w:r>
        <w:rPr>
          <w:rFonts w:ascii="Times New Roman" w:cs="Times New Roman" w:eastAsia="Times New Roman" w:hAnsi="Times New Roman"/>
          <w:sz w:val="18"/>
          <w:szCs w:val="18"/>
          <w:color w:val="auto"/>
        </w:rPr>
        <w:t>Company restaurant sales are retail sales at 69 Applebee's company-operated restaurants. Company restaurant expenses are operating expenses at company-operated restaurants and include food, labor, utilities, rent and other restaurant operating costs.</w:t>
      </w:r>
    </w:p>
    <w:p>
      <w:pPr>
        <w:ind w:right="700"/>
        <w:spacing w:after="0" w:line="245" w:lineRule="auto"/>
        <w:rPr>
          <w:sz w:val="20"/>
          <w:szCs w:val="20"/>
          <w:color w:val="auto"/>
        </w:rPr>
      </w:pPr>
      <w:r>
        <w:rPr>
          <w:rFonts w:ascii="Times New Roman" w:cs="Times New Roman" w:eastAsia="Times New Roman" w:hAnsi="Times New Roman"/>
          <w:sz w:val="18"/>
          <w:szCs w:val="18"/>
          <w:color w:val="auto"/>
        </w:rPr>
        <w:t>Rental operations revenue includes revenue from operating leases and interest income from real estate leases. Rental operations expenses are costs of operating leases and interest expense from finance leases on which the Company is the lessee.</w:t>
      </w:r>
    </w:p>
    <w:p>
      <w:pPr>
        <w:spacing w:after="0" w:line="1"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17"/>
          <w:szCs w:val="17"/>
          <w:color w:val="auto"/>
        </w:rPr>
        <w:t>Financing revenues primarily consist of interest income from the financing of IHOP equipment leases and franchise fees and interest income on Applebee's notes receivable from franchisees. Financing expenses are the cost of taxes related to IHOP equipment leases. Information on segments is as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40" w:type="dxa"/>
            <w:vAlign w:val="bottom"/>
          </w:tcPr>
          <w:p>
            <w:pPr>
              <w:spacing w:after="0"/>
              <w:rPr>
                <w:sz w:val="18"/>
                <w:szCs w:val="18"/>
                <w:color w:val="auto"/>
              </w:rPr>
            </w:pPr>
          </w:p>
        </w:tc>
        <w:tc>
          <w:tcPr>
            <w:tcW w:w="2940" w:type="dxa"/>
            <w:vAlign w:val="bottom"/>
            <w:gridSpan w:val="6"/>
          </w:tcPr>
          <w:p>
            <w:pPr>
              <w:ind w:left="18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40" w:type="dxa"/>
            <w:vAlign w:val="bottom"/>
          </w:tcPr>
          <w:p>
            <w:pPr>
              <w:spacing w:after="0"/>
              <w:rPr>
                <w:sz w:val="18"/>
                <w:szCs w:val="18"/>
                <w:color w:val="auto"/>
              </w:rPr>
            </w:pPr>
          </w:p>
        </w:tc>
        <w:tc>
          <w:tcPr>
            <w:tcW w:w="2620" w:type="dxa"/>
            <w:vAlign w:val="bottom"/>
            <w:gridSpan w:val="4"/>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07"/>
        </w:trPr>
        <w:tc>
          <w:tcPr>
            <w:tcW w:w="554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00" w:type="dxa"/>
            <w:vAlign w:val="bottom"/>
            <w:tcBorders>
              <w:top w:val="single" w:sz="8" w:color="auto"/>
              <w:bottom w:val="single" w:sz="8" w:color="auto"/>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top w:val="single" w:sz="8" w:color="auto"/>
              <w:bottom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180"/>
        </w:trPr>
        <w:tc>
          <w:tcPr>
            <w:tcW w:w="55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80" w:type="dxa"/>
            <w:vAlign w:val="bottom"/>
            <w:gridSpan w:val="5"/>
          </w:tcPr>
          <w:p>
            <w:pPr>
              <w:ind w:left="6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Revenues from external customers:</w:t>
            </w: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operations</w:t>
            </w:r>
          </w:p>
        </w:tc>
        <w:tc>
          <w:tcPr>
            <w:tcW w:w="90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0" w:type="dxa"/>
            <w:vAlign w:val="bottom"/>
          </w:tcPr>
          <w:p>
            <w:pPr>
              <w:spacing w:after="0"/>
              <w:rPr>
                <w:sz w:val="1"/>
                <w:szCs w:val="1"/>
                <w:color w:val="auto"/>
              </w:rPr>
            </w:pPr>
          </w:p>
        </w:tc>
      </w:tr>
      <w:tr>
        <w:trPr>
          <w:trHeight w:val="225"/>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operations</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0" w:type="dxa"/>
            <w:vAlign w:val="bottom"/>
          </w:tcPr>
          <w:p>
            <w:pPr>
              <w:spacing w:after="0"/>
              <w:rPr>
                <w:sz w:val="1"/>
                <w:szCs w:val="1"/>
                <w:color w:val="auto"/>
              </w:rPr>
            </w:pPr>
          </w:p>
        </w:tc>
      </w:tr>
      <w:tr>
        <w:trPr>
          <w:trHeight w:val="225"/>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restaurants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0" w:type="dxa"/>
            <w:vAlign w:val="bottom"/>
          </w:tcPr>
          <w:p>
            <w:pPr>
              <w:spacing w:after="0"/>
              <w:rPr>
                <w:sz w:val="1"/>
                <w:szCs w:val="1"/>
                <w:color w:val="auto"/>
              </w:rPr>
            </w:pPr>
          </w:p>
        </w:tc>
      </w:tr>
      <w:tr>
        <w:trPr>
          <w:trHeight w:val="225"/>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operations</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44"/>
        </w:trPr>
        <w:tc>
          <w:tcPr>
            <w:tcW w:w="5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701.4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666.5</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Interest expense:</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54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Rental operations</w:t>
            </w:r>
          </w:p>
        </w:tc>
        <w:tc>
          <w:tcPr>
            <w:tcW w:w="90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5"/>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Company restaurants</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25"/>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9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0" w:type="dxa"/>
            <w:vAlign w:val="bottom"/>
          </w:tcPr>
          <w:p>
            <w:pPr>
              <w:spacing w:after="0"/>
              <w:rPr>
                <w:sz w:val="1"/>
                <w:szCs w:val="1"/>
                <w:color w:val="auto"/>
              </w:rPr>
            </w:pPr>
          </w:p>
        </w:tc>
      </w:tr>
      <w:tr>
        <w:trPr>
          <w:trHeight w:val="218"/>
        </w:trPr>
        <w:tc>
          <w:tcPr>
            <w:tcW w:w="5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0" w:type="dxa"/>
            <w:vAlign w:val="bottom"/>
          </w:tcPr>
          <w:p>
            <w:pPr>
              <w:spacing w:after="0"/>
              <w:rPr>
                <w:sz w:val="1"/>
                <w:szCs w:val="1"/>
                <w:color w:val="auto"/>
              </w:rPr>
            </w:pPr>
          </w:p>
        </w:tc>
      </w:tr>
      <w:tr>
        <w:trPr>
          <w:trHeight w:val="20"/>
        </w:trPr>
        <w:tc>
          <w:tcPr>
            <w:tcW w:w="554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Depreciation and amortization:</w:t>
            </w: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540" w:type="dxa"/>
            <w:vAlign w:val="bottom"/>
            <w:vMerge w:val="continue"/>
          </w:tcPr>
          <w:p>
            <w:pPr>
              <w:spacing w:after="0"/>
              <w:rPr>
                <w:sz w:val="21"/>
                <w:szCs w:val="21"/>
                <w:color w:val="auto"/>
              </w:rPr>
            </w:pPr>
          </w:p>
        </w:tc>
        <w:tc>
          <w:tcPr>
            <w:tcW w:w="9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operations</w:t>
            </w:r>
          </w:p>
        </w:tc>
        <w:tc>
          <w:tcPr>
            <w:tcW w:w="90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25"/>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operations</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25"/>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restaurants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r>
        <w:trPr>
          <w:trHeight w:val="225"/>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Corporate</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43"/>
        </w:trPr>
        <w:tc>
          <w:tcPr>
            <w:tcW w:w="5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900" w:type="dxa"/>
            <w:vAlign w:val="bottom"/>
            <w:tcBorders>
              <w:bottom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 (loss), by segment:</w:t>
            </w: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5540" w:type="dxa"/>
            <w:vAlign w:val="bottom"/>
            <w:vMerge w:val="continue"/>
          </w:tcPr>
          <w:p>
            <w:pPr>
              <w:spacing w:after="0"/>
              <w:rPr>
                <w:sz w:val="19"/>
                <w:szCs w:val="19"/>
                <w:color w:val="auto"/>
              </w:rPr>
            </w:pPr>
          </w:p>
        </w:tc>
        <w:tc>
          <w:tcPr>
            <w:tcW w:w="9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Franchise operations</w:t>
            </w:r>
          </w:p>
        </w:tc>
        <w:tc>
          <w:tcPr>
            <w:tcW w:w="900" w:type="dxa"/>
            <w:vAlign w:val="bottom"/>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0" w:type="dxa"/>
            <w:vAlign w:val="bottom"/>
          </w:tcPr>
          <w:p>
            <w:pPr>
              <w:spacing w:after="0"/>
              <w:rPr>
                <w:sz w:val="1"/>
                <w:szCs w:val="1"/>
                <w:color w:val="auto"/>
              </w:rPr>
            </w:pPr>
          </w:p>
        </w:tc>
      </w:tr>
      <w:tr>
        <w:trPr>
          <w:trHeight w:val="225"/>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Rental operations</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25"/>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Company restaurants</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25"/>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Financing operations</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9"/>
        </w:trPr>
        <w:tc>
          <w:tcPr>
            <w:tcW w:w="55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gross profit</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0" w:type="dxa"/>
            <w:vAlign w:val="bottom"/>
          </w:tcPr>
          <w:p>
            <w:pPr>
              <w:spacing w:after="0"/>
              <w:rPr>
                <w:sz w:val="1"/>
                <w:szCs w:val="1"/>
                <w:color w:val="auto"/>
              </w:rPr>
            </w:pPr>
          </w:p>
        </w:tc>
      </w:tr>
      <w:tr>
        <w:trPr>
          <w:trHeight w:val="225"/>
        </w:trPr>
        <w:tc>
          <w:tcPr>
            <w:tcW w:w="55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Corporate and unallocated expenses, net</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(187.4)</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0" w:type="dxa"/>
            <w:vAlign w:val="bottom"/>
          </w:tcPr>
          <w:p>
            <w:pPr>
              <w:spacing w:after="0"/>
              <w:rPr>
                <w:sz w:val="1"/>
                <w:szCs w:val="1"/>
                <w:color w:val="auto"/>
              </w:rPr>
            </w:pPr>
          </w:p>
        </w:tc>
      </w:tr>
      <w:tr>
        <w:trPr>
          <w:trHeight w:val="244"/>
        </w:trPr>
        <w:tc>
          <w:tcPr>
            <w:tcW w:w="55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900" w:type="dxa"/>
            <w:vAlign w:val="bottom"/>
            <w:tcBorders>
              <w:bottom w:val="single" w:sz="8" w:color="auto"/>
            </w:tcBorders>
            <w:shd w:val="clear" w:color="auto" w:fill="CCEEFF"/>
          </w:tcPr>
          <w:p>
            <w:pPr>
              <w:jc w:val="right"/>
              <w:ind w:right="71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4" w:right="3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Closure and Impairment Charges</w:t>
      </w:r>
    </w:p>
    <w:p>
      <w:pPr>
        <w:spacing w:after="0" w:line="2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Closure and impairment charges for the three and nine months ended September 30, 2022 and 2021 were as follows:</w:t>
      </w:r>
    </w:p>
    <w:p>
      <w:pPr>
        <w:spacing w:after="0" w:line="267"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5480" w:type="dxa"/>
            <w:vAlign w:val="bottom"/>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Closure and Impairment Charges</w:t>
            </w:r>
          </w:p>
        </w:tc>
        <w:tc>
          <w:tcPr>
            <w:tcW w:w="120" w:type="dxa"/>
            <w:vAlign w:val="bottom"/>
          </w:tcPr>
          <w:p>
            <w:pPr>
              <w:spacing w:after="0"/>
              <w:rPr>
                <w:sz w:val="17"/>
                <w:szCs w:val="17"/>
                <w:color w:val="auto"/>
              </w:rPr>
            </w:pPr>
          </w:p>
        </w:tc>
        <w:tc>
          <w:tcPr>
            <w:tcW w:w="272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46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
        </w:trPr>
        <w:tc>
          <w:tcPr>
            <w:tcW w:w="100" w:type="dxa"/>
            <w:vAlign w:val="bottom"/>
          </w:tcPr>
          <w:p>
            <w:pPr>
              <w:spacing w:after="0" w:line="20" w:lineRule="exact"/>
              <w:rPr>
                <w:sz w:val="1"/>
                <w:szCs w:val="1"/>
                <w:color w:val="auto"/>
              </w:rPr>
            </w:pPr>
          </w:p>
        </w:tc>
        <w:tc>
          <w:tcPr>
            <w:tcW w:w="2540" w:type="dxa"/>
            <w:vAlign w:val="bottom"/>
            <w:tcBorders>
              <w:top w:val="single" w:sz="8" w:color="auto"/>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04"/>
        </w:trPr>
        <w:tc>
          <w:tcPr>
            <w:tcW w:w="10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87"/>
        </w:trPr>
        <w:tc>
          <w:tcPr>
            <w:tcW w:w="1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gridSpan w:val="3"/>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32"/>
        </w:trPr>
        <w:tc>
          <w:tcPr>
            <w:tcW w:w="548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Closure charges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25"/>
        </w:trPr>
        <w:tc>
          <w:tcPr>
            <w:tcW w:w="54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Long-lived tangible asset impairment</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43"/>
        </w:trPr>
        <w:tc>
          <w:tcPr>
            <w:tcW w:w="5480" w:type="dxa"/>
            <w:vAlign w:val="bottom"/>
            <w:tcBorders>
              <w:top w:val="single" w:sz="8" w:color="CCEEFF"/>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closure and impairment charges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right="100" w:firstLine="318"/>
        <w:spacing w:after="0" w:line="241" w:lineRule="auto"/>
        <w:rPr>
          <w:sz w:val="20"/>
          <w:szCs w:val="20"/>
          <w:color w:val="auto"/>
        </w:rPr>
      </w:pPr>
      <w:r>
        <w:rPr>
          <w:rFonts w:ascii="Times New Roman" w:cs="Times New Roman" w:eastAsia="Times New Roman" w:hAnsi="Times New Roman"/>
          <w:sz w:val="18"/>
          <w:szCs w:val="18"/>
          <w:color w:val="auto"/>
        </w:rPr>
        <w:t>The closure charges for the three and nine months ended September 30, 2022 were for approximately 30 and 35 IHOP restaurants, respectively, and were primarily related to the revisions to existing closure reserves, including accretion. The closure charges for the three months ended September 30, 2021 related to revisions to existing closure reserves, including accretion, primarily for approximately 50 IHOP restaurants closed prior to June 30, 2021. The closure charges for the nine months ended September 30, 2021 related to approximately 25 IHOP restaurants closed in 2021 and the establishment of, or revisions to existing closure reserves, including accretion, primarily for approximately 30 IHOP restaurants.</w:t>
      </w:r>
    </w:p>
    <w:p>
      <w:pPr>
        <w:spacing w:after="0" w:line="206" w:lineRule="exact"/>
        <w:rPr>
          <w:sz w:val="20"/>
          <w:szCs w:val="20"/>
          <w:color w:val="auto"/>
        </w:rPr>
      </w:pPr>
    </w:p>
    <w:p>
      <w:pPr>
        <w:ind w:right="20" w:firstLine="318"/>
        <w:spacing w:after="0" w:line="256" w:lineRule="auto"/>
        <w:rPr>
          <w:sz w:val="20"/>
          <w:szCs w:val="20"/>
          <w:color w:val="auto"/>
        </w:rPr>
      </w:pPr>
      <w:r>
        <w:rPr>
          <w:rFonts w:ascii="Times New Roman" w:cs="Times New Roman" w:eastAsia="Times New Roman" w:hAnsi="Times New Roman"/>
          <w:sz w:val="18"/>
          <w:szCs w:val="18"/>
          <w:color w:val="auto"/>
        </w:rPr>
        <w:t>Long-lived tangible asset impairment charges for the three months ended September 30, 2022 related to the Applebee's company-operated restaurants (see Note 17 - Assets and Liabilities Held for Sale). Long-lived tangible asset impairment charges for the nine months ended September 30, 2022 related to the Applebee's company-operated restaurants for $1.1 million and the impairment of land and buildings for two IHOP restaurants located on sites owned by the Company. Long-lived tangible asset impairment charges for the nine months ended September 30, 2021 related to four IHOP franchisee-operated restaurants. The impairment recorded represented the difference between the carrying value and the estimated fair value.</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Fair Value Measurements</w:t>
      </w:r>
    </w:p>
    <w:p>
      <w:pPr>
        <w:spacing w:after="0" w:line="153" w:lineRule="exact"/>
        <w:rPr>
          <w:sz w:val="20"/>
          <w:szCs w:val="20"/>
          <w:color w:val="auto"/>
        </w:rPr>
      </w:pPr>
    </w:p>
    <w:p>
      <w:pPr>
        <w:ind w:right="60" w:firstLine="318"/>
        <w:spacing w:after="0" w:line="255" w:lineRule="auto"/>
        <w:rPr>
          <w:sz w:val="20"/>
          <w:szCs w:val="20"/>
          <w:color w:val="auto"/>
        </w:rPr>
      </w:pPr>
      <w:r>
        <w:rPr>
          <w:rFonts w:ascii="Times New Roman" w:cs="Times New Roman" w:eastAsia="Times New Roman" w:hAnsi="Times New Roman"/>
          <w:sz w:val="18"/>
          <w:szCs w:val="18"/>
          <w:color w:val="auto"/>
        </w:rPr>
        <w:t>The Company does not have a material amount of financial assets or liabilities that are required under U.S. GAAP to be measured on a recurring basis at fair value. The Company is not a party to any material derivative financial instruments. The Company does not have a material amount of non-financial assets or non-financial liabilities that are required under U.S. GAAP to be measured at fair value on a recurring basis. The Company has not elected to use the fair value measurement option, as permitted under U.S. GAAP, for any assets or liabilities for which fair value measurement is not presently required.</w:t>
      </w:r>
    </w:p>
    <w:p>
      <w:pPr>
        <w:spacing w:after="0" w:line="141"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The Company believes the fair values of cash equivalents, accounts receivable and accounts payable approximate their carrying amounts due to their short duration.</w:t>
      </w:r>
    </w:p>
    <w:p>
      <w:pPr>
        <w:spacing w:after="0" w:line="1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fair values of the Company's 2019 Class A-2 Notes at September 30, 2022 and December 31, 2021 were as follows: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0" w:type="dxa"/>
            <w:vAlign w:val="bottom"/>
          </w:tcPr>
          <w:p>
            <w:pPr>
              <w:spacing w:after="0"/>
              <w:rPr>
                <w:sz w:val="16"/>
                <w:szCs w:val="16"/>
                <w:color w:val="auto"/>
              </w:rPr>
            </w:pPr>
          </w:p>
        </w:tc>
        <w:tc>
          <w:tcPr>
            <w:tcW w:w="1440" w:type="dxa"/>
            <w:vAlign w:val="bottom"/>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6"/>
                <w:szCs w:val="16"/>
                <w:color w:val="auto"/>
              </w:rPr>
            </w:pPr>
          </w:p>
        </w:tc>
      </w:tr>
      <w:tr>
        <w:trPr>
          <w:trHeight w:val="24"/>
        </w:trPr>
        <w:tc>
          <w:tcPr>
            <w:tcW w:w="7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86"/>
        </w:trPr>
        <w:tc>
          <w:tcPr>
            <w:tcW w:w="7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80" w:type="dxa"/>
            <w:vAlign w:val="bottom"/>
            <w:gridSpan w:val="4"/>
          </w:tcPr>
          <w:p>
            <w:pPr>
              <w:jc w:val="right"/>
              <w:ind w:right="1178"/>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6"/>
                <w:szCs w:val="16"/>
                <w:color w:val="auto"/>
              </w:rPr>
            </w:pPr>
          </w:p>
        </w:tc>
      </w:tr>
      <w:tr>
        <w:trPr>
          <w:trHeight w:val="257"/>
        </w:trPr>
        <w:tc>
          <w:tcPr>
            <w:tcW w:w="7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Face Value of Class A-2 Notes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1,287.0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1,287.0</w:t>
            </w:r>
          </w:p>
        </w:tc>
        <w:tc>
          <w:tcPr>
            <w:tcW w:w="100" w:type="dxa"/>
            <w:vAlign w:val="bottom"/>
          </w:tcPr>
          <w:p>
            <w:pPr>
              <w:spacing w:after="0"/>
              <w:rPr>
                <w:sz w:val="21"/>
                <w:szCs w:val="2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8"/>
        </w:trPr>
        <w:tc>
          <w:tcPr>
            <w:tcW w:w="778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Fair Value of Class A-2 Notes</w:t>
            </w:r>
          </w:p>
        </w:tc>
        <w:tc>
          <w:tcPr>
            <w:tcW w:w="18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ind w:right="1"/>
              <w:spacing w:after="0" w:line="198" w:lineRule="exact"/>
              <w:rPr>
                <w:sz w:val="20"/>
                <w:szCs w:val="20"/>
                <w:color w:val="auto"/>
              </w:rPr>
            </w:pPr>
            <w:r>
              <w:rPr>
                <w:rFonts w:ascii="Times New Roman" w:cs="Times New Roman" w:eastAsia="Times New Roman" w:hAnsi="Times New Roman"/>
                <w:sz w:val="18"/>
                <w:szCs w:val="18"/>
                <w:color w:val="auto"/>
              </w:rPr>
              <w:t>1,213.7</w:t>
            </w:r>
          </w:p>
        </w:tc>
        <w:tc>
          <w:tcPr>
            <w:tcW w:w="100" w:type="dxa"/>
            <w:vAlign w:val="bottom"/>
          </w:tcPr>
          <w:p>
            <w:pPr>
              <w:spacing w:after="0"/>
              <w:rPr>
                <w:sz w:val="17"/>
                <w:szCs w:val="17"/>
                <w:color w:val="auto"/>
              </w:rPr>
            </w:pPr>
          </w:p>
        </w:tc>
        <w:tc>
          <w:tcPr>
            <w:tcW w:w="20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1,312.9</w:t>
            </w:r>
          </w:p>
        </w:tc>
        <w:tc>
          <w:tcPr>
            <w:tcW w:w="100" w:type="dxa"/>
            <w:vAlign w:val="bottom"/>
          </w:tcPr>
          <w:p>
            <w:pPr>
              <w:spacing w:after="0"/>
              <w:rPr>
                <w:sz w:val="17"/>
                <w:szCs w:val="17"/>
                <w:color w:val="auto"/>
              </w:rPr>
            </w:pPr>
          </w:p>
        </w:tc>
      </w:tr>
      <w:tr>
        <w:trPr>
          <w:trHeight w:val="20"/>
        </w:trPr>
        <w:tc>
          <w:tcPr>
            <w:tcW w:w="7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00" w:lineRule="exact"/>
        <w:rPr>
          <w:sz w:val="20"/>
          <w:szCs w:val="20"/>
          <w:color w:val="auto"/>
        </w:rPr>
      </w:pPr>
    </w:p>
    <w:p>
      <w:pPr>
        <w:ind w:right="480" w:firstLine="318"/>
        <w:spacing w:after="0" w:line="274" w:lineRule="auto"/>
        <w:rPr>
          <w:sz w:val="20"/>
          <w:szCs w:val="20"/>
          <w:color w:val="auto"/>
        </w:rPr>
      </w:pPr>
      <w:r>
        <w:rPr>
          <w:rFonts w:ascii="Times New Roman" w:cs="Times New Roman" w:eastAsia="Times New Roman" w:hAnsi="Times New Roman"/>
          <w:sz w:val="18"/>
          <w:szCs w:val="18"/>
          <w:color w:val="auto"/>
        </w:rPr>
        <w:t>The fair values were determined based on Level 2 inputs, including information gathered from brokers who trade in the Company’s 2019 Class A-2 Notes, as well as information on notes that are similar to those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4"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320" w:right="8560" w:hanging="314"/>
        <w:spacing w:after="0" w:line="481" w:lineRule="auto"/>
        <w:tabs>
          <w:tab w:leader="none" w:pos="267" w:val="left"/>
        </w:tabs>
        <w:numPr>
          <w:ilvl w:val="0"/>
          <w:numId w:val="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b w:val="1"/>
          <w:bCs w:val="1"/>
          <w:i w:val="1"/>
          <w:iCs w:val="1"/>
          <w:color w:val="auto"/>
        </w:rPr>
        <w:t>Litigation, Claims and Disputes</w:t>
      </w:r>
    </w:p>
    <w:p>
      <w:pPr>
        <w:ind w:right="240" w:firstLine="318"/>
        <w:spacing w:after="0" w:line="256" w:lineRule="auto"/>
        <w:rPr>
          <w:sz w:val="20"/>
          <w:szCs w:val="20"/>
          <w:color w:val="auto"/>
        </w:rPr>
      </w:pPr>
      <w:r>
        <w:rPr>
          <w:rFonts w:ascii="Times New Roman" w:cs="Times New Roman" w:eastAsia="Times New Roman" w:hAnsi="Times New Roman"/>
          <w:sz w:val="17"/>
          <w:szCs w:val="17"/>
          <w:color w:val="auto"/>
        </w:rPr>
        <w:t>The Company is subject to various lawsuits, administrative proceedings, audits and claims arising in the ordinary course of business. Some of these lawsuits purport to be class actions and/or seek substantial damages. The Company is required under U.S. GAAP to record an accrual for litigation loss contingencies that are both probable and reasonably estimable. Legal fees and expenses associated with the defense of all of the Company's litigation are expensed as such fees and expenses are incurred. Management regularly assesses the Company's insurance coverage, analyzes litigation information with the Company's attorneys and evaluates the Company's loss experience in connection with pending legal proceedings. While the Company does not presently believe that any of the legal proceedings to which it is currently a party will ultimately have a material adverse impact on the Company, there can be no assurance that the Company will prevail in all the proceedings the Company is party to, or that the Company will not incur material losses from them.</w:t>
      </w:r>
    </w:p>
    <w:p>
      <w:pPr>
        <w:spacing w:after="0" w:line="19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Lease Guarantees</w:t>
      </w:r>
    </w:p>
    <w:p>
      <w:pPr>
        <w:spacing w:after="0" w:line="181" w:lineRule="exact"/>
        <w:rPr>
          <w:sz w:val="20"/>
          <w:szCs w:val="20"/>
          <w:color w:val="auto"/>
        </w:rPr>
      </w:pPr>
    </w:p>
    <w:p>
      <w:pPr>
        <w:ind w:right="120" w:firstLine="318"/>
        <w:spacing w:after="0" w:line="252" w:lineRule="auto"/>
        <w:rPr>
          <w:sz w:val="20"/>
          <w:szCs w:val="20"/>
          <w:color w:val="auto"/>
        </w:rPr>
      </w:pPr>
      <w:r>
        <w:rPr>
          <w:rFonts w:ascii="Times New Roman" w:cs="Times New Roman" w:eastAsia="Times New Roman" w:hAnsi="Times New Roman"/>
          <w:sz w:val="18"/>
          <w:szCs w:val="18"/>
          <w:color w:val="auto"/>
        </w:rPr>
        <w:t>In connection with the sale of Applebee’s restaurants to franchisees, the Company has, in certain cases, guaranteed or has potential continuing liability for lease payments totaling $212.0 million as of September 30, 2022. This amount represents the maximum potential liability for future payments under these leases. These leases have been assigned to the buyers and expire at the end of the respective lease terms, which range from 2022 through 2048. Excluding unexercised option periods, the Company's potential liability for future payments under these leases is $42.8 million. In the event of default, the indemnity and default clauses in the sale or assignment agreements govern the Company's ability to pursue and recover damages incurred.</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Cash, Cash Equivalents and Restricted Cash</w:t>
      </w:r>
    </w:p>
    <w:p>
      <w:pPr>
        <w:spacing w:after="0" w:line="1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53" w:lineRule="exact"/>
        <w:rPr>
          <w:sz w:val="20"/>
          <w:szCs w:val="20"/>
          <w:color w:val="auto"/>
        </w:rPr>
      </w:pPr>
    </w:p>
    <w:p>
      <w:pPr>
        <w:ind w:right="260" w:firstLine="318"/>
        <w:spacing w:after="0" w:line="259" w:lineRule="auto"/>
        <w:rPr>
          <w:sz w:val="20"/>
          <w:szCs w:val="20"/>
          <w:color w:val="auto"/>
        </w:rPr>
      </w:pPr>
      <w:r>
        <w:rPr>
          <w:rFonts w:ascii="Times New Roman" w:cs="Times New Roman" w:eastAsia="Times New Roman" w:hAnsi="Times New Roman"/>
          <w:sz w:val="18"/>
          <w:szCs w:val="18"/>
          <w:color w:val="auto"/>
        </w:rPr>
        <w:t>The Company considers all highly liquid investment securities with remaining maturities at the date of purchase of three months or less to be cash equivalents. These cash equivalents are stated at cost which approximates market value. Cash held related to IHOP advertising funds and the Company's gift card programs is not considered to be restricted cash as there are no restrictions on the use of these funds.</w:t>
      </w:r>
    </w:p>
    <w:p>
      <w:pPr>
        <w:spacing w:after="0" w:line="200" w:lineRule="exact"/>
        <w:rPr>
          <w:sz w:val="20"/>
          <w:szCs w:val="20"/>
          <w:color w:val="auto"/>
        </w:rPr>
      </w:pPr>
    </w:p>
    <w:p>
      <w:pPr>
        <w:spacing w:after="0" w:line="2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components of cash and cash equivalents were as follows:</w:t>
      </w:r>
    </w:p>
    <w:p>
      <w:pPr>
        <w:spacing w:after="0" w:line="370"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7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4"/>
        </w:trPr>
        <w:tc>
          <w:tcPr>
            <w:tcW w:w="78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4"/>
          </w:tcPr>
          <w:p>
            <w:pPr>
              <w:spacing w:after="0"/>
              <w:rPr>
                <w:sz w:val="2"/>
                <w:szCs w:val="2"/>
                <w:color w:val="auto"/>
              </w:rPr>
            </w:pPr>
          </w:p>
        </w:tc>
      </w:tr>
      <w:tr>
        <w:trPr>
          <w:trHeight w:val="186"/>
        </w:trPr>
        <w:tc>
          <w:tcPr>
            <w:tcW w:w="7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4"/>
          </w:tcPr>
          <w:p>
            <w:pPr>
              <w:jc w:val="right"/>
              <w:ind w:right="1035"/>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2"/>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5"/>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IHOP advertising funds and gift card programs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25"/>
        </w:trPr>
        <w:tc>
          <w:tcPr>
            <w:tcW w:w="7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depository accounts</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19"/>
        </w:trPr>
        <w:tc>
          <w:tcPr>
            <w:tcW w:w="7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w:t>
            </w:r>
          </w:p>
        </w:tc>
      </w:tr>
      <w:tr>
        <w:trPr>
          <w:trHeight w:val="20"/>
        </w:trPr>
        <w:tc>
          <w:tcPr>
            <w:tcW w:w="7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Current Restricted Cash</w:t>
      </w:r>
    </w:p>
    <w:p>
      <w:pPr>
        <w:spacing w:after="0" w:line="140" w:lineRule="exact"/>
        <w:rPr>
          <w:sz w:val="20"/>
          <w:szCs w:val="20"/>
          <w:color w:val="auto"/>
        </w:rPr>
      </w:pPr>
    </w:p>
    <w:p>
      <w:pPr>
        <w:ind w:right="420" w:firstLine="318"/>
        <w:spacing w:after="0" w:line="259" w:lineRule="auto"/>
        <w:rPr>
          <w:sz w:val="20"/>
          <w:szCs w:val="20"/>
          <w:color w:val="auto"/>
        </w:rPr>
      </w:pPr>
      <w:r>
        <w:rPr>
          <w:rFonts w:ascii="Times New Roman" w:cs="Times New Roman" w:eastAsia="Times New Roman" w:hAnsi="Times New Roman"/>
          <w:sz w:val="18"/>
          <w:szCs w:val="18"/>
          <w:color w:val="auto"/>
        </w:rPr>
        <w:t>Current restricted cash primarily consisted of funds required to be held in trust in connection with the Company's securitized debt and funds from Applebee's franchisees pursuant to franchise agreements, usage of which was restricted to advertising activities. The components of current restricted cash were as follows:</w:t>
      </w:r>
    </w:p>
    <w:p>
      <w:pPr>
        <w:spacing w:after="0" w:line="331"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7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6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4"/>
        </w:trPr>
        <w:tc>
          <w:tcPr>
            <w:tcW w:w="7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940" w:type="dxa"/>
            <w:vAlign w:val="bottom"/>
            <w:tcBorders>
              <w:bottom w:val="single" w:sz="8" w:color="auto"/>
            </w:tcBorders>
            <w:gridSpan w:val="4"/>
          </w:tcPr>
          <w:p>
            <w:pPr>
              <w:spacing w:after="0"/>
              <w:rPr>
                <w:sz w:val="2"/>
                <w:szCs w:val="2"/>
                <w:color w:val="auto"/>
              </w:rPr>
            </w:pPr>
          </w:p>
        </w:tc>
      </w:tr>
      <w:tr>
        <w:trPr>
          <w:trHeight w:val="186"/>
        </w:trPr>
        <w:tc>
          <w:tcPr>
            <w:tcW w:w="7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40" w:type="dxa"/>
            <w:vAlign w:val="bottom"/>
            <w:gridSpan w:val="4"/>
          </w:tcPr>
          <w:p>
            <w:pPr>
              <w:jc w:val="right"/>
              <w:ind w:right="995"/>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2"/>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Securitized debt reserves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25"/>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Applebee's advertising funds</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5"/>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9"/>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current restricted cash</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7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320" w:top="114" w:right="239"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14" w:right="2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Dine Brands Global, Inc. and Subsidiaries</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(Continued)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16. Cash, Cash Equivalents and Restricted Cash (Continued)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i w:val="1"/>
          <w:iCs w:val="1"/>
          <w:color w:val="auto"/>
        </w:rPr>
        <w:t>Non-current Restricted Cash</w:t>
      </w:r>
    </w:p>
    <w:p>
      <w:pPr>
        <w:spacing w:after="0" w:line="153" w:lineRule="exact"/>
        <w:rPr>
          <w:sz w:val="20"/>
          <w:szCs w:val="20"/>
          <w:color w:val="auto"/>
        </w:rPr>
      </w:pPr>
    </w:p>
    <w:p>
      <w:pPr>
        <w:ind w:right="400" w:firstLine="318"/>
        <w:spacing w:after="0" w:line="274" w:lineRule="auto"/>
        <w:rPr>
          <w:sz w:val="20"/>
          <w:szCs w:val="20"/>
          <w:color w:val="auto"/>
        </w:rPr>
      </w:pPr>
      <w:r>
        <w:rPr>
          <w:rFonts w:ascii="Times New Roman" w:cs="Times New Roman" w:eastAsia="Times New Roman" w:hAnsi="Times New Roman"/>
          <w:sz w:val="18"/>
          <w:szCs w:val="18"/>
          <w:color w:val="auto"/>
        </w:rPr>
        <w:t>Non-current restricted cash was $16.4 million and $16.4 million at September 30, 2022 and December 31, 2021, respectively, and represents interest reserves required to be set aside for the duration of the Company's securitized debt.</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Assets and Liabilities Held for Sale</w:t>
      </w:r>
    </w:p>
    <w:p>
      <w:pPr>
        <w:spacing w:after="0" w:line="23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classifies long-lived assets or disposal groups to be sold as held for sale when all of the following criteria for a plan of sale have been met:</w:t>
      </w:r>
    </w:p>
    <w:p>
      <w:pPr>
        <w:spacing w:after="0" w:line="23" w:lineRule="exact"/>
        <w:rPr>
          <w:sz w:val="20"/>
          <w:szCs w:val="20"/>
          <w:color w:val="auto"/>
        </w:rPr>
      </w:pPr>
    </w:p>
    <w:p>
      <w:pPr>
        <w:ind w:right="20" w:firstLine="6"/>
        <w:spacing w:after="0" w:line="232" w:lineRule="auto"/>
        <w:tabs>
          <w:tab w:leader="none" w:pos="25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having the authority to approve the action, commits to a plan to sell the assets; (2) the assets are available for immediate sale, in their present condition, subject only to terms that are usual and customary for sales of such assets; (3) an active program to locate a buyer and other actions required to complete the plan to sell the assets have been initiated; (4) the sale of the assets is probable and is expected to be completed within one year; (5) the assets are being actively marketed for a price that is reasonable in relation to their current fair value; and (6) actions required to complete the plan indicate that it is unlikely that significant changes to the plan will be made or the plan will be withdrawn. When all of these criteria have been met, the assets and liabilities are classified as held for sale in the balance sheet. Assets classified as held for sale are reported at the lower of their carrying value or fair value less costs to sell. Depreciation and amortization of assets ceases upon designation as held for sale. The assets and liabilities held for sale are recorded on the Company’s Consolidated Balance Sheets as assets held for sale and liabilities held for sale, respectively.</w:t>
      </w:r>
    </w:p>
    <w:p>
      <w:pPr>
        <w:spacing w:after="0" w:line="208" w:lineRule="exact"/>
        <w:rPr>
          <w:sz w:val="20"/>
          <w:szCs w:val="20"/>
          <w:color w:val="auto"/>
        </w:rPr>
      </w:pPr>
    </w:p>
    <w:p>
      <w:pPr>
        <w:ind w:right="40" w:firstLine="318"/>
        <w:spacing w:after="0" w:line="234" w:lineRule="auto"/>
        <w:rPr>
          <w:sz w:val="20"/>
          <w:szCs w:val="20"/>
          <w:color w:val="auto"/>
        </w:rPr>
      </w:pPr>
      <w:r>
        <w:rPr>
          <w:rFonts w:ascii="Times New Roman" w:cs="Times New Roman" w:eastAsia="Times New Roman" w:hAnsi="Times New Roman"/>
          <w:sz w:val="18"/>
          <w:szCs w:val="18"/>
          <w:color w:val="auto"/>
        </w:rPr>
        <w:t>On July 26, 2022, the Company entered into an agreement for the refranchising and sale of related restaurant assets of 69 Applebee’s company-operated restaurants located in North Carolina and South Carolina. Assets held for sale include $55.5 million of operating lease right-of-use assets, $43.9 million of property and equipment, $9.3 million in goodwill and other intangible assets, net and $1.7 million in other assets for Company-operated restaurants that the Company plans to sell within the next year to an existing franchisee. Liabilities held for sale include $95.4 million in lease obligations and $0.6 million in other liabilities. A loss of $1.1 million was recorded in closure and impairment charges on the Company's Consolidated Statements of Comprehensive Income during the three months ended September 30, 2022 and does not factor in any future royalty stream from the refranchising.</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w:t>
      </w:r>
    </w:p>
    <w:p>
      <w:pPr>
        <w:spacing w:after="0" w:line="232" w:lineRule="exact"/>
        <w:rPr>
          <w:sz w:val="20"/>
          <w:szCs w:val="20"/>
          <w:color w:val="auto"/>
        </w:rPr>
      </w:pPr>
    </w:p>
    <w:p>
      <w:pPr>
        <w:ind w:firstLine="318"/>
        <w:spacing w:after="0" w:line="243" w:lineRule="auto"/>
        <w:rPr>
          <w:sz w:val="20"/>
          <w:szCs w:val="20"/>
          <w:color w:val="auto"/>
        </w:rPr>
      </w:pPr>
      <w:r>
        <w:rPr>
          <w:rFonts w:ascii="Times New Roman" w:cs="Times New Roman" w:eastAsia="Times New Roman" w:hAnsi="Times New Roman"/>
          <w:sz w:val="18"/>
          <w:szCs w:val="18"/>
          <w:color w:val="auto"/>
        </w:rPr>
        <w:t>In October 2022, the Company completed the refranchising and sale of related restaurant assets of 69 Applebee’s company-operated restaurants located in North Carolina and South Carolina.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14" w:right="3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46" w:lineRule="exact"/>
        <w:rPr>
          <w:sz w:val="20"/>
          <w:szCs w:val="20"/>
          <w:color w:val="auto"/>
        </w:rPr>
      </w:pPr>
    </w:p>
    <w:p>
      <w:pPr>
        <w:ind w:right="120" w:firstLine="318"/>
        <w:spacing w:after="0" w:line="255" w:lineRule="auto"/>
        <w:rPr>
          <w:sz w:val="20"/>
          <w:szCs w:val="20"/>
          <w:color w:val="auto"/>
        </w:rPr>
      </w:pPr>
      <w:r>
        <w:rPr>
          <w:rFonts w:ascii="Times New Roman" w:cs="Times New Roman" w:eastAsia="Times New Roman" w:hAnsi="Times New Roman"/>
          <w:sz w:val="18"/>
          <w:szCs w:val="18"/>
          <w:color w:val="auto"/>
        </w:rPr>
        <w:t>You should read the following Management's Discussion and Analysis of Financial Condition and Results of Operations (“MD&amp;A”) in conjunction with the consolidated financial statements and the related notes that appear elsewhere in this report. Statements contained in this report may constitute forward-looking statements within the meaning of the Private Securities Litigation Reform Act of 1995. Please refer to the section of this report under the heading “Cautionary Statement Regarding Forward-Looking Statements” for more information.</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19"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The following discussion and analysis provides information which we believe is relevant to an assessment and understanding of our consolidated results of operations and financial condition. The discussion should be read in conjunction with the consolidated financial statements and the notes thereto included in Item 1 of Part I of this Quarterly Report and the audited consolidated financial statements and notes thereto and the MD&amp;A contained in the Company’s Annual Report on Form 10-K for the fiscal year ended December 31, 2021. Except where the context indicates otherwise, the words “we,” “us,” “our,” “Dine Brands Global” and the “Company” refer to Dine Brands Global, Inc., together with its subsidiaries that are consolidated in accordance with United States generally accepted accounting principles (“U.S. GAAP”).</w:t>
      </w:r>
    </w:p>
    <w:p>
      <w:pPr>
        <w:spacing w:after="0" w:line="182" w:lineRule="exact"/>
        <w:rPr>
          <w:sz w:val="20"/>
          <w:szCs w:val="20"/>
          <w:color w:val="auto"/>
        </w:rPr>
      </w:pPr>
    </w:p>
    <w:p>
      <w:pPr>
        <w:ind w:right="100" w:firstLine="318"/>
        <w:spacing w:after="0" w:line="221" w:lineRule="auto"/>
        <w:rPr>
          <w:sz w:val="20"/>
          <w:szCs w:val="20"/>
          <w:color w:val="auto"/>
        </w:rPr>
      </w:pPr>
      <w:r>
        <w:rPr>
          <w:rFonts w:ascii="Times New Roman" w:cs="Times New Roman" w:eastAsia="Times New Roman" w:hAnsi="Times New Roman"/>
          <w:sz w:val="18"/>
          <w:szCs w:val="18"/>
          <w:color w:val="auto"/>
        </w:rPr>
        <w:t>Through various subsidiaries, we own, franchise and operate the Applebee's Neighborhood Grill &amp; Bar</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(“Applebee's”) concept in the bar and grill segment within the casual dining category of the restaurant industry and we own and franchise the International House of Pancakes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(“IHOP”) concept in the family dining category of the restaurant industry. References herein to Applebee's</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and IHOP</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restaurants are to these two restaurant concepts, whether operated by franchisees, area licensees and their sub-licensees (collectively, “area licensees”) or by us. With 3,436 restaurants combined, 98% of which are franchised, we believe we are one of the largest full-service restaurant companies in the world.</w:t>
      </w:r>
    </w:p>
    <w:p>
      <w:pPr>
        <w:spacing w:after="0" w:line="222" w:lineRule="exact"/>
        <w:rPr>
          <w:sz w:val="20"/>
          <w:szCs w:val="20"/>
          <w:color w:val="auto"/>
        </w:rPr>
      </w:pPr>
    </w:p>
    <w:p>
      <w:pPr>
        <w:ind w:right="160" w:firstLine="318"/>
        <w:spacing w:after="0" w:line="252" w:lineRule="auto"/>
        <w:rPr>
          <w:sz w:val="20"/>
          <w:szCs w:val="20"/>
          <w:color w:val="auto"/>
        </w:rPr>
      </w:pPr>
      <w:r>
        <w:rPr>
          <w:rFonts w:ascii="Times New Roman" w:cs="Times New Roman" w:eastAsia="Times New Roman" w:hAnsi="Times New Roman"/>
          <w:sz w:val="18"/>
          <w:szCs w:val="18"/>
          <w:color w:val="auto"/>
        </w:rPr>
        <w:t>We identify our business segments based on the organizational units used by management to monitor performance and make operating decisions. We currently have five operating segments: Applebee's franchise operations, Applebee's company-operated restaurant operations, IHOP franchise operations, rental operations and financing operations. We have four reportable segments: franchise operations (an aggregation of Applebee's and IHOP franchise operations), company-operated restaurant operations, rental operations and financing operations. We consider these to be our reportable segments, regardless of whether any segment exceeds 10% of consolidated revenues, income before income tax provision or total assets.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Events Impacting the Comparability of Financial Information</w:t>
      </w:r>
    </w:p>
    <w:p>
      <w:pPr>
        <w:spacing w:after="0" w:line="232" w:lineRule="exact"/>
        <w:rPr>
          <w:sz w:val="20"/>
          <w:szCs w:val="20"/>
          <w:color w:val="auto"/>
        </w:rPr>
      </w:pPr>
    </w:p>
    <w:p>
      <w:pPr>
        <w:ind w:right="460" w:firstLine="318"/>
        <w:spacing w:after="0" w:line="238" w:lineRule="auto"/>
        <w:rPr>
          <w:sz w:val="20"/>
          <w:szCs w:val="20"/>
          <w:color w:val="auto"/>
        </w:rPr>
      </w:pPr>
      <w:r>
        <w:rPr>
          <w:rFonts w:ascii="Times New Roman" w:cs="Times New Roman" w:eastAsia="Times New Roman" w:hAnsi="Times New Roman"/>
          <w:sz w:val="18"/>
          <w:szCs w:val="18"/>
          <w:color w:val="auto"/>
        </w:rPr>
        <w:t>Comparisons of financial results for the nine months ended September 30, 2022 and 2021 were impacted by the extent of restrictions in place on restaurant operations in 2021. In March 2020, the World Health Organization declared a global pandemic related to the outbreak of a novel strain of coronavirus, designated “COVID-19.” Initially, federal, state, local and international governments reacted to the COVID-19 pandemic by implementing restrictions that resulted in, to varying degrees, reduced operating hours, restaurant dine-in and/or indoor dining limitations, capacity limitations or other restrictions.</w:t>
      </w:r>
    </w:p>
    <w:p>
      <w:pPr>
        <w:spacing w:after="0" w:line="219" w:lineRule="exact"/>
        <w:rPr>
          <w:sz w:val="20"/>
          <w:szCs w:val="20"/>
          <w:color w:val="auto"/>
        </w:rPr>
      </w:pPr>
    </w:p>
    <w:p>
      <w:pPr>
        <w:ind w:right="100" w:firstLine="318"/>
        <w:spacing w:after="0" w:line="252" w:lineRule="auto"/>
        <w:rPr>
          <w:sz w:val="20"/>
          <w:szCs w:val="20"/>
          <w:color w:val="auto"/>
        </w:rPr>
      </w:pPr>
      <w:r>
        <w:rPr>
          <w:rFonts w:ascii="Times New Roman" w:cs="Times New Roman" w:eastAsia="Times New Roman" w:hAnsi="Times New Roman"/>
          <w:sz w:val="18"/>
          <w:szCs w:val="18"/>
          <w:color w:val="auto"/>
        </w:rPr>
        <w:t>The operating status of our restaurants was fluid during the nine months ended September 30, 2021 and subject to change. Restrictions on restaurant operations were relaxed, removed or increased in response to changes in the number of COVID-19 infections, the availability and acceptance of vaccines and an increase in vaccination rates within the respective governmental jurisdictions. Generally speaking, during the second quarter of 2021, many federal, state and local governments began to relax or remove the restrictive protocols noted above, while most international governments maintained the restrictions, the degree of which varied by country.</w:t>
      </w:r>
    </w:p>
    <w:p>
      <w:pPr>
        <w:spacing w:after="0" w:line="212" w:lineRule="exact"/>
        <w:rPr>
          <w:sz w:val="20"/>
          <w:szCs w:val="20"/>
          <w:color w:val="auto"/>
        </w:rPr>
      </w:pPr>
    </w:p>
    <w:p>
      <w:pPr>
        <w:ind w:right="200" w:firstLine="318"/>
        <w:spacing w:after="0" w:line="255" w:lineRule="auto"/>
        <w:rPr>
          <w:sz w:val="20"/>
          <w:szCs w:val="20"/>
          <w:color w:val="auto"/>
        </w:rPr>
      </w:pPr>
      <w:r>
        <w:rPr>
          <w:rFonts w:ascii="Times New Roman" w:cs="Times New Roman" w:eastAsia="Times New Roman" w:hAnsi="Times New Roman"/>
          <w:sz w:val="18"/>
          <w:szCs w:val="18"/>
          <w:color w:val="auto"/>
        </w:rPr>
        <w:t>As of September 30, 2022 and 2021, almost all domestic Applebee's and IHOP restaurants were open and operating without government-mandated restrictions. Internationally, government-mandated restrictions vary by country, with some international restaurants still under restrictions. As of September 30, 2022, approximately 82% of international restaurants were operating without restrictions, a significant improvement from September 30, 2021, at which time most international restaurants were operating with some restrictions.</w:t>
      </w:r>
    </w:p>
    <w:p>
      <w:pPr>
        <w:spacing w:after="0" w:line="200" w:lineRule="exact"/>
        <w:rPr>
          <w:sz w:val="20"/>
          <w:szCs w:val="20"/>
          <w:color w:val="auto"/>
        </w:rPr>
      </w:pP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0" w:firstLine="318"/>
        <w:spacing w:after="0" w:line="252" w:lineRule="auto"/>
        <w:rPr>
          <w:sz w:val="20"/>
          <w:szCs w:val="20"/>
          <w:color w:val="auto"/>
        </w:rPr>
      </w:pPr>
      <w:r>
        <w:rPr>
          <w:rFonts w:ascii="Times New Roman" w:cs="Times New Roman" w:eastAsia="Times New Roman" w:hAnsi="Times New Roman"/>
          <w:sz w:val="18"/>
          <w:szCs w:val="18"/>
          <w:color w:val="auto"/>
        </w:rPr>
        <w:t>Government-mandated restrictions notwithstanding, some IHOP restaurants that operated 24 hours a day for all or parts of a week prior to the pandemic are currently closed during overnight hours. As of September 30, 2022, approximately 532 IHOP restaurants were operating 24 hours a day, seven days a week, with approximately 141 restaurants operating 24 hours a day for some portion of the week. As of December 31, 2019, the last reporting period prior to the pandemic, approximately 845 IHOP restaurants were operating 24 hours a day, seven days a week, with approximately 245 restaurants operating 24 hours a day for some portion of the week.</w:t>
      </w:r>
    </w:p>
    <w:p>
      <w:pPr>
        <w:spacing w:after="0" w:line="212" w:lineRule="exact"/>
        <w:rPr>
          <w:sz w:val="20"/>
          <w:szCs w:val="20"/>
          <w:color w:val="auto"/>
        </w:rPr>
      </w:pPr>
    </w:p>
    <w:p>
      <w:pPr>
        <w:ind w:right="200" w:firstLine="318"/>
        <w:spacing w:after="0" w:line="241" w:lineRule="auto"/>
        <w:rPr>
          <w:sz w:val="20"/>
          <w:szCs w:val="20"/>
          <w:color w:val="auto"/>
        </w:rPr>
      </w:pPr>
      <w:r>
        <w:rPr>
          <w:rFonts w:ascii="Times New Roman" w:cs="Times New Roman" w:eastAsia="Times New Roman" w:hAnsi="Times New Roman"/>
          <w:sz w:val="18"/>
          <w:szCs w:val="18"/>
          <w:color w:val="auto"/>
        </w:rPr>
        <w:t>We have experienced a number of temporary and permanent closures of our restaurants during the COVID-19 pandemic. These closures occurred for a variety of reasons, and all closures were not necessarily related to the impact of the COVID-19 pandemic or related restrictions. We cannot predict the duration of the pandemic, recurrences of the virus (including the emergence of new variants of the virus), the acceptance of vaccines and booster vaccines worldwide and the availability of vaccines internationally, restrictions on in-restaurant dining that may be re-imposed, and, in general, what the ultimate impact on consumer discretionary spending the COVID-19 pandemic might have on our operations and the restaurant industry as a whole.</w:t>
      </w:r>
    </w:p>
    <w:p>
      <w:pPr>
        <w:spacing w:after="0" w:line="21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Key Financial Results</w:t>
      </w:r>
    </w:p>
    <w:p>
      <w:pPr>
        <w:spacing w:after="0" w:line="246" w:lineRule="exact"/>
        <w:rPr>
          <w:sz w:val="20"/>
          <w:szCs w:val="20"/>
          <w:color w:val="auto"/>
        </w:rPr>
      </w:pPr>
    </w:p>
    <w:p>
      <w:pPr>
        <w:ind w:right="80" w:firstLine="318"/>
        <w:spacing w:after="0" w:line="274" w:lineRule="auto"/>
        <w:rPr>
          <w:sz w:val="20"/>
          <w:szCs w:val="20"/>
          <w:color w:val="auto"/>
        </w:rPr>
      </w:pPr>
      <w:r>
        <w:rPr>
          <w:rFonts w:ascii="Times New Roman" w:cs="Times New Roman" w:eastAsia="Times New Roman" w:hAnsi="Times New Roman"/>
          <w:sz w:val="18"/>
          <w:szCs w:val="18"/>
          <w:color w:val="auto"/>
        </w:rPr>
        <w:t>The financial tables appearing in MD&amp;A present amounts in millions of dollars that are rounded from our consolidated financial statements presented in thousands of dollars. As a result, the tables may not foot or crossfoot due to rounding.</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74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60" w:type="dxa"/>
            <w:vAlign w:val="bottom"/>
          </w:tcPr>
          <w:p>
            <w:pPr>
              <w:spacing w:after="0"/>
              <w:rPr>
                <w:sz w:val="13"/>
                <w:szCs w:val="13"/>
                <w:color w:val="auto"/>
              </w:rPr>
            </w:pPr>
          </w:p>
        </w:tc>
        <w:tc>
          <w:tcPr>
            <w:tcW w:w="12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Favorable</w:t>
            </w:r>
          </w:p>
        </w:tc>
        <w:tc>
          <w:tcPr>
            <w:tcW w:w="160" w:type="dxa"/>
            <w:vAlign w:val="bottom"/>
          </w:tcPr>
          <w:p>
            <w:pPr>
              <w:spacing w:after="0"/>
              <w:rPr>
                <w:sz w:val="13"/>
                <w:szCs w:val="13"/>
                <w:color w:val="auto"/>
              </w:rPr>
            </w:pPr>
          </w:p>
        </w:tc>
        <w:tc>
          <w:tcPr>
            <w:tcW w:w="2700" w:type="dxa"/>
            <w:vAlign w:val="bottom"/>
            <w:gridSpan w:val="5"/>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80" w:type="dxa"/>
            <w:vAlign w:val="bottom"/>
          </w:tcPr>
          <w:p>
            <w:pPr>
              <w:spacing w:after="0"/>
              <w:rPr>
                <w:sz w:val="13"/>
                <w:szCs w:val="13"/>
                <w:color w:val="auto"/>
              </w:rPr>
            </w:pPr>
          </w:p>
        </w:tc>
        <w:tc>
          <w:tcPr>
            <w:tcW w:w="1160" w:type="dxa"/>
            <w:vAlign w:val="bottom"/>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119"/>
        </w:trPr>
        <w:tc>
          <w:tcPr>
            <w:tcW w:w="2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40" w:type="dxa"/>
            <w:vAlign w:val="bottom"/>
            <w:gridSpan w:val="5"/>
            <w:vMerge w:val="continue"/>
          </w:tcPr>
          <w:p>
            <w:pPr>
              <w:spacing w:after="0"/>
              <w:rPr>
                <w:sz w:val="10"/>
                <w:szCs w:val="10"/>
                <w:color w:val="auto"/>
              </w:rPr>
            </w:pPr>
          </w:p>
        </w:tc>
        <w:tc>
          <w:tcPr>
            <w:tcW w:w="160" w:type="dxa"/>
            <w:vAlign w:val="bottom"/>
          </w:tcPr>
          <w:p>
            <w:pPr>
              <w:spacing w:after="0"/>
              <w:rPr>
                <w:sz w:val="10"/>
                <w:szCs w:val="10"/>
                <w:color w:val="auto"/>
              </w:rPr>
            </w:pPr>
          </w:p>
        </w:tc>
        <w:tc>
          <w:tcPr>
            <w:tcW w:w="1220" w:type="dxa"/>
            <w:vAlign w:val="bottom"/>
            <w:gridSpan w:val="2"/>
          </w:tcPr>
          <w:p>
            <w:pPr>
              <w:jc w:val="center"/>
              <w:ind w:right="260"/>
              <w:spacing w:after="0" w:line="113" w:lineRule="exact"/>
              <w:rPr>
                <w:sz w:val="20"/>
                <w:szCs w:val="20"/>
                <w:color w:val="auto"/>
              </w:rPr>
            </w:pPr>
            <w:r>
              <w:rPr>
                <w:rFonts w:ascii="Times New Roman" w:cs="Times New Roman" w:eastAsia="Times New Roman" w:hAnsi="Times New Roman"/>
                <w:sz w:val="13"/>
                <w:szCs w:val="13"/>
                <w:b w:val="1"/>
                <w:bCs w:val="1"/>
                <w:color w:val="auto"/>
              </w:rPr>
              <w:t>(Unfavorable)</w:t>
            </w:r>
          </w:p>
        </w:tc>
        <w:tc>
          <w:tcPr>
            <w:tcW w:w="160" w:type="dxa"/>
            <w:vAlign w:val="bottom"/>
          </w:tcPr>
          <w:p>
            <w:pPr>
              <w:spacing w:after="0"/>
              <w:rPr>
                <w:sz w:val="10"/>
                <w:szCs w:val="10"/>
                <w:color w:val="auto"/>
              </w:rPr>
            </w:pPr>
          </w:p>
        </w:tc>
        <w:tc>
          <w:tcPr>
            <w:tcW w:w="2700" w:type="dxa"/>
            <w:vAlign w:val="bottom"/>
            <w:gridSpan w:val="5"/>
            <w:vMerge w:val="continue"/>
          </w:tcPr>
          <w:p>
            <w:pPr>
              <w:spacing w:after="0"/>
              <w:rPr>
                <w:sz w:val="10"/>
                <w:szCs w:val="10"/>
                <w:color w:val="auto"/>
              </w:rPr>
            </w:pPr>
          </w:p>
        </w:tc>
        <w:tc>
          <w:tcPr>
            <w:tcW w:w="180" w:type="dxa"/>
            <w:vAlign w:val="bottom"/>
          </w:tcPr>
          <w:p>
            <w:pPr>
              <w:spacing w:after="0"/>
              <w:rPr>
                <w:sz w:val="10"/>
                <w:szCs w:val="10"/>
                <w:color w:val="auto"/>
              </w:rPr>
            </w:pPr>
          </w:p>
        </w:tc>
        <w:tc>
          <w:tcPr>
            <w:tcW w:w="1160" w:type="dxa"/>
            <w:vAlign w:val="bottom"/>
          </w:tcPr>
          <w:p>
            <w:pPr>
              <w:jc w:val="center"/>
              <w:ind w:right="99"/>
              <w:spacing w:after="0" w:line="113" w:lineRule="exact"/>
              <w:rPr>
                <w:sz w:val="20"/>
                <w:szCs w:val="20"/>
                <w:color w:val="auto"/>
              </w:rPr>
            </w:pPr>
            <w:r>
              <w:rPr>
                <w:rFonts w:ascii="Times New Roman" w:cs="Times New Roman" w:eastAsia="Times New Roman" w:hAnsi="Times New Roman"/>
                <w:sz w:val="13"/>
                <w:szCs w:val="13"/>
                <w:b w:val="1"/>
                <w:bCs w:val="1"/>
                <w:color w:val="auto"/>
              </w:rPr>
              <w:t>(Unfavorable)</w:t>
            </w:r>
          </w:p>
        </w:tc>
        <w:tc>
          <w:tcPr>
            <w:tcW w:w="0" w:type="dxa"/>
            <w:vAlign w:val="bottom"/>
          </w:tcPr>
          <w:p>
            <w:pPr>
              <w:spacing w:after="0"/>
              <w:rPr>
                <w:sz w:val="1"/>
                <w:szCs w:val="1"/>
                <w:color w:val="auto"/>
              </w:rPr>
            </w:pPr>
          </w:p>
        </w:tc>
      </w:tr>
      <w:tr>
        <w:trPr>
          <w:trHeight w:val="204"/>
        </w:trPr>
        <w:tc>
          <w:tcPr>
            <w:tcW w:w="27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5"/>
              </w:rPr>
              <w:t>Variance</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0" w:type="dxa"/>
            <w:vAlign w:val="bottom"/>
          </w:tcPr>
          <w:p>
            <w:pPr>
              <w:spacing w:after="0"/>
              <w:rPr>
                <w:sz w:val="1"/>
                <w:szCs w:val="1"/>
                <w:color w:val="auto"/>
              </w:rPr>
            </w:pPr>
          </w:p>
        </w:tc>
      </w:tr>
      <w:tr>
        <w:trPr>
          <w:trHeight w:val="235"/>
        </w:trPr>
        <w:tc>
          <w:tcPr>
            <w:tcW w:w="2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6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(In millions, except per share data)</w:t>
            </w:r>
          </w:p>
        </w:tc>
        <w:tc>
          <w:tcPr>
            <w:tcW w:w="3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
        </w:trPr>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28.7</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30.8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95.4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93.4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5"/>
        </w:trPr>
        <w:tc>
          <w:tcPr>
            <w:tcW w:w="2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17"/>
        </w:trPr>
        <w:tc>
          <w:tcPr>
            <w:tcW w:w="2740" w:type="dxa"/>
            <w:vAlign w:val="bottom"/>
            <w:tcBorders>
              <w:bottom w:val="single" w:sz="8" w:color="CCEEFF"/>
            </w:tcBorders>
            <w:shd w:val="clear" w:color="auto" w:fill="CCEEFF"/>
          </w:tcPr>
          <w:p>
            <w:pPr>
              <w:ind w:left="20"/>
              <w:spacing w:after="0" w:line="192" w:lineRule="exact"/>
              <w:rPr>
                <w:sz w:val="20"/>
                <w:szCs w:val="20"/>
                <w:color w:val="auto"/>
              </w:rPr>
            </w:pPr>
            <w:r>
              <w:rPr>
                <w:rFonts w:ascii="Times New Roman" w:cs="Times New Roman" w:eastAsia="Times New Roman" w:hAnsi="Times New Roman"/>
                <w:sz w:val="18"/>
                <w:szCs w:val="18"/>
                <w:color w:val="auto"/>
              </w:rPr>
              <w:t>Net income</w:t>
            </w:r>
          </w:p>
        </w:tc>
        <w:tc>
          <w:tcPr>
            <w:tcW w:w="12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ind w:left="660"/>
              <w:spacing w:after="0" w:line="192" w:lineRule="exact"/>
              <w:rPr>
                <w:sz w:val="20"/>
                <w:szCs w:val="20"/>
                <w:color w:val="auto"/>
              </w:rPr>
            </w:pPr>
            <w:r>
              <w:rPr>
                <w:rFonts w:ascii="Times New Roman" w:cs="Times New Roman" w:eastAsia="Times New Roman" w:hAnsi="Times New Roman"/>
                <w:sz w:val="18"/>
                <w:szCs w:val="18"/>
                <w:color w:val="auto"/>
              </w:rPr>
              <w:t>20.9</w:t>
            </w:r>
          </w:p>
        </w:tc>
        <w:tc>
          <w:tcPr>
            <w:tcW w:w="1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2"/>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ind w:left="480"/>
              <w:spacing w:after="0" w:line="192" w:lineRule="exact"/>
              <w:rPr>
                <w:sz w:val="20"/>
                <w:szCs w:val="20"/>
                <w:color w:val="auto"/>
              </w:rPr>
            </w:pPr>
            <w:r>
              <w:rPr>
                <w:rFonts w:ascii="Times New Roman" w:cs="Times New Roman" w:eastAsia="Times New Roman" w:hAnsi="Times New Roman"/>
                <w:sz w:val="18"/>
                <w:szCs w:val="18"/>
                <w:color w:val="auto"/>
              </w:rPr>
              <w:t>23.1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80"/>
              <w:spacing w:after="0" w:line="192" w:lineRule="exact"/>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ind w:left="640"/>
              <w:spacing w:after="0" w:line="192" w:lineRule="exact"/>
              <w:rPr>
                <w:sz w:val="20"/>
                <w:szCs w:val="20"/>
                <w:color w:val="auto"/>
              </w:rPr>
            </w:pPr>
            <w:r>
              <w:rPr>
                <w:rFonts w:ascii="Times New Roman" w:cs="Times New Roman" w:eastAsia="Times New Roman" w:hAnsi="Times New Roman"/>
                <w:sz w:val="18"/>
                <w:szCs w:val="18"/>
                <w:color w:val="auto"/>
              </w:rPr>
              <w:t>69.8</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2"/>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ind w:left="480"/>
              <w:spacing w:after="0" w:line="192" w:lineRule="exact"/>
              <w:rPr>
                <w:sz w:val="20"/>
                <w:szCs w:val="20"/>
                <w:color w:val="auto"/>
              </w:rPr>
            </w:pPr>
            <w:r>
              <w:rPr>
                <w:rFonts w:ascii="Times New Roman" w:cs="Times New Roman" w:eastAsia="Times New Roman" w:hAnsi="Times New Roman"/>
                <w:sz w:val="18"/>
                <w:szCs w:val="18"/>
                <w:color w:val="auto"/>
              </w:rPr>
              <w:t>78.1</w:t>
            </w: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99"/>
              <w:spacing w:after="0" w:line="192" w:lineRule="exact"/>
              <w:rPr>
                <w:sz w:val="20"/>
                <w:szCs w:val="20"/>
                <w:color w:val="auto"/>
              </w:rPr>
            </w:pPr>
            <w:r>
              <w:rPr>
                <w:rFonts w:ascii="Times New Roman" w:cs="Times New Roman" w:eastAsia="Times New Roman" w:hAnsi="Times New Roman"/>
                <w:sz w:val="18"/>
                <w:szCs w:val="18"/>
                <w:color w:val="auto"/>
              </w:rPr>
              <w:t>(8.3)</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1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w w:val="97"/>
              </w:rPr>
              <w:t>27.1 %</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24.9 %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26.9 %</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16.4 %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7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diluted share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1.32</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740" w:type="dxa"/>
            <w:vAlign w:val="bottom"/>
            <w:tcBorders>
              <w:bottom w:val="single" w:sz="8" w:color="CCEEFF"/>
            </w:tcBorders>
          </w:tcPr>
          <w:p>
            <w:pPr>
              <w:spacing w:after="0"/>
              <w:rPr>
                <w:sz w:val="14"/>
                <w:szCs w:val="14"/>
                <w:color w:val="auto"/>
              </w:rPr>
            </w:pPr>
          </w:p>
        </w:tc>
        <w:tc>
          <w:tcPr>
            <w:tcW w:w="120" w:type="dxa"/>
            <w:vAlign w:val="bottom"/>
            <w:tcBorders>
              <w:top w:val="single" w:sz="8" w:color="auto"/>
              <w:bottom w:val="single" w:sz="8" w:color="CCEEFF"/>
            </w:tcBorders>
          </w:tcPr>
          <w:p>
            <w:pPr>
              <w:spacing w:after="0"/>
              <w:rPr>
                <w:sz w:val="14"/>
                <w:szCs w:val="14"/>
                <w:color w:val="auto"/>
              </w:rPr>
            </w:pPr>
          </w:p>
        </w:tc>
        <w:tc>
          <w:tcPr>
            <w:tcW w:w="1180" w:type="dxa"/>
            <w:vAlign w:val="bottom"/>
            <w:tcBorders>
              <w:top w:val="single" w:sz="8" w:color="auto"/>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CCEEFF"/>
            </w:tcBorders>
          </w:tcPr>
          <w:p>
            <w:pPr>
              <w:spacing w:after="0"/>
              <w:rPr>
                <w:sz w:val="14"/>
                <w:szCs w:val="14"/>
                <w:color w:val="auto"/>
              </w:rPr>
            </w:pPr>
          </w:p>
        </w:tc>
        <w:tc>
          <w:tcPr>
            <w:tcW w:w="1020" w:type="dxa"/>
            <w:vAlign w:val="bottom"/>
            <w:tcBorders>
              <w:top w:val="single" w:sz="8" w:color="auto"/>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 decrease</w:t>
            </w:r>
          </w:p>
        </w:tc>
        <w:tc>
          <w:tcPr>
            <w:tcW w:w="10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CCEEFF"/>
            </w:tcBorders>
          </w:tcPr>
          <w:p>
            <w:pPr>
              <w:spacing w:after="0"/>
              <w:rPr>
                <w:sz w:val="14"/>
                <w:szCs w:val="14"/>
                <w:color w:val="auto"/>
              </w:rPr>
            </w:pPr>
          </w:p>
        </w:tc>
        <w:tc>
          <w:tcPr>
            <w:tcW w:w="1180" w:type="dxa"/>
            <w:vAlign w:val="bottom"/>
            <w:tcBorders>
              <w:top w:val="single" w:sz="8" w:color="auto"/>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00" w:type="dxa"/>
            <w:vAlign w:val="bottom"/>
            <w:tcBorders>
              <w:top w:val="single" w:sz="8" w:color="auto"/>
              <w:bottom w:val="single" w:sz="8" w:color="CCEEFF"/>
            </w:tcBorders>
          </w:tcPr>
          <w:p>
            <w:pPr>
              <w:spacing w:after="0"/>
              <w:rPr>
                <w:sz w:val="14"/>
                <w:szCs w:val="14"/>
                <w:color w:val="auto"/>
              </w:rPr>
            </w:pPr>
          </w:p>
        </w:tc>
        <w:tc>
          <w:tcPr>
            <w:tcW w:w="1020" w:type="dxa"/>
            <w:vAlign w:val="bottom"/>
            <w:tcBorders>
              <w:top w:val="single" w:sz="8" w:color="auto"/>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160" w:type="dxa"/>
            <w:vAlign w:val="bottom"/>
            <w:tcBorders>
              <w:top w:val="single" w:sz="8" w:color="auto"/>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 decrease</w:t>
            </w: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diluted shares</w:t>
            </w:r>
          </w:p>
        </w:tc>
        <w:tc>
          <w:tcPr>
            <w:tcW w:w="1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15.4</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ind w:right="320" w:firstLine="318"/>
        <w:spacing w:after="0" w:line="288" w:lineRule="auto"/>
        <w:rPr>
          <w:sz w:val="20"/>
          <w:szCs w:val="20"/>
          <w:color w:val="auto"/>
        </w:rPr>
      </w:pPr>
      <w:r>
        <w:rPr>
          <w:rFonts w:ascii="Times New Roman" w:cs="Times New Roman" w:eastAsia="Times New Roman" w:hAnsi="Times New Roman"/>
          <w:sz w:val="17"/>
          <w:szCs w:val="17"/>
          <w:color w:val="auto"/>
        </w:rPr>
        <w:t>The effective tax rate for the nine months ended September 30, 2022 was different than the rate of the prior comparable period primarily due to the recognition of excess tax benefits on stock-based compensation related to the departure of our previous chief executive officer in the first quarter of 2021.</w:t>
      </w:r>
    </w:p>
    <w:p>
      <w:pPr>
        <w:spacing w:after="0" w:line="1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highlights the primary components of the increase (decrease) in our income before income taxes for the three and nine months ended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2022, compared to our income before income taxes for the three and nine months ended September 30, 2021:</w:t>
      </w:r>
    </w:p>
    <w:p>
      <w:pPr>
        <w:spacing w:after="0" w:line="9" w:lineRule="exact"/>
        <w:rPr>
          <w:sz w:val="20"/>
          <w:szCs w:val="20"/>
          <w:color w:val="auto"/>
        </w:rPr>
      </w:pPr>
    </w:p>
    <w:p>
      <w:pPr>
        <w:jc w:val="center"/>
        <w:ind w:left="7060"/>
        <w:spacing w:after="0"/>
        <w:rPr>
          <w:sz w:val="20"/>
          <w:szCs w:val="20"/>
          <w:color w:val="auto"/>
        </w:rPr>
      </w:pPr>
      <w:r>
        <w:rPr>
          <w:rFonts w:ascii="Times New Roman" w:cs="Times New Roman" w:eastAsia="Times New Roman" w:hAnsi="Times New Roman"/>
          <w:sz w:val="14"/>
          <w:szCs w:val="14"/>
          <w:b w:val="1"/>
          <w:bCs w:val="1"/>
          <w:color w:val="auto"/>
        </w:rPr>
        <w:t>Favorable</w:t>
      </w:r>
    </w:p>
    <w:p>
      <w:pPr>
        <w:jc w:val="center"/>
        <w:ind w:left="7060"/>
        <w:spacing w:after="0"/>
        <w:rPr>
          <w:sz w:val="20"/>
          <w:szCs w:val="20"/>
          <w:color w:val="auto"/>
        </w:rPr>
      </w:pPr>
      <w:r>
        <w:rPr>
          <w:rFonts w:ascii="Times New Roman" w:cs="Times New Roman" w:eastAsia="Times New Roman" w:hAnsi="Times New Roman"/>
          <w:sz w:val="14"/>
          <w:szCs w:val="14"/>
          <w:b w:val="1"/>
          <w:bCs w:val="1"/>
          <w:color w:val="auto"/>
        </w:rPr>
        <w:t>(Unfavorable) Variance</w:t>
      </w:r>
    </w:p>
    <w:p>
      <w:pPr>
        <w:spacing w:after="0" w:line="1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706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900" w:type="dxa"/>
            <w:vAlign w:val="bottom"/>
            <w:tcBorders>
              <w:top w:val="single" w:sz="8" w:color="auto"/>
            </w:tcBorders>
            <w:gridSpan w:val="2"/>
          </w:tcPr>
          <w:p>
            <w:pPr>
              <w:jc w:val="center"/>
              <w:ind w:right="300"/>
              <w:spacing w:after="0" w:line="172" w:lineRule="exact"/>
              <w:rPr>
                <w:sz w:val="20"/>
                <w:szCs w:val="20"/>
                <w:color w:val="auto"/>
              </w:rPr>
            </w:pPr>
            <w:r>
              <w:rPr>
                <w:rFonts w:ascii="Times New Roman" w:cs="Times New Roman" w:eastAsia="Times New Roman" w:hAnsi="Times New Roman"/>
                <w:sz w:val="16"/>
                <w:szCs w:val="16"/>
                <w:b w:val="1"/>
                <w:bCs w:val="1"/>
                <w:color w:val="auto"/>
                <w:w w:val="98"/>
              </w:rPr>
              <w:t>Three Months Ended</w:t>
            </w:r>
          </w:p>
        </w:tc>
        <w:tc>
          <w:tcPr>
            <w:tcW w:w="20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tcPr>
          <w:p>
            <w:pPr>
              <w:jc w:val="right"/>
              <w:ind w:right="213"/>
              <w:spacing w:after="0" w:line="172" w:lineRule="exact"/>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1"/>
        </w:trPr>
        <w:tc>
          <w:tcPr>
            <w:tcW w:w="70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8"/>
              </w:rPr>
              <w:t>September 30, 2022</w:t>
            </w: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September 30, 2022</w:t>
            </w:r>
          </w:p>
        </w:tc>
      </w:tr>
      <w:tr>
        <w:trPr>
          <w:trHeight w:val="193"/>
        </w:trPr>
        <w:tc>
          <w:tcPr>
            <w:tcW w:w="7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860" w:type="dxa"/>
            <w:vAlign w:val="bottom"/>
            <w:gridSpan w:val="4"/>
            <w:shd w:val="clear" w:color="auto" w:fill="CCEEFF"/>
          </w:tcPr>
          <w:p>
            <w:pPr>
              <w:jc w:val="right"/>
              <w:ind w:right="1573"/>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25"/>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(Decrease) increase in gross profit:</w:t>
            </w:r>
          </w:p>
        </w:tc>
        <w:tc>
          <w:tcPr>
            <w:tcW w:w="1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5"/>
        </w:trPr>
        <w:tc>
          <w:tcPr>
            <w:tcW w:w="7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Applebee's franchise operations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CEEFF"/>
          </w:tcPr>
          <w:p>
            <w:pPr>
              <w:jc w:val="center"/>
              <w:ind w:left="1315"/>
              <w:spacing w:after="0"/>
              <w:rPr>
                <w:sz w:val="20"/>
                <w:szCs w:val="20"/>
                <w:color w:val="auto"/>
              </w:rPr>
            </w:pPr>
            <w:r>
              <w:rPr>
                <w:rFonts w:ascii="Times New Roman" w:cs="Times New Roman" w:eastAsia="Times New Roman" w:hAnsi="Times New Roman"/>
                <w:sz w:val="18"/>
                <w:szCs w:val="18"/>
                <w:color w:val="auto"/>
                <w:w w:val="98"/>
              </w:rPr>
              <w:t>(0.9)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25"/>
        </w:trPr>
        <w:tc>
          <w:tcPr>
            <w:tcW w:w="7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IHOP franchise operations</w:t>
            </w:r>
          </w:p>
        </w:tc>
        <w:tc>
          <w:tcPr>
            <w:tcW w:w="180" w:type="dxa"/>
            <w:vAlign w:val="bottom"/>
          </w:tcPr>
          <w:p>
            <w:pPr>
              <w:spacing w:after="0"/>
              <w:rPr>
                <w:sz w:val="19"/>
                <w:szCs w:val="19"/>
                <w:color w:val="auto"/>
              </w:rPr>
            </w:pPr>
          </w:p>
        </w:tc>
        <w:tc>
          <w:tcPr>
            <w:tcW w:w="1780" w:type="dxa"/>
            <w:vAlign w:val="bottom"/>
          </w:tcPr>
          <w:p>
            <w:pPr>
              <w:jc w:val="center"/>
              <w:ind w:left="1355"/>
              <w:spacing w:after="0"/>
              <w:rPr>
                <w:sz w:val="20"/>
                <w:szCs w:val="20"/>
                <w:color w:val="auto"/>
              </w:rPr>
            </w:pPr>
            <w:r>
              <w:rPr>
                <w:rFonts w:ascii="Times New Roman" w:cs="Times New Roman" w:eastAsia="Times New Roman" w:hAnsi="Times New Roman"/>
                <w:sz w:val="18"/>
                <w:szCs w:val="18"/>
                <w:color w:val="auto"/>
                <w:w w:val="97"/>
              </w:rPr>
              <w:t>0.1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70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Company restaurant operations</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center"/>
              <w:ind w:left="1355"/>
              <w:spacing w:after="0"/>
              <w:rPr>
                <w:sz w:val="20"/>
                <w:szCs w:val="20"/>
                <w:color w:val="auto"/>
              </w:rPr>
            </w:pPr>
            <w:r>
              <w:rPr>
                <w:rFonts w:ascii="Times New Roman" w:cs="Times New Roman" w:eastAsia="Times New Roman" w:hAnsi="Times New Roman"/>
                <w:sz w:val="18"/>
                <w:szCs w:val="18"/>
                <w:color w:val="auto"/>
                <w:w w:val="97"/>
              </w:rPr>
              <w:t>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5"/>
        </w:trPr>
        <w:tc>
          <w:tcPr>
            <w:tcW w:w="70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Rental and financing operations</w:t>
            </w: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center"/>
              <w:ind w:left="1355"/>
              <w:spacing w:after="0"/>
              <w:rPr>
                <w:sz w:val="20"/>
                <w:szCs w:val="20"/>
                <w:color w:val="auto"/>
              </w:rPr>
            </w:pPr>
            <w:r>
              <w:rPr>
                <w:rFonts w:ascii="Times New Roman" w:cs="Times New Roman" w:eastAsia="Times New Roman" w:hAnsi="Times New Roman"/>
                <w:sz w:val="18"/>
                <w:szCs w:val="18"/>
                <w:color w:val="auto"/>
                <w:w w:val="97"/>
              </w:rPr>
              <w:t>0.2</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8"/>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(decrease) increase in gross profit</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center"/>
              <w:ind w:left="1315"/>
              <w:spacing w:after="0"/>
              <w:rPr>
                <w:sz w:val="20"/>
                <w:szCs w:val="20"/>
                <w:color w:val="auto"/>
              </w:rPr>
            </w:pPr>
            <w:r>
              <w:rPr>
                <w:rFonts w:ascii="Times New Roman" w:cs="Times New Roman" w:eastAsia="Times New Roman" w:hAnsi="Times New Roman"/>
                <w:sz w:val="18"/>
                <w:szCs w:val="18"/>
                <w:color w:val="auto"/>
                <w:w w:val="98"/>
              </w:rPr>
              <w:t>(0.3)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25"/>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Increase in general and administrative expenses</w:t>
            </w:r>
          </w:p>
        </w:tc>
        <w:tc>
          <w:tcPr>
            <w:tcW w:w="180" w:type="dxa"/>
            <w:vAlign w:val="bottom"/>
          </w:tcPr>
          <w:p>
            <w:pPr>
              <w:spacing w:after="0"/>
              <w:rPr>
                <w:sz w:val="19"/>
                <w:szCs w:val="19"/>
                <w:color w:val="auto"/>
              </w:rPr>
            </w:pPr>
          </w:p>
        </w:tc>
        <w:tc>
          <w:tcPr>
            <w:tcW w:w="1780" w:type="dxa"/>
            <w:vAlign w:val="bottom"/>
          </w:tcPr>
          <w:p>
            <w:pPr>
              <w:jc w:val="center"/>
              <w:ind w:left="1315"/>
              <w:spacing w:after="0"/>
              <w:rPr>
                <w:sz w:val="20"/>
                <w:szCs w:val="20"/>
                <w:color w:val="auto"/>
              </w:rPr>
            </w:pPr>
            <w:r>
              <w:rPr>
                <w:rFonts w:ascii="Times New Roman" w:cs="Times New Roman" w:eastAsia="Times New Roman" w:hAnsi="Times New Roman"/>
                <w:sz w:val="18"/>
                <w:szCs w:val="18"/>
                <w:color w:val="auto"/>
                <w:w w:val="98"/>
              </w:rPr>
              <w:t>(2.6)</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25"/>
        </w:trPr>
        <w:tc>
          <w:tcPr>
            <w:tcW w:w="7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gain on disposition of assets</w:t>
            </w:r>
          </w:p>
        </w:tc>
        <w:tc>
          <w:tcPr>
            <w:tcW w:w="180" w:type="dxa"/>
            <w:vAlign w:val="bottom"/>
            <w:shd w:val="clear" w:color="auto" w:fill="CCEEFF"/>
          </w:tcPr>
          <w:p>
            <w:pPr>
              <w:spacing w:after="0"/>
              <w:rPr>
                <w:sz w:val="19"/>
                <w:szCs w:val="19"/>
                <w:color w:val="auto"/>
              </w:rPr>
            </w:pPr>
          </w:p>
        </w:tc>
        <w:tc>
          <w:tcPr>
            <w:tcW w:w="1780" w:type="dxa"/>
            <w:vAlign w:val="bottom"/>
            <w:shd w:val="clear" w:color="auto" w:fill="CCEEFF"/>
          </w:tcPr>
          <w:p>
            <w:pPr>
              <w:jc w:val="center"/>
              <w:ind w:left="1355"/>
              <w:spacing w:after="0"/>
              <w:rPr>
                <w:sz w:val="20"/>
                <w:szCs w:val="20"/>
                <w:color w:val="auto"/>
              </w:rPr>
            </w:pPr>
            <w:r>
              <w:rPr>
                <w:rFonts w:ascii="Times New Roman" w:cs="Times New Roman" w:eastAsia="Times New Roman" w:hAnsi="Times New Roman"/>
                <w:sz w:val="18"/>
                <w:szCs w:val="18"/>
                <w:color w:val="auto"/>
                <w:w w:val="97"/>
              </w:rPr>
              <w:t>2.8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25"/>
        </w:trPr>
        <w:tc>
          <w:tcPr>
            <w:tcW w:w="70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center"/>
              <w:ind w:left="1315"/>
              <w:spacing w:after="0"/>
              <w:rPr>
                <w:sz w:val="20"/>
                <w:szCs w:val="20"/>
                <w:color w:val="auto"/>
              </w:rPr>
            </w:pPr>
            <w:r>
              <w:rPr>
                <w:rFonts w:ascii="Times New Roman" w:cs="Times New Roman" w:eastAsia="Times New Roman" w:hAnsi="Times New Roman"/>
                <w:sz w:val="18"/>
                <w:szCs w:val="18"/>
                <w:color w:val="auto"/>
                <w:w w:val="98"/>
              </w:rPr>
              <w:t>(1.9)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44"/>
        </w:trPr>
        <w:tc>
          <w:tcPr>
            <w:tcW w:w="70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increase in income before income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CEEFF"/>
          </w:tcPr>
          <w:p>
            <w:pPr>
              <w:jc w:val="center"/>
              <w:ind w:left="1315"/>
              <w:spacing w:after="0"/>
              <w:rPr>
                <w:sz w:val="20"/>
                <w:szCs w:val="20"/>
                <w:color w:val="auto"/>
              </w:rPr>
            </w:pPr>
            <w:r>
              <w:rPr>
                <w:rFonts w:ascii="Times New Roman" w:cs="Times New Roman" w:eastAsia="Times New Roman" w:hAnsi="Times New Roman"/>
                <w:sz w:val="18"/>
                <w:szCs w:val="18"/>
                <w:color w:val="auto"/>
                <w:w w:val="98"/>
              </w:rPr>
              <w:t>(2.0)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220" w:firstLine="318"/>
        <w:spacing w:after="0" w:line="252" w:lineRule="auto"/>
        <w:rPr>
          <w:sz w:val="20"/>
          <w:szCs w:val="20"/>
          <w:color w:val="auto"/>
        </w:rPr>
      </w:pPr>
      <w:r>
        <w:rPr>
          <w:rFonts w:ascii="Times New Roman" w:cs="Times New Roman" w:eastAsia="Times New Roman" w:hAnsi="Times New Roman"/>
          <w:sz w:val="18"/>
          <w:szCs w:val="18"/>
          <w:color w:val="auto"/>
        </w:rPr>
        <w:t>The increase in Applebee’s franchise operations gross profit for the nine months ended September 30, 2022 compared with the same period of the prior year, was primarily due to higher royalty revenues from a 6.3% increase in domestic franchise same-restaurant sales and increased international royalty revenues.</w:t>
      </w:r>
    </w:p>
    <w:p>
      <w:pPr>
        <w:spacing w:after="0" w:line="196" w:lineRule="exact"/>
        <w:rPr>
          <w:sz w:val="20"/>
          <w:szCs w:val="20"/>
          <w:color w:val="auto"/>
        </w:rPr>
      </w:pPr>
    </w:p>
    <w:p>
      <w:pPr>
        <w:ind w:right="200" w:firstLine="318"/>
        <w:spacing w:after="0" w:line="241" w:lineRule="auto"/>
        <w:rPr>
          <w:sz w:val="20"/>
          <w:szCs w:val="20"/>
          <w:color w:val="auto"/>
        </w:rPr>
      </w:pPr>
      <w:r>
        <w:rPr>
          <w:rFonts w:ascii="Times New Roman" w:cs="Times New Roman" w:eastAsia="Times New Roman" w:hAnsi="Times New Roman"/>
          <w:sz w:val="18"/>
          <w:szCs w:val="18"/>
          <w:color w:val="auto"/>
        </w:rPr>
        <w:t>Increases in commodity, labor and other restaurant operating costs experienced at restaurants owned and operated by our franchisees could impact us to the extent our franchisees are adversely impacted by a sustained decline in their operating margins; and at company operated restaurants, impact us directly. The changes in company restaurant operations gross profit for the nine months ended September 30, 2022 compared with the same respective periods of the prior year were primarily impacted by increases in commodity, labor and other restaurant operating costs offset by higher retail sales. As of September 30, 2022, we operated 69 Applebee’s restaurants, representing 2% of the 3,436 restaurants comprising our system.</w:t>
      </w:r>
    </w:p>
    <w:p>
      <w:pPr>
        <w:spacing w:after="0" w:line="220" w:lineRule="exact"/>
        <w:rPr>
          <w:sz w:val="20"/>
          <w:szCs w:val="20"/>
          <w:color w:val="auto"/>
        </w:rPr>
      </w:pPr>
    </w:p>
    <w:p>
      <w:pPr>
        <w:ind w:right="140" w:firstLine="318"/>
        <w:spacing w:after="0" w:line="274" w:lineRule="auto"/>
        <w:rPr>
          <w:sz w:val="20"/>
          <w:szCs w:val="20"/>
          <w:color w:val="auto"/>
        </w:rPr>
      </w:pPr>
      <w:r>
        <w:rPr>
          <w:rFonts w:ascii="Times New Roman" w:cs="Times New Roman" w:eastAsia="Times New Roman" w:hAnsi="Times New Roman"/>
          <w:sz w:val="18"/>
          <w:szCs w:val="18"/>
          <w:color w:val="auto"/>
        </w:rPr>
        <w:t>Rental and financing operations gross profit for the nine months ended September 30, 2022 increased as compared to the same period of 2021, primarily due to a $1.6 million increase in rental income based on a percentage of franchisees' retail sales.</w:t>
      </w:r>
    </w:p>
    <w:p>
      <w:pPr>
        <w:spacing w:after="0" w:line="190" w:lineRule="exact"/>
        <w:rPr>
          <w:sz w:val="20"/>
          <w:szCs w:val="20"/>
          <w:color w:val="auto"/>
        </w:rPr>
      </w:pPr>
    </w:p>
    <w:p>
      <w:pPr>
        <w:ind w:right="180" w:firstLine="318"/>
        <w:spacing w:after="0" w:line="244" w:lineRule="auto"/>
        <w:rPr>
          <w:sz w:val="20"/>
          <w:szCs w:val="20"/>
          <w:color w:val="auto"/>
        </w:rPr>
      </w:pPr>
      <w:r>
        <w:rPr>
          <w:rFonts w:ascii="Times New Roman" w:cs="Times New Roman" w:eastAsia="Times New Roman" w:hAnsi="Times New Roman"/>
          <w:sz w:val="18"/>
          <w:szCs w:val="18"/>
          <w:color w:val="auto"/>
        </w:rPr>
        <w:t>With almost all domestic Applebee’s and IHOP restaurants open and operating without government-mandated restrictions, the Company has returned to normal operations supporting franchisees, as well as making strategic growth investments, resulting in the increase in general and administrative (“G&amp;A”) expenses for the three and nine months ended September 30, 2022, compared with the same respective periods of the prior year.</w:t>
      </w:r>
    </w:p>
    <w:p>
      <w:pPr>
        <w:spacing w:after="0" w:line="203" w:lineRule="exact"/>
        <w:rPr>
          <w:sz w:val="20"/>
          <w:szCs w:val="20"/>
          <w:color w:val="auto"/>
        </w:rPr>
      </w:pPr>
    </w:p>
    <w:p>
      <w:pPr>
        <w:ind w:right="220" w:firstLine="318"/>
        <w:spacing w:after="0" w:line="237" w:lineRule="auto"/>
        <w:rPr>
          <w:sz w:val="20"/>
          <w:szCs w:val="20"/>
          <w:color w:val="auto"/>
        </w:rPr>
      </w:pPr>
      <w:r>
        <w:rPr>
          <w:rFonts w:ascii="Times New Roman" w:cs="Times New Roman" w:eastAsia="Times New Roman" w:hAnsi="Times New Roman"/>
          <w:sz w:val="18"/>
          <w:szCs w:val="18"/>
          <w:color w:val="auto"/>
        </w:rPr>
        <w:t>The increase in gain on disposition of assets for the three and nine months ended September 30, 2022 primarily related to the sale of land and buildings for restaurants located on sites owned by us, compared with the same respective periods in 2021, a loss on disposition of assets for capitalized software no longer in use was incurred.</w:t>
      </w:r>
    </w:p>
    <w:p>
      <w:pPr>
        <w:spacing w:after="0" w:line="220" w:lineRule="exact"/>
        <w:rPr>
          <w:sz w:val="20"/>
          <w:szCs w:val="20"/>
          <w:color w:val="auto"/>
        </w:rPr>
      </w:pPr>
    </w:p>
    <w:p>
      <w:pPr>
        <w:ind w:right="100" w:firstLine="318"/>
        <w:spacing w:after="0" w:line="276"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“Consolidated Results of Operations - Comparison of the Three and Nine Months Ended September 30, 2022 and 2021”</w:t>
      </w:r>
      <w:r>
        <w:rPr>
          <w:rFonts w:ascii="Times New Roman" w:cs="Times New Roman" w:eastAsia="Times New Roman" w:hAnsi="Times New Roman"/>
          <w:sz w:val="18"/>
          <w:szCs w:val="18"/>
          <w:color w:val="auto"/>
        </w:rPr>
        <w:t xml:space="preserve"> for additional discussion of the changes shown above.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Indicators</w:t>
      </w:r>
    </w:p>
    <w:p>
      <w:pPr>
        <w:spacing w:after="0" w:line="232" w:lineRule="exact"/>
        <w:rPr>
          <w:sz w:val="20"/>
          <w:szCs w:val="20"/>
          <w:color w:val="auto"/>
        </w:rPr>
      </w:pPr>
    </w:p>
    <w:p>
      <w:pPr>
        <w:ind w:right="100" w:firstLine="318"/>
        <w:spacing w:after="0" w:line="252" w:lineRule="auto"/>
        <w:rPr>
          <w:sz w:val="20"/>
          <w:szCs w:val="20"/>
          <w:color w:val="auto"/>
        </w:rPr>
      </w:pPr>
      <w:r>
        <w:rPr>
          <w:rFonts w:ascii="Times New Roman" w:cs="Times New Roman" w:eastAsia="Times New Roman" w:hAnsi="Times New Roman"/>
          <w:sz w:val="18"/>
          <w:szCs w:val="18"/>
          <w:color w:val="auto"/>
        </w:rPr>
        <w:t>In evaluating the performance of each restaurant concept, we consider the key performance indicators to be the system-wide sales percentage change, the percentage change in domestic system-wide same-restaurant sales (“domestic same-restaurant sales”), net franchise restaurant development and the change in effective restaurants. Changes in both domestic same-restaurant sales and in the number of Applebee's and IHOP restaurants will impact our system-wide retail sales that drive franchise royalty revenues. Restaurant development also impacts franchise revenues in the form of initial franchise fees and, in the case of IHOP restaurants, sales of proprietary pancake and waffle dry mix.</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key performance indicators for the three and nine months ended September 30, 2022 were as follows:</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240" w:type="dxa"/>
            <w:vAlign w:val="bottom"/>
          </w:tcPr>
          <w:p>
            <w:pPr>
              <w:spacing w:after="0"/>
              <w:rPr>
                <w:sz w:val="16"/>
                <w:szCs w:val="16"/>
                <w:color w:val="auto"/>
              </w:rPr>
            </w:pPr>
          </w:p>
        </w:tc>
        <w:tc>
          <w:tcPr>
            <w:tcW w:w="2660" w:type="dxa"/>
            <w:vAlign w:val="bottom"/>
            <w:gridSpan w:val="7"/>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340" w:type="dxa"/>
            <w:vAlign w:val="bottom"/>
            <w:gridSpan w:val="6"/>
          </w:tcPr>
          <w:p>
            <w:pPr>
              <w:jc w:val="right"/>
              <w:ind w:right="100"/>
              <w:spacing w:after="0"/>
              <w:rPr>
                <w:sz w:val="20"/>
                <w:szCs w:val="20"/>
                <w:color w:val="auto"/>
              </w:rPr>
            </w:pPr>
            <w:r>
              <w:rPr>
                <w:rFonts w:ascii="Times New Roman" w:cs="Times New Roman" w:eastAsia="Times New Roman" w:hAnsi="Times New Roman"/>
                <w:sz w:val="16"/>
                <w:szCs w:val="16"/>
                <w:b w:val="1"/>
                <w:bCs w:val="1"/>
                <w:color w:val="auto"/>
              </w:rPr>
              <w:t>Nine Months Ended September</w:t>
            </w:r>
          </w:p>
        </w:tc>
      </w:tr>
      <w:tr>
        <w:trPr>
          <w:trHeight w:val="211"/>
        </w:trPr>
        <w:tc>
          <w:tcPr>
            <w:tcW w:w="6240" w:type="dxa"/>
            <w:vAlign w:val="bottom"/>
          </w:tcPr>
          <w:p>
            <w:pPr>
              <w:spacing w:after="0"/>
              <w:rPr>
                <w:sz w:val="18"/>
                <w:szCs w:val="18"/>
                <w:color w:val="auto"/>
              </w:rPr>
            </w:pPr>
          </w:p>
        </w:tc>
        <w:tc>
          <w:tcPr>
            <w:tcW w:w="166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2022</w:t>
            </w:r>
          </w:p>
        </w:tc>
        <w:tc>
          <w:tcPr>
            <w:tcW w:w="2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Borders>
              <w:bottom w:val="single" w:sz="8" w:color="auto"/>
            </w:tcBorders>
            <w:gridSpan w:val="3"/>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30, 2022</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r>
      <w:tr>
        <w:trPr>
          <w:trHeight w:val="167"/>
        </w:trPr>
        <w:tc>
          <w:tcPr>
            <w:tcW w:w="6240" w:type="dxa"/>
            <w:vAlign w:val="bottom"/>
          </w:tcPr>
          <w:p>
            <w:pPr>
              <w:spacing w:after="0"/>
              <w:rPr>
                <w:sz w:val="14"/>
                <w:szCs w:val="14"/>
                <w:color w:val="auto"/>
              </w:rPr>
            </w:pPr>
          </w:p>
        </w:tc>
        <w:tc>
          <w:tcPr>
            <w:tcW w:w="1660" w:type="dxa"/>
            <w:vAlign w:val="bottom"/>
            <w:gridSpan w:val="3"/>
          </w:tcPr>
          <w:p>
            <w:pPr>
              <w:jc w:val="right"/>
              <w:ind w:right="620"/>
              <w:spacing w:after="0" w:line="167" w:lineRule="exact"/>
              <w:rPr>
                <w:sz w:val="20"/>
                <w:szCs w:val="20"/>
                <w:color w:val="auto"/>
              </w:rPr>
            </w:pPr>
            <w:r>
              <w:rPr>
                <w:rFonts w:ascii="Times New Roman" w:cs="Times New Roman" w:eastAsia="Times New Roman" w:hAnsi="Times New Roman"/>
                <w:sz w:val="16"/>
                <w:szCs w:val="16"/>
                <w:b w:val="1"/>
                <w:bCs w:val="1"/>
                <w:color w:val="auto"/>
              </w:rPr>
              <w:t>Applebee's</w:t>
            </w:r>
          </w:p>
        </w:tc>
        <w:tc>
          <w:tcPr>
            <w:tcW w:w="900" w:type="dxa"/>
            <w:vAlign w:val="bottom"/>
            <w:gridSpan w:val="3"/>
          </w:tcPr>
          <w:p>
            <w:pPr>
              <w:jc w:val="right"/>
              <w:ind w:right="280"/>
              <w:spacing w:after="0" w:line="167" w:lineRule="exact"/>
              <w:rPr>
                <w:sz w:val="20"/>
                <w:szCs w:val="20"/>
                <w:color w:val="auto"/>
              </w:rPr>
            </w:pPr>
            <w:r>
              <w:rPr>
                <w:rFonts w:ascii="Times New Roman" w:cs="Times New Roman" w:eastAsia="Times New Roman" w:hAnsi="Times New Roman"/>
                <w:sz w:val="16"/>
                <w:szCs w:val="16"/>
                <w:b w:val="1"/>
                <w:bCs w:val="1"/>
                <w:color w:val="auto"/>
              </w:rPr>
              <w:t>IHOP</w:t>
            </w:r>
          </w:p>
        </w:tc>
        <w:tc>
          <w:tcPr>
            <w:tcW w:w="100" w:type="dxa"/>
            <w:vAlign w:val="bottom"/>
          </w:tcPr>
          <w:p>
            <w:pPr>
              <w:spacing w:after="0"/>
              <w:rPr>
                <w:sz w:val="14"/>
                <w:szCs w:val="14"/>
                <w:color w:val="auto"/>
              </w:rPr>
            </w:pPr>
          </w:p>
        </w:tc>
        <w:tc>
          <w:tcPr>
            <w:tcW w:w="1580" w:type="dxa"/>
            <w:vAlign w:val="bottom"/>
            <w:gridSpan w:val="3"/>
          </w:tcPr>
          <w:p>
            <w:pPr>
              <w:jc w:val="right"/>
              <w:ind w:right="600"/>
              <w:spacing w:after="0" w:line="167" w:lineRule="exact"/>
              <w:rPr>
                <w:sz w:val="20"/>
                <w:szCs w:val="20"/>
                <w:color w:val="auto"/>
              </w:rPr>
            </w:pPr>
            <w:r>
              <w:rPr>
                <w:rFonts w:ascii="Times New Roman" w:cs="Times New Roman" w:eastAsia="Times New Roman" w:hAnsi="Times New Roman"/>
                <w:sz w:val="16"/>
                <w:szCs w:val="16"/>
                <w:b w:val="1"/>
                <w:bCs w:val="1"/>
                <w:color w:val="auto"/>
              </w:rPr>
              <w:t>Applebee's</w:t>
            </w:r>
          </w:p>
        </w:tc>
        <w:tc>
          <w:tcPr>
            <w:tcW w:w="760" w:type="dxa"/>
            <w:vAlign w:val="bottom"/>
            <w:gridSpan w:val="3"/>
          </w:tcPr>
          <w:p>
            <w:pPr>
              <w:jc w:val="right"/>
              <w:ind w:right="240"/>
              <w:spacing w:after="0" w:line="167" w:lineRule="exact"/>
              <w:rPr>
                <w:sz w:val="20"/>
                <w:szCs w:val="20"/>
                <w:color w:val="auto"/>
              </w:rPr>
            </w:pPr>
            <w:r>
              <w:rPr>
                <w:rFonts w:ascii="Times New Roman" w:cs="Times New Roman" w:eastAsia="Times New Roman" w:hAnsi="Times New Roman"/>
                <w:sz w:val="16"/>
                <w:szCs w:val="16"/>
                <w:b w:val="1"/>
                <w:bCs w:val="1"/>
                <w:color w:val="auto"/>
              </w:rPr>
              <w:t>IHOP</w:t>
            </w:r>
          </w:p>
        </w:tc>
      </w:tr>
      <w:tr>
        <w:trPr>
          <w:trHeight w:val="30"/>
        </w:trPr>
        <w:tc>
          <w:tcPr>
            <w:tcW w:w="6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r>
      <w:tr>
        <w:trPr>
          <w:trHeight w:val="235"/>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percentage increase in reported retail sales - 2022 vs. 2021</w:t>
            </w:r>
          </w:p>
        </w:tc>
        <w:tc>
          <w:tcPr>
            <w:tcW w:w="3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3.2 %</w:t>
            </w:r>
          </w:p>
        </w:tc>
        <w:tc>
          <w:tcPr>
            <w:tcW w:w="9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shd w:val="clear" w:color="auto" w:fill="CCEEFF"/>
          </w:tcPr>
          <w:p>
            <w:pPr>
              <w:spacing w:after="0"/>
              <w:rPr>
                <w:sz w:val="20"/>
                <w:szCs w:val="20"/>
                <w:color w:val="auto"/>
              </w:rPr>
            </w:pPr>
          </w:p>
        </w:tc>
        <w:tc>
          <w:tcPr>
            <w:tcW w:w="1580" w:type="dxa"/>
            <w:vAlign w:val="bottom"/>
            <w:gridSpan w:val="3"/>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5.9 %</w:t>
            </w:r>
          </w:p>
        </w:tc>
        <w:tc>
          <w:tcPr>
            <w:tcW w:w="7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9.1 %</w:t>
            </w:r>
          </w:p>
        </w:tc>
      </w:tr>
      <w:tr>
        <w:trPr>
          <w:trHeight w:val="225"/>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increase in domestic system-wide same-restaurant sales - 2022 vs. 2021</w:t>
            </w:r>
          </w:p>
        </w:tc>
        <w:tc>
          <w:tcPr>
            <w:tcW w:w="16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3.8 %</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19"/>
                <w:szCs w:val="19"/>
                <w:color w:val="auto"/>
              </w:rPr>
            </w:pPr>
          </w:p>
        </w:tc>
        <w:tc>
          <w:tcPr>
            <w:tcW w:w="158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color w:val="auto"/>
              </w:rPr>
              <w:t>6.3 %</w:t>
            </w:r>
          </w:p>
        </w:tc>
        <w:tc>
          <w:tcPr>
            <w:tcW w:w="7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7.2 %</w:t>
            </w:r>
          </w:p>
        </w:tc>
      </w:tr>
      <w:tr>
        <w:trPr>
          <w:trHeight w:val="225"/>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Net franchise restaurant (reduction) increase </w:t>
            </w:r>
            <w:r>
              <w:rPr>
                <w:rFonts w:ascii="Times New Roman" w:cs="Times New Roman" w:eastAsia="Times New Roman" w:hAnsi="Times New Roman"/>
                <w:sz w:val="10"/>
                <w:szCs w:val="10"/>
                <w:color w:val="auto"/>
              </w:rPr>
              <w:t>(1)</w:t>
            </w:r>
          </w:p>
        </w:tc>
        <w:tc>
          <w:tcPr>
            <w:tcW w:w="1660" w:type="dxa"/>
            <w:vAlign w:val="bottom"/>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(3)</w:t>
            </w:r>
          </w:p>
        </w:tc>
        <w:tc>
          <w:tcPr>
            <w:tcW w:w="90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ind w:right="540"/>
              <w:spacing w:after="0"/>
              <w:rPr>
                <w:sz w:val="20"/>
                <w:szCs w:val="20"/>
                <w:color w:val="auto"/>
              </w:rPr>
            </w:pPr>
            <w:r>
              <w:rPr>
                <w:rFonts w:ascii="Times New Roman" w:cs="Times New Roman" w:eastAsia="Times New Roman" w:hAnsi="Times New Roman"/>
                <w:sz w:val="18"/>
                <w:szCs w:val="18"/>
                <w:color w:val="auto"/>
              </w:rPr>
              <w:t>(10)</w:t>
            </w:r>
          </w:p>
        </w:tc>
        <w:tc>
          <w:tcPr>
            <w:tcW w:w="76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w:t>
            </w:r>
          </w:p>
        </w:tc>
      </w:tr>
      <w:tr>
        <w:trPr>
          <w:trHeight w:val="302"/>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Net (decrease) increase in total effective restaurants </w:t>
            </w:r>
            <w:r>
              <w:rPr>
                <w:rFonts w:ascii="Times New Roman" w:cs="Times New Roman" w:eastAsia="Times New Roman" w:hAnsi="Times New Roman"/>
                <w:sz w:val="22"/>
                <w:szCs w:val="22"/>
                <w:color w:val="auto"/>
                <w:vertAlign w:val="superscript"/>
              </w:rPr>
              <w:t>(2)</w:t>
            </w:r>
          </w:p>
        </w:tc>
        <w:tc>
          <w:tcPr>
            <w:tcW w:w="16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(18)</w:t>
            </w:r>
          </w:p>
        </w:tc>
        <w:tc>
          <w:tcPr>
            <w:tcW w:w="90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4"/>
                <w:szCs w:val="24"/>
                <w:color w:val="auto"/>
              </w:rPr>
            </w:pPr>
          </w:p>
        </w:tc>
        <w:tc>
          <w:tcPr>
            <w:tcW w:w="158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(19)</w:t>
            </w:r>
          </w:p>
        </w:tc>
        <w:tc>
          <w:tcPr>
            <w:tcW w:w="7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26</w:t>
            </w:r>
          </w:p>
        </w:tc>
      </w:tr>
    </w:tbl>
    <w:p>
      <w:pPr>
        <w:spacing w:after="0" w:line="234" w:lineRule="auto"/>
        <w:rPr>
          <w:sz w:val="20"/>
          <w:szCs w:val="20"/>
          <w:color w:val="auto"/>
        </w:rPr>
      </w:pPr>
      <w:r>
        <w:rPr>
          <w:rFonts w:ascii="Times New Roman" w:cs="Times New Roman" w:eastAsia="Times New Roman" w:hAnsi="Times New Roman"/>
          <w:sz w:val="18"/>
          <w:szCs w:val="18"/>
          <w:color w:val="auto"/>
        </w:rPr>
        <w:t>________________________________________________</w:t>
      </w:r>
    </w:p>
    <w:p>
      <w:pPr>
        <w:ind w:left="160" w:hanging="154"/>
        <w:spacing w:after="0" w:line="187" w:lineRule="auto"/>
        <w:tabs>
          <w:tab w:leader="none" w:pos="160" w:val="left"/>
        </w:tabs>
        <w:numPr>
          <w:ilvl w:val="0"/>
          <w:numId w:val="12"/>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2"/>
          <w:szCs w:val="12"/>
          <w:color w:val="auto"/>
        </w:rPr>
        <w:t>Franchise and area license restaurant closings, net of openings, during the three and nine months ended September 30, 2022.</w:t>
      </w:r>
    </w:p>
    <w:p>
      <w:pPr>
        <w:ind w:left="160" w:right="120" w:hanging="154"/>
        <w:spacing w:after="0" w:line="218" w:lineRule="auto"/>
        <w:tabs>
          <w:tab w:leader="none" w:pos="152" w:val="left"/>
        </w:tabs>
        <w:numPr>
          <w:ilvl w:val="0"/>
          <w:numId w:val="1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2"/>
          <w:szCs w:val="12"/>
          <w:color w:val="auto"/>
        </w:rPr>
        <w:t>Change in the weighted average number of franchise, area license and company-operated restaurants open during the three and nine months ended September 30, 2022, compared to the weighted average number of those open during the same respective periods of 2021.</w:t>
      </w:r>
    </w:p>
    <w:p>
      <w:pPr>
        <w:spacing w:after="0" w:line="218" w:lineRule="exact"/>
        <w:rPr>
          <w:sz w:val="20"/>
          <w:szCs w:val="20"/>
          <w:color w:val="auto"/>
        </w:rPr>
      </w:pPr>
    </w:p>
    <w:p>
      <w:pPr>
        <w:ind w:right="80" w:firstLine="318"/>
        <w:spacing w:after="0" w:line="259" w:lineRule="auto"/>
        <w:rPr>
          <w:sz w:val="20"/>
          <w:szCs w:val="20"/>
          <w:color w:val="auto"/>
        </w:rPr>
      </w:pPr>
      <w:r>
        <w:rPr>
          <w:rFonts w:ascii="Times New Roman" w:cs="Times New Roman" w:eastAsia="Times New Roman" w:hAnsi="Times New Roman"/>
          <w:sz w:val="18"/>
          <w:szCs w:val="18"/>
          <w:color w:val="auto"/>
        </w:rPr>
        <w:t xml:space="preserve">The changes in sales percentage and domestic same-restaurant sales of both brands were impacted by increases in average check, partially offset by decreases in customer traffic. There were varying degrees of restrictions on in-restaurant dining in effect during the first quarter of 2021 that substantially had been relaxed during the first quarter of 2022, as discussed </w:t>
      </w:r>
      <w:r>
        <w:rPr>
          <w:rFonts w:ascii="Times New Roman" w:cs="Times New Roman" w:eastAsia="Times New Roman" w:hAnsi="Times New Roman"/>
          <w:sz w:val="18"/>
          <w:szCs w:val="18"/>
          <w:color w:val="252525"/>
        </w:rPr>
        <w:t>under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“Events Impacting the Comparability of Financial Information.”</w:t>
      </w:r>
    </w:p>
    <w:p>
      <w:pPr>
        <w:spacing w:after="0" w:line="204" w:lineRule="exact"/>
        <w:rPr>
          <w:sz w:val="20"/>
          <w:szCs w:val="20"/>
          <w:color w:val="auto"/>
        </w:rPr>
      </w:pPr>
    </w:p>
    <w:p>
      <w:pPr>
        <w:ind w:right="60" w:firstLine="318"/>
        <w:spacing w:after="0" w:line="274" w:lineRule="auto"/>
        <w:rPr>
          <w:sz w:val="20"/>
          <w:szCs w:val="20"/>
          <w:color w:val="auto"/>
        </w:rPr>
      </w:pPr>
      <w:r>
        <w:rPr>
          <w:rFonts w:ascii="Times New Roman" w:cs="Times New Roman" w:eastAsia="Times New Roman" w:hAnsi="Times New Roman"/>
          <w:sz w:val="18"/>
          <w:szCs w:val="18"/>
          <w:color w:val="auto"/>
        </w:rPr>
        <w:t>The change in total effective restaurants for each brand reflects both permanent closures, net of openings, over the past 12 months as well as the weighted effect of restaurants temporarily closed during each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416560</wp:posOffset>
            </wp:positionV>
            <wp:extent cx="5258435" cy="27343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58435"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Domestic Same-Restaurant Sales</w:t>
      </w:r>
    </w:p>
    <w:p>
      <w:pPr>
        <w:spacing w:after="0" w:line="246" w:lineRule="exact"/>
        <w:rPr>
          <w:sz w:val="20"/>
          <w:szCs w:val="20"/>
          <w:color w:val="auto"/>
        </w:rPr>
      </w:pPr>
    </w:p>
    <w:p>
      <w:pPr>
        <w:ind w:firstLine="238"/>
        <w:spacing w:after="0" w:line="250" w:lineRule="auto"/>
        <w:rPr>
          <w:sz w:val="20"/>
          <w:szCs w:val="20"/>
          <w:color w:val="auto"/>
        </w:rPr>
      </w:pPr>
      <w:r>
        <w:rPr>
          <w:rFonts w:ascii="Times New Roman" w:cs="Times New Roman" w:eastAsia="Times New Roman" w:hAnsi="Times New Roman"/>
          <w:sz w:val="18"/>
          <w:szCs w:val="18"/>
          <w:color w:val="auto"/>
        </w:rPr>
        <w:t xml:space="preserve">Applebee’s system-wide domestic same-restaurant sales increased 3.8% for the three months ended September 30, 2022 and 6.3% for the nine months ended September 30, 2022 as compared to the same respective periods of 2021. The increase of 3.8% for the three months ended September 30, 2022 was due to an increase in average check, partially offset by a decrease in customer traffic. The increase of 6.3% for the nine months ended September 30, 2022 was due to an increase in customer traffic and average check. The increase in customer traffic primarily was due to the positive changes in restaurant operating status as discussed under </w:t>
      </w:r>
      <w:r>
        <w:rPr>
          <w:rFonts w:ascii="Times New Roman" w:cs="Times New Roman" w:eastAsia="Times New Roman" w:hAnsi="Times New Roman"/>
          <w:sz w:val="18"/>
          <w:szCs w:val="18"/>
          <w:i w:val="1"/>
          <w:iCs w:val="1"/>
          <w:color w:val="auto"/>
        </w:rPr>
        <w:t>“Events Impacting the Comparability of Financial Information,”</w:t>
      </w:r>
      <w:r>
        <w:rPr>
          <w:rFonts w:ascii="Times New Roman" w:cs="Times New Roman" w:eastAsia="Times New Roman" w:hAnsi="Times New Roman"/>
          <w:sz w:val="18"/>
          <w:szCs w:val="18"/>
          <w:color w:val="auto"/>
        </w:rPr>
        <w:t xml:space="preserve"> as well as increased consumer desire to patronize restaurants after the relaxation of pandemic restrictions. The increase in average check was primarily due to favorable mix shifts related to a reduction in core menu items, successful promotional food and beverage offerings as well as menu price increases by franchisees.</w:t>
      </w:r>
    </w:p>
    <w:p>
      <w:pPr>
        <w:spacing w:after="0" w:line="213" w:lineRule="exact"/>
        <w:rPr>
          <w:sz w:val="20"/>
          <w:szCs w:val="20"/>
          <w:color w:val="auto"/>
        </w:rPr>
      </w:pPr>
    </w:p>
    <w:p>
      <w:pPr>
        <w:ind w:right="360" w:firstLine="238"/>
        <w:spacing w:after="0" w:line="259" w:lineRule="auto"/>
        <w:rPr>
          <w:sz w:val="20"/>
          <w:szCs w:val="20"/>
          <w:color w:val="auto"/>
        </w:rPr>
      </w:pPr>
      <w:r>
        <w:rPr>
          <w:rFonts w:ascii="Times New Roman" w:cs="Times New Roman" w:eastAsia="Times New Roman" w:hAnsi="Times New Roman"/>
          <w:sz w:val="18"/>
          <w:szCs w:val="18"/>
          <w:color w:val="auto"/>
        </w:rPr>
        <w:t>Based on data from Black Box Intelligence, a restaurant sales reporting firm (“Black Box”), Applebee's increase in same- restaurant sales for the three months ended September 30, 2022 outperformed, and for the nine months ended September 30, 2022 underperformed the casual dining segment of the restaurant industry (excluding Applebee's) as compared to the same respective periods of 2022.</w:t>
      </w: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508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Applebee's Off-premise Sales Data</w:t>
            </w:r>
          </w:p>
        </w:tc>
        <w:tc>
          <w:tcPr>
            <w:tcW w:w="140" w:type="dxa"/>
            <w:vAlign w:val="bottom"/>
          </w:tcPr>
          <w:p>
            <w:pPr>
              <w:spacing w:after="0"/>
              <w:rPr>
                <w:sz w:val="17"/>
                <w:szCs w:val="17"/>
                <w:color w:val="auto"/>
              </w:rPr>
            </w:pPr>
          </w:p>
        </w:tc>
        <w:tc>
          <w:tcPr>
            <w:tcW w:w="2820" w:type="dxa"/>
            <w:vAlign w:val="bottom"/>
            <w:gridSpan w:val="8"/>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80" w:type="dxa"/>
            <w:vAlign w:val="bottom"/>
          </w:tcPr>
          <w:p>
            <w:pPr>
              <w:spacing w:after="0"/>
              <w:rPr>
                <w:sz w:val="17"/>
                <w:szCs w:val="17"/>
                <w:color w:val="auto"/>
              </w:rPr>
            </w:pPr>
          </w:p>
        </w:tc>
        <w:tc>
          <w:tcPr>
            <w:tcW w:w="2720" w:type="dxa"/>
            <w:vAlign w:val="bottom"/>
            <w:gridSpan w:val="6"/>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
        </w:trPr>
        <w:tc>
          <w:tcPr>
            <w:tcW w:w="20" w:type="dxa"/>
            <w:vAlign w:val="bottom"/>
          </w:tcPr>
          <w:p>
            <w:pPr>
              <w:spacing w:after="0" w:line="20" w:lineRule="exact"/>
              <w:rPr>
                <w:sz w:val="1"/>
                <w:szCs w:val="1"/>
                <w:color w:val="auto"/>
              </w:rPr>
            </w:pPr>
          </w:p>
        </w:tc>
        <w:tc>
          <w:tcPr>
            <w:tcW w:w="2620" w:type="dxa"/>
            <w:vAlign w:val="bottom"/>
            <w:tcBorders>
              <w:top w:val="single" w:sz="8" w:color="auto"/>
            </w:tcBorders>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gridSpan w:val="2"/>
          </w:tcPr>
          <w:p>
            <w:pPr>
              <w:jc w:val="right"/>
              <w:ind w:right="580"/>
              <w:spacing w:after="0" w:line="165" w:lineRule="exact"/>
              <w:rPr>
                <w:sz w:val="20"/>
                <w:szCs w:val="20"/>
                <w:color w:val="auto"/>
              </w:rPr>
            </w:pPr>
            <w:r>
              <w:rPr>
                <w:rFonts w:ascii="Times New Roman" w:cs="Times New Roman" w:eastAsia="Times New Roman" w:hAnsi="Times New Roman"/>
                <w:sz w:val="16"/>
                <w:szCs w:val="16"/>
                <w:b w:val="1"/>
                <w:bCs w:val="1"/>
                <w:color w:val="auto"/>
                <w:w w:val="93"/>
              </w:rPr>
              <w:t>2022</w:t>
            </w:r>
          </w:p>
        </w:tc>
        <w:tc>
          <w:tcPr>
            <w:tcW w:w="420" w:type="dxa"/>
            <w:vAlign w:val="bottom"/>
          </w:tcPr>
          <w:p>
            <w:pPr>
              <w:spacing w:after="0"/>
              <w:rPr>
                <w:sz w:val="14"/>
                <w:szCs w:val="14"/>
                <w:color w:val="auto"/>
              </w:rPr>
            </w:pPr>
          </w:p>
        </w:tc>
        <w:tc>
          <w:tcPr>
            <w:tcW w:w="56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6"/>
                <w:szCs w:val="16"/>
                <w:b w:val="1"/>
                <w:bCs w:val="1"/>
                <w:color w:val="auto"/>
              </w:rPr>
              <w:t>2021</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6"/>
                <w:szCs w:val="16"/>
                <w:b w:val="1"/>
                <w:bCs w:val="1"/>
                <w:color w:val="auto"/>
              </w:rPr>
              <w:t>2022</w:t>
            </w: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gridSpan w:val="2"/>
          </w:tcPr>
          <w:p>
            <w:pPr>
              <w:jc w:val="right"/>
              <w:ind w:right="460"/>
              <w:spacing w:after="0" w:line="165" w:lineRule="exact"/>
              <w:rPr>
                <w:sz w:val="20"/>
                <w:szCs w:val="20"/>
                <w:color w:val="auto"/>
              </w:rPr>
            </w:pPr>
            <w:r>
              <w:rPr>
                <w:rFonts w:ascii="Times New Roman" w:cs="Times New Roman" w:eastAsia="Times New Roman" w:hAnsi="Times New Roman"/>
                <w:sz w:val="16"/>
                <w:szCs w:val="16"/>
                <w:b w:val="1"/>
                <w:bCs w:val="1"/>
                <w:color w:val="auto"/>
                <w:w w:val="93"/>
              </w:rPr>
              <w:t>2021</w:t>
            </w:r>
          </w:p>
        </w:tc>
      </w:tr>
      <w:tr>
        <w:trPr>
          <w:trHeight w:val="30"/>
        </w:trPr>
        <w:tc>
          <w:tcPr>
            <w:tcW w:w="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6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r>
      <w:tr>
        <w:trPr>
          <w:trHeight w:val="235"/>
        </w:trPr>
        <w:tc>
          <w:tcPr>
            <w:tcW w:w="20" w:type="dxa"/>
            <w:vAlign w:val="bottom"/>
            <w:shd w:val="clear" w:color="auto" w:fill="CCEEFF"/>
          </w:tcPr>
          <w:p>
            <w:pPr>
              <w:spacing w:after="0"/>
              <w:rPr>
                <w:sz w:val="20"/>
                <w:szCs w:val="20"/>
                <w:color w:val="auto"/>
              </w:rPr>
            </w:pPr>
          </w:p>
        </w:tc>
        <w:tc>
          <w:tcPr>
            <w:tcW w:w="5080" w:type="dxa"/>
            <w:vAlign w:val="bottom"/>
            <w:gridSpan w:val="2"/>
            <w:shd w:val="clear" w:color="auto" w:fill="CCEEFF"/>
          </w:tcPr>
          <w:p>
            <w:pPr>
              <w:spacing w:after="0" w:line="236" w:lineRule="exact"/>
              <w:rPr>
                <w:sz w:val="20"/>
                <w:szCs w:val="20"/>
                <w:color w:val="auto"/>
              </w:rPr>
            </w:pPr>
            <w:r>
              <w:rPr>
                <w:rFonts w:ascii="Times New Roman" w:cs="Times New Roman" w:eastAsia="Times New Roman" w:hAnsi="Times New Roman"/>
                <w:sz w:val="18"/>
                <w:szCs w:val="18"/>
                <w:color w:val="auto"/>
              </w:rPr>
              <w:t xml:space="preserve">Off-premise sales (in millions) </w:t>
            </w:r>
            <w:r>
              <w:rPr>
                <w:rFonts w:ascii="Times New Roman" w:cs="Times New Roman" w:eastAsia="Times New Roman" w:hAnsi="Times New Roman"/>
                <w:sz w:val="22"/>
                <w:szCs w:val="22"/>
                <w:color w:val="auto"/>
                <w:vertAlign w:val="superscript"/>
              </w:rPr>
              <w:t>(1)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259.0</w:t>
            </w:r>
          </w:p>
        </w:tc>
        <w:tc>
          <w:tcPr>
            <w:tcW w:w="42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282.9</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3"/>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837.7</w:t>
            </w:r>
          </w:p>
        </w:tc>
        <w:tc>
          <w:tcPr>
            <w:tcW w:w="68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945.5</w:t>
            </w:r>
          </w:p>
        </w:tc>
      </w:tr>
      <w:tr>
        <w:trPr>
          <w:trHeight w:val="225"/>
        </w:trPr>
        <w:tc>
          <w:tcPr>
            <w:tcW w:w="20" w:type="dxa"/>
            <w:vAlign w:val="bottom"/>
            <w:tcBorders>
              <w:bottom w:val="single" w:sz="8" w:color="auto"/>
            </w:tcBorders>
          </w:tcPr>
          <w:p>
            <w:pPr>
              <w:spacing w:after="0"/>
              <w:rPr>
                <w:sz w:val="19"/>
                <w:szCs w:val="19"/>
                <w:color w:val="auto"/>
              </w:rPr>
            </w:pPr>
          </w:p>
        </w:tc>
        <w:tc>
          <w:tcPr>
            <w:tcW w:w="50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sales mix</w:t>
            </w: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24.2 %</w:t>
            </w:r>
          </w:p>
        </w:tc>
        <w:tc>
          <w:tcPr>
            <w:tcW w:w="4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27.5 %</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25.8 %</w:t>
            </w:r>
          </w:p>
        </w:tc>
        <w:tc>
          <w:tcPr>
            <w:tcW w:w="6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31.3 %</w:t>
            </w:r>
          </w:p>
        </w:tc>
      </w:tr>
    </w:tbl>
    <w:p>
      <w:pPr>
        <w:spacing w:after="0" w:line="32" w:lineRule="exact"/>
        <w:rPr>
          <w:sz w:val="20"/>
          <w:szCs w:val="20"/>
          <w:color w:val="auto"/>
        </w:rPr>
      </w:pPr>
    </w:p>
    <w:p>
      <w:pPr>
        <w:ind w:left="240" w:hanging="234"/>
        <w:spacing w:after="0"/>
        <w:tabs>
          <w:tab w:leader="none" w:pos="240"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Primarily to-go, delivery and catering sales for comparable 2022 and 2021 restaurants.</w:t>
      </w: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00" w:lineRule="exact"/>
        <w:rPr>
          <w:rFonts w:ascii="Times New Roman" w:cs="Times New Roman" w:eastAsia="Times New Roman" w:hAnsi="Times New Roman"/>
          <w:sz w:val="21"/>
          <w:szCs w:val="21"/>
          <w:color w:val="auto"/>
          <w:vertAlign w:val="superscript"/>
        </w:rPr>
      </w:pPr>
    </w:p>
    <w:p>
      <w:pPr>
        <w:spacing w:after="0" w:line="246" w:lineRule="exact"/>
        <w:rPr>
          <w:rFonts w:ascii="Times New Roman" w:cs="Times New Roman" w:eastAsia="Times New Roman" w:hAnsi="Times New Roman"/>
          <w:sz w:val="21"/>
          <w:szCs w:val="21"/>
          <w:color w:val="auto"/>
          <w:vertAlign w:val="superscript"/>
        </w:rPr>
      </w:pPr>
    </w:p>
    <w:p>
      <w:pPr>
        <w:ind w:left="5540"/>
        <w:spacing w:after="0"/>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416560</wp:posOffset>
            </wp:positionV>
            <wp:extent cx="5258435" cy="27343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258435" cy="273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firstLine="318"/>
        <w:spacing w:after="0" w:line="244" w:lineRule="auto"/>
        <w:rPr>
          <w:sz w:val="20"/>
          <w:szCs w:val="20"/>
          <w:color w:val="auto"/>
        </w:rPr>
      </w:pPr>
      <w:r>
        <w:rPr>
          <w:rFonts w:ascii="Times New Roman" w:cs="Times New Roman" w:eastAsia="Times New Roman" w:hAnsi="Times New Roman"/>
          <w:sz w:val="18"/>
          <w:szCs w:val="18"/>
          <w:color w:val="auto"/>
        </w:rPr>
        <w:t>IHOP's system-wide domestic same-restaurant sales increased 1.9% for the three months ended September 30, 2022 and 7.2% for the nine months ended September 30, 2022 as compared to the same respective periods of 2021. The improvement was due to an increase in average check, partially offset by a decrease in customer traffic. The increase in average check was primarily due to an increase in menu prices as well as a general increase in consumer spending due to larger party sizes and greater spending per person.</w:t>
      </w:r>
    </w:p>
    <w:p>
      <w:pPr>
        <w:spacing w:after="0" w:line="205" w:lineRule="exact"/>
        <w:rPr>
          <w:sz w:val="20"/>
          <w:szCs w:val="20"/>
          <w:color w:val="auto"/>
        </w:rPr>
      </w:pPr>
    </w:p>
    <w:p>
      <w:pPr>
        <w:ind w:right="280" w:firstLine="318"/>
        <w:spacing w:after="0" w:line="258" w:lineRule="auto"/>
        <w:rPr>
          <w:sz w:val="20"/>
          <w:szCs w:val="20"/>
          <w:color w:val="auto"/>
        </w:rPr>
      </w:pPr>
      <w:r>
        <w:rPr>
          <w:rFonts w:ascii="Times New Roman" w:cs="Times New Roman" w:eastAsia="Times New Roman" w:hAnsi="Times New Roman"/>
          <w:sz w:val="18"/>
          <w:szCs w:val="18"/>
          <w:color w:val="auto"/>
        </w:rPr>
        <w:t>Based on data from Black Box, IHOP's increase in same-restaurant sales for the three and nine months ended September 30, 2022 underperformed the family dining segment of the restaurant industry (excluding IHOP) as compared with the same respective periods of 2022.</w:t>
      </w: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49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IHOP Off-premise Sales Data</w:t>
            </w:r>
          </w:p>
        </w:tc>
        <w:tc>
          <w:tcPr>
            <w:tcW w:w="160" w:type="dxa"/>
            <w:vAlign w:val="bottom"/>
          </w:tcPr>
          <w:p>
            <w:pPr>
              <w:spacing w:after="0"/>
              <w:rPr>
                <w:sz w:val="17"/>
                <w:szCs w:val="17"/>
                <w:color w:val="auto"/>
              </w:rPr>
            </w:pPr>
          </w:p>
        </w:tc>
        <w:tc>
          <w:tcPr>
            <w:tcW w:w="2800" w:type="dxa"/>
            <w:vAlign w:val="bottom"/>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00" w:type="dxa"/>
            <w:vAlign w:val="bottom"/>
          </w:tcPr>
          <w:p>
            <w:pPr>
              <w:spacing w:after="0"/>
              <w:rPr>
                <w:sz w:val="17"/>
                <w:szCs w:val="17"/>
                <w:color w:val="auto"/>
              </w:rPr>
            </w:pPr>
          </w:p>
        </w:tc>
        <w:tc>
          <w:tcPr>
            <w:tcW w:w="2700" w:type="dxa"/>
            <w:vAlign w:val="bottom"/>
            <w:gridSpan w:val="7"/>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
        </w:trPr>
        <w:tc>
          <w:tcPr>
            <w:tcW w:w="20" w:type="dxa"/>
            <w:vAlign w:val="bottom"/>
          </w:tcPr>
          <w:p>
            <w:pPr>
              <w:spacing w:after="0" w:line="20" w:lineRule="exact"/>
              <w:rPr>
                <w:sz w:val="1"/>
                <w:szCs w:val="1"/>
                <w:color w:val="auto"/>
              </w:rPr>
            </w:pPr>
          </w:p>
        </w:tc>
        <w:tc>
          <w:tcPr>
            <w:tcW w:w="2240" w:type="dxa"/>
            <w:vAlign w:val="bottom"/>
            <w:tcBorders>
              <w:top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6"/>
                <w:szCs w:val="16"/>
                <w:b w:val="1"/>
                <w:bCs w:val="1"/>
                <w:color w:val="auto"/>
              </w:rPr>
              <w:t>2022</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gridSpan w:val="2"/>
          </w:tcPr>
          <w:p>
            <w:pPr>
              <w:jc w:val="right"/>
              <w:ind w:right="440"/>
              <w:spacing w:after="0" w:line="165" w:lineRule="exact"/>
              <w:rPr>
                <w:sz w:val="20"/>
                <w:szCs w:val="20"/>
                <w:color w:val="auto"/>
              </w:rPr>
            </w:pPr>
            <w:r>
              <w:rPr>
                <w:rFonts w:ascii="Times New Roman" w:cs="Times New Roman" w:eastAsia="Times New Roman" w:hAnsi="Times New Roman"/>
                <w:sz w:val="16"/>
                <w:szCs w:val="16"/>
                <w:b w:val="1"/>
                <w:bCs w:val="1"/>
                <w:color w:val="auto"/>
                <w:w w:val="93"/>
              </w:rPr>
              <w:t>2021</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60" w:type="dxa"/>
            <w:vAlign w:val="bottom"/>
            <w:gridSpan w:val="3"/>
          </w:tcPr>
          <w:p>
            <w:pPr>
              <w:jc w:val="right"/>
              <w:ind w:right="600"/>
              <w:spacing w:after="0" w:line="165" w:lineRule="exact"/>
              <w:rPr>
                <w:sz w:val="20"/>
                <w:szCs w:val="20"/>
                <w:color w:val="auto"/>
              </w:rPr>
            </w:pPr>
            <w:r>
              <w:rPr>
                <w:rFonts w:ascii="Times New Roman" w:cs="Times New Roman" w:eastAsia="Times New Roman" w:hAnsi="Times New Roman"/>
                <w:sz w:val="16"/>
                <w:szCs w:val="16"/>
                <w:b w:val="1"/>
                <w:bCs w:val="1"/>
                <w:color w:val="auto"/>
              </w:rPr>
              <w:t>2022</w:t>
            </w:r>
          </w:p>
        </w:tc>
        <w:tc>
          <w:tcPr>
            <w:tcW w:w="400" w:type="dxa"/>
            <w:vAlign w:val="bottom"/>
          </w:tcPr>
          <w:p>
            <w:pPr>
              <w:spacing w:after="0"/>
              <w:rPr>
                <w:sz w:val="14"/>
                <w:szCs w:val="14"/>
                <w:color w:val="auto"/>
              </w:rPr>
            </w:pPr>
          </w:p>
        </w:tc>
        <w:tc>
          <w:tcPr>
            <w:tcW w:w="580" w:type="dxa"/>
            <w:vAlign w:val="bottom"/>
            <w:gridSpan w:val="2"/>
          </w:tcPr>
          <w:p>
            <w:pPr>
              <w:jc w:val="right"/>
              <w:spacing w:after="0" w:line="165" w:lineRule="exact"/>
              <w:rPr>
                <w:sz w:val="20"/>
                <w:szCs w:val="20"/>
                <w:color w:val="auto"/>
              </w:rPr>
            </w:pPr>
            <w:r>
              <w:rPr>
                <w:rFonts w:ascii="Times New Roman" w:cs="Times New Roman" w:eastAsia="Times New Roman" w:hAnsi="Times New Roman"/>
                <w:sz w:val="16"/>
                <w:szCs w:val="16"/>
                <w:b w:val="1"/>
                <w:bCs w:val="1"/>
                <w:color w:val="auto"/>
              </w:rPr>
              <w:t>2021</w:t>
            </w:r>
          </w:p>
        </w:tc>
        <w:tc>
          <w:tcPr>
            <w:tcW w:w="460" w:type="dxa"/>
            <w:vAlign w:val="bottom"/>
          </w:tcPr>
          <w:p>
            <w:pPr>
              <w:spacing w:after="0"/>
              <w:rPr>
                <w:sz w:val="14"/>
                <w:szCs w:val="14"/>
                <w:color w:val="auto"/>
              </w:rPr>
            </w:pPr>
          </w:p>
        </w:tc>
      </w:tr>
      <w:tr>
        <w:trPr>
          <w:trHeight w:val="30"/>
        </w:trPr>
        <w:tc>
          <w:tcPr>
            <w:tcW w:w="20" w:type="dxa"/>
            <w:vAlign w:val="bottom"/>
          </w:tcPr>
          <w:p>
            <w:pPr>
              <w:spacing w:after="0"/>
              <w:rPr>
                <w:sz w:val="2"/>
                <w:szCs w:val="2"/>
                <w:color w:val="auto"/>
              </w:rPr>
            </w:pPr>
          </w:p>
        </w:tc>
        <w:tc>
          <w:tcPr>
            <w:tcW w:w="2240" w:type="dxa"/>
            <w:vAlign w:val="bottom"/>
          </w:tcPr>
          <w:p>
            <w:pPr>
              <w:spacing w:after="0"/>
              <w:rPr>
                <w:sz w:val="2"/>
                <w:szCs w:val="2"/>
                <w:color w:val="auto"/>
              </w:rPr>
            </w:pPr>
          </w:p>
        </w:tc>
        <w:tc>
          <w:tcPr>
            <w:tcW w:w="2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6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r>
      <w:tr>
        <w:trPr>
          <w:trHeight w:val="235"/>
        </w:trPr>
        <w:tc>
          <w:tcPr>
            <w:tcW w:w="20" w:type="dxa"/>
            <w:vAlign w:val="bottom"/>
            <w:shd w:val="clear" w:color="auto" w:fill="CCEEFF"/>
          </w:tcPr>
          <w:p>
            <w:pPr>
              <w:spacing w:after="0"/>
              <w:rPr>
                <w:sz w:val="20"/>
                <w:szCs w:val="20"/>
                <w:color w:val="auto"/>
              </w:rPr>
            </w:pPr>
          </w:p>
        </w:tc>
        <w:tc>
          <w:tcPr>
            <w:tcW w:w="4940" w:type="dxa"/>
            <w:vAlign w:val="bottom"/>
            <w:gridSpan w:val="2"/>
            <w:shd w:val="clear" w:color="auto" w:fill="CCEEFF"/>
          </w:tcPr>
          <w:p>
            <w:pPr>
              <w:spacing w:after="0" w:line="236" w:lineRule="exact"/>
              <w:rPr>
                <w:sz w:val="20"/>
                <w:szCs w:val="20"/>
                <w:color w:val="auto"/>
              </w:rPr>
            </w:pPr>
            <w:r>
              <w:rPr>
                <w:rFonts w:ascii="Times New Roman" w:cs="Times New Roman" w:eastAsia="Times New Roman" w:hAnsi="Times New Roman"/>
                <w:sz w:val="18"/>
                <w:szCs w:val="18"/>
                <w:color w:val="auto"/>
              </w:rPr>
              <w:t xml:space="preserve">Off-premise sales (in millions) </w:t>
            </w:r>
            <w:r>
              <w:rPr>
                <w:rFonts w:ascii="Times New Roman" w:cs="Times New Roman" w:eastAsia="Times New Roman" w:hAnsi="Times New Roman"/>
                <w:sz w:val="22"/>
                <w:szCs w:val="22"/>
                <w:color w:val="auto"/>
                <w:vertAlign w:val="superscript"/>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143.6</w:t>
            </w:r>
          </w:p>
        </w:tc>
        <w:tc>
          <w:tcPr>
            <w:tcW w:w="66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157.3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464.4</w:t>
            </w:r>
          </w:p>
        </w:tc>
        <w:tc>
          <w:tcPr>
            <w:tcW w:w="40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507.6</w:t>
            </w:r>
          </w:p>
        </w:tc>
      </w:tr>
      <w:tr>
        <w:trPr>
          <w:trHeight w:val="225"/>
        </w:trPr>
        <w:tc>
          <w:tcPr>
            <w:tcW w:w="20" w:type="dxa"/>
            <w:vAlign w:val="bottom"/>
            <w:tcBorders>
              <w:bottom w:val="single" w:sz="8" w:color="auto"/>
            </w:tcBorders>
          </w:tcPr>
          <w:p>
            <w:pPr>
              <w:spacing w:after="0"/>
              <w:rPr>
                <w:sz w:val="19"/>
                <w:szCs w:val="19"/>
                <w:color w:val="auto"/>
              </w:rPr>
            </w:pPr>
          </w:p>
        </w:tc>
        <w:tc>
          <w:tcPr>
            <w:tcW w:w="4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sales mix</w:t>
            </w: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20.4 %</w:t>
            </w:r>
          </w:p>
        </w:tc>
        <w:tc>
          <w:tcPr>
            <w:tcW w:w="6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23.3 %</w:t>
            </w: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22.0 %</w:t>
            </w: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27.2 %</w:t>
            </w:r>
          </w:p>
        </w:tc>
      </w:tr>
    </w:tbl>
    <w:p>
      <w:pPr>
        <w:spacing w:after="0" w:line="19" w:lineRule="exact"/>
        <w:rPr>
          <w:sz w:val="20"/>
          <w:szCs w:val="20"/>
          <w:color w:val="auto"/>
        </w:rPr>
      </w:pPr>
    </w:p>
    <w:p>
      <w:pPr>
        <w:ind w:left="240" w:hanging="234"/>
        <w:spacing w:after="0"/>
        <w:tabs>
          <w:tab w:leader="none" w:pos="240" w:val="left"/>
        </w:tabs>
        <w:numPr>
          <w:ilvl w:val="0"/>
          <w:numId w:val="14"/>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Primarily to-go, delivery and catering sales for comparable 2022 and 2021 restaurants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Restaurant Data</w:t>
      </w:r>
    </w:p>
    <w:p>
      <w:pPr>
        <w:spacing w:after="0" w:line="206" w:lineRule="exact"/>
        <w:rPr>
          <w:sz w:val="20"/>
          <w:szCs w:val="20"/>
          <w:color w:val="auto"/>
        </w:rPr>
      </w:pPr>
    </w:p>
    <w:p>
      <w:pPr>
        <w:ind w:right="20" w:firstLine="318"/>
        <w:spacing w:after="0" w:line="269" w:lineRule="auto"/>
        <w:rPr>
          <w:sz w:val="20"/>
          <w:szCs w:val="20"/>
          <w:color w:val="auto"/>
        </w:rPr>
      </w:pPr>
      <w:r>
        <w:rPr>
          <w:rFonts w:ascii="Times New Roman" w:cs="Times New Roman" w:eastAsia="Times New Roman" w:hAnsi="Times New Roman"/>
          <w:sz w:val="17"/>
          <w:szCs w:val="17"/>
          <w:color w:val="auto"/>
        </w:rPr>
        <w:t>The following table sets forth the number of “Effective Restaurants” in the Applebee’s and IHOP systems and information regarding the percentage change in sales at those restaurants compared to the same period of the prior year. Sales at restaurants that are owned by franchisees and area licensees are not attributable to the Company and, as such, the percentage change in sales at Effective Restaurants is based on non-GAAP sales data. However, we believe that presentation of this information is useful in analyzing our revenues because franchisees and area licensees pay us royalties and advertising fees that are based on a percentage of their sales, and, where applicable, rental payments under leases that partially may be based on a percentage of their sales. Management also uses this information to make decisions about plans for future development of additional restaurants as well as evaluation of current operations.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tbl>
      <w:tblPr>
        <w:tblLayout w:type="fixed"/>
        <w:tblInd w:w="8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4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60" w:type="dxa"/>
            <w:vAlign w:val="bottom"/>
          </w:tcPr>
          <w:p>
            <w:pPr>
              <w:spacing w:after="0"/>
              <w:rPr>
                <w:sz w:val="18"/>
                <w:szCs w:val="18"/>
                <w:color w:val="auto"/>
              </w:rPr>
            </w:pPr>
          </w:p>
        </w:tc>
        <w:tc>
          <w:tcPr>
            <w:tcW w:w="2700" w:type="dxa"/>
            <w:vAlign w:val="bottom"/>
            <w:gridSpan w:val="4"/>
          </w:tcPr>
          <w:p>
            <w:pPr>
              <w:jc w:val="right"/>
              <w:ind w:right="15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Applebee's Restaurant Data</w:t>
            </w:r>
          </w:p>
        </w:tc>
        <w:tc>
          <w:tcPr>
            <w:tcW w:w="16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rPr>
              <w:t>2021</w:t>
            </w:r>
          </w:p>
        </w:tc>
        <w:tc>
          <w:tcPr>
            <w:tcW w:w="1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Borders>
              <w:top w:val="single" w:sz="8" w:color="auto"/>
              <w:bottom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1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60" w:type="dxa"/>
            <w:vAlign w:val="bottom"/>
            <w:gridSpan w:val="5"/>
          </w:tcPr>
          <w:p>
            <w:pPr>
              <w:ind w:left="7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120" w:type="dxa"/>
            <w:vAlign w:val="bottom"/>
            <w:tcBorders>
              <w:top w:val="single" w:sz="8" w:color="auto"/>
            </w:tcBorders>
            <w:gridSpan w:val="2"/>
          </w:tcPr>
          <w:p>
            <w:pPr>
              <w:spacing w:after="0" w:line="245" w:lineRule="exact"/>
              <w:rPr>
                <w:sz w:val="20"/>
                <w:szCs w:val="20"/>
                <w:color w:val="auto"/>
              </w:rPr>
            </w:pPr>
            <w:r>
              <w:rPr>
                <w:rFonts w:ascii="Times New Roman" w:cs="Times New Roman" w:eastAsia="Times New Roman" w:hAnsi="Times New Roman"/>
                <w:sz w:val="18"/>
                <w:szCs w:val="18"/>
                <w:b w:val="1"/>
                <w:bCs w:val="1"/>
                <w:color w:val="auto"/>
              </w:rPr>
              <w:t>Effective Restaurants</w:t>
            </w:r>
            <w:r>
              <w:rPr>
                <w:rFonts w:ascii="Times New Roman" w:cs="Times New Roman" w:eastAsia="Times New Roman" w:hAnsi="Times New Roman"/>
                <w:sz w:val="22"/>
                <w:szCs w:val="22"/>
                <w:b w:val="1"/>
                <w:bCs w:val="1"/>
                <w:color w:val="auto"/>
                <w:vertAlign w:val="superscript"/>
              </w:rPr>
              <w:t>(a)</w:t>
            </w:r>
          </w:p>
        </w:tc>
        <w:tc>
          <w:tcPr>
            <w:tcW w:w="3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1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Franchise</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1,601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1,619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1,623</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518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8"/>
                <w:szCs w:val="18"/>
                <w:color w:val="auto"/>
              </w:rPr>
              <w:t>Company</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17"/>
        </w:trPr>
        <w:tc>
          <w:tcPr>
            <w:tcW w:w="20" w:type="dxa"/>
            <w:vAlign w:val="bottom"/>
            <w:tcBorders>
              <w:bottom w:val="single" w:sz="8" w:color="CCEEFF"/>
            </w:tcBorders>
            <w:shd w:val="clear" w:color="auto" w:fill="CCEEFF"/>
          </w:tcPr>
          <w:p>
            <w:pPr>
              <w:spacing w:after="0"/>
              <w:rPr>
                <w:sz w:val="18"/>
                <w:szCs w:val="18"/>
                <w:color w:val="auto"/>
              </w:rPr>
            </w:pPr>
          </w:p>
        </w:tc>
        <w:tc>
          <w:tcPr>
            <w:tcW w:w="5180" w:type="dxa"/>
            <w:vAlign w:val="bottom"/>
            <w:tcBorders>
              <w:bottom w:val="single" w:sz="8" w:color="CCEEFF"/>
            </w:tcBorders>
            <w:gridSpan w:val="3"/>
            <w:shd w:val="clear" w:color="auto" w:fill="CCEEFF"/>
          </w:tcPr>
          <w:p>
            <w:pPr>
              <w:ind w:left="440"/>
              <w:spacing w:after="0" w:line="192" w:lineRule="exact"/>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32"/>
              <w:spacing w:after="0" w:line="192" w:lineRule="exact"/>
              <w:rPr>
                <w:sz w:val="20"/>
                <w:szCs w:val="20"/>
                <w:color w:val="auto"/>
              </w:rPr>
            </w:pPr>
            <w:r>
              <w:rPr>
                <w:rFonts w:ascii="Times New Roman" w:cs="Times New Roman" w:eastAsia="Times New Roman" w:hAnsi="Times New Roman"/>
                <w:sz w:val="18"/>
                <w:szCs w:val="18"/>
                <w:b w:val="1"/>
                <w:bCs w:val="1"/>
                <w:color w:val="auto"/>
              </w:rPr>
              <w:t>1,670</w:t>
            </w:r>
          </w:p>
        </w:tc>
        <w:tc>
          <w:tcPr>
            <w:tcW w:w="1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13"/>
              <w:spacing w:after="0" w:line="192" w:lineRule="exact"/>
              <w:rPr>
                <w:sz w:val="20"/>
                <w:szCs w:val="20"/>
                <w:color w:val="auto"/>
              </w:rPr>
            </w:pPr>
            <w:r>
              <w:rPr>
                <w:rFonts w:ascii="Times New Roman" w:cs="Times New Roman" w:eastAsia="Times New Roman" w:hAnsi="Times New Roman"/>
                <w:sz w:val="18"/>
                <w:szCs w:val="18"/>
                <w:b w:val="1"/>
                <w:bCs w:val="1"/>
                <w:color w:val="auto"/>
              </w:rPr>
              <w:t>1,688</w:t>
            </w: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32"/>
              <w:spacing w:after="0" w:line="192" w:lineRule="exact"/>
              <w:rPr>
                <w:sz w:val="20"/>
                <w:szCs w:val="20"/>
                <w:color w:val="auto"/>
              </w:rPr>
            </w:pPr>
            <w:r>
              <w:rPr>
                <w:rFonts w:ascii="Times New Roman" w:cs="Times New Roman" w:eastAsia="Times New Roman" w:hAnsi="Times New Roman"/>
                <w:sz w:val="18"/>
                <w:szCs w:val="18"/>
                <w:b w:val="1"/>
                <w:bCs w:val="1"/>
                <w:color w:val="auto"/>
              </w:rPr>
              <w:t>1,673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32"/>
              <w:spacing w:after="0" w:line="192" w:lineRule="exact"/>
              <w:rPr>
                <w:sz w:val="20"/>
                <w:szCs w:val="20"/>
                <w:color w:val="auto"/>
              </w:rPr>
            </w:pPr>
            <w:r>
              <w:rPr>
                <w:rFonts w:ascii="Times New Roman" w:cs="Times New Roman" w:eastAsia="Times New Roman" w:hAnsi="Times New Roman"/>
                <w:sz w:val="18"/>
                <w:szCs w:val="18"/>
                <w:b w:val="1"/>
                <w:bCs w:val="1"/>
                <w:color w:val="auto"/>
              </w:rPr>
              <w:t>1,692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bottom w:val="single" w:sz="8" w:color="CCEEFF"/>
            </w:tcBorders>
            <w:gridSpan w:val="3"/>
            <w:vMerge w:val="restart"/>
          </w:tcPr>
          <w:p>
            <w:pPr>
              <w:spacing w:after="0" w:line="239" w:lineRule="exact"/>
              <w:rPr>
                <w:sz w:val="20"/>
                <w:szCs w:val="20"/>
                <w:color w:val="auto"/>
              </w:rPr>
            </w:pPr>
            <w:r>
              <w:rPr>
                <w:rFonts w:ascii="Times New Roman" w:cs="Times New Roman" w:eastAsia="Times New Roman" w:hAnsi="Times New Roman"/>
                <w:sz w:val="18"/>
                <w:szCs w:val="18"/>
                <w:b w:val="1"/>
                <w:bCs w:val="1"/>
                <w:color w:val="auto"/>
              </w:rPr>
              <w:t>System-wide</w:t>
            </w:r>
            <w:r>
              <w:rPr>
                <w:rFonts w:ascii="Times New Roman" w:cs="Times New Roman" w:eastAsia="Times New Roman" w:hAnsi="Times New Roman"/>
                <w:sz w:val="22"/>
                <w:szCs w:val="22"/>
                <w:b w:val="1"/>
                <w:bCs w:val="1"/>
                <w:color w:val="auto"/>
                <w:vertAlign w:val="superscript"/>
              </w:rPr>
              <w:t>(b)</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5180" w:type="dxa"/>
            <w:vAlign w:val="bottom"/>
            <w:gridSpan w:val="3"/>
            <w:vMerge w:val="continue"/>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180" w:type="dxa"/>
            <w:vAlign w:val="bottom"/>
            <w:gridSpan w:val="3"/>
            <w:shd w:val="clear" w:color="auto" w:fill="CCEEFF"/>
          </w:tcPr>
          <w:p>
            <w:pPr>
              <w:ind w:left="200"/>
              <w:spacing w:after="0" w:line="225" w:lineRule="exact"/>
              <w:rPr>
                <w:sz w:val="20"/>
                <w:szCs w:val="20"/>
                <w:color w:val="auto"/>
              </w:rPr>
            </w:pPr>
            <w:r>
              <w:rPr>
                <w:rFonts w:ascii="Times New Roman" w:cs="Times New Roman" w:eastAsia="Times New Roman" w:hAnsi="Times New Roman"/>
                <w:sz w:val="18"/>
                <w:szCs w:val="18"/>
                <w:color w:val="auto"/>
              </w:rPr>
              <w:t>Domestic sales percentage change</w:t>
            </w:r>
            <w:r>
              <w:rPr>
                <w:rFonts w:ascii="Times New Roman" w:cs="Times New Roman" w:eastAsia="Times New Roman" w:hAnsi="Times New Roman"/>
                <w:sz w:val="22"/>
                <w:szCs w:val="22"/>
                <w:color w:val="auto"/>
                <w:vertAlign w:val="superscript"/>
              </w:rPr>
              <w:t>(c)</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38.6 %</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180" w:type="dxa"/>
            <w:vAlign w:val="bottom"/>
            <w:gridSpan w:val="3"/>
          </w:tcPr>
          <w:p>
            <w:pPr>
              <w:ind w:left="200"/>
              <w:spacing w:after="0" w:line="214" w:lineRule="exact"/>
              <w:rPr>
                <w:sz w:val="20"/>
                <w:szCs w:val="20"/>
                <w:color w:val="auto"/>
              </w:rPr>
            </w:pPr>
            <w:r>
              <w:rPr>
                <w:rFonts w:ascii="Times New Roman" w:cs="Times New Roman" w:eastAsia="Times New Roman" w:hAnsi="Times New Roman"/>
                <w:sz w:val="18"/>
                <w:szCs w:val="18"/>
                <w:color w:val="auto"/>
              </w:rPr>
              <w:t>Domestic same-restaurant sales percentage change</w:t>
            </w:r>
            <w:r>
              <w:rPr>
                <w:rFonts w:ascii="Times New Roman" w:cs="Times New Roman" w:eastAsia="Times New Roman" w:hAnsi="Times New Roman"/>
                <w:sz w:val="22"/>
                <w:szCs w:val="22"/>
                <w:color w:val="auto"/>
                <w:vertAlign w:val="superscript"/>
              </w:rPr>
              <w:t>(d)</w:t>
            </w:r>
          </w:p>
        </w:tc>
        <w:tc>
          <w:tcPr>
            <w:tcW w:w="1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27.7 %</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39.5 %</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180" w:type="dxa"/>
            <w:vAlign w:val="bottom"/>
            <w:gridSpan w:val="3"/>
          </w:tcPr>
          <w:p>
            <w:pPr>
              <w:spacing w:after="0" w:line="236" w:lineRule="exact"/>
              <w:rPr>
                <w:sz w:val="20"/>
                <w:szCs w:val="20"/>
                <w:color w:val="auto"/>
              </w:rPr>
            </w:pPr>
            <w:r>
              <w:rPr>
                <w:rFonts w:ascii="Times New Roman" w:cs="Times New Roman" w:eastAsia="Times New Roman" w:hAnsi="Times New Roman"/>
                <w:sz w:val="18"/>
                <w:szCs w:val="18"/>
                <w:b w:val="1"/>
                <w:bCs w:val="1"/>
                <w:color w:val="auto"/>
              </w:rPr>
              <w:t>Franchise</w:t>
            </w:r>
            <w:r>
              <w:rPr>
                <w:rFonts w:ascii="Times New Roman" w:cs="Times New Roman" w:eastAsia="Times New Roman" w:hAnsi="Times New Roman"/>
                <w:sz w:val="22"/>
                <w:szCs w:val="22"/>
                <w:b w:val="1"/>
                <w:bCs w:val="1"/>
                <w:color w:val="auto"/>
                <w:vertAlign w:val="superscript"/>
              </w:rPr>
              <w:t>(b)</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180" w:type="dxa"/>
            <w:vAlign w:val="bottom"/>
            <w:gridSpan w:val="3"/>
            <w:shd w:val="clear" w:color="auto" w:fill="CCEEFF"/>
          </w:tcPr>
          <w:p>
            <w:pPr>
              <w:ind w:left="200"/>
              <w:spacing w:after="0" w:line="225" w:lineRule="exact"/>
              <w:rPr>
                <w:sz w:val="20"/>
                <w:szCs w:val="20"/>
                <w:color w:val="auto"/>
              </w:rPr>
            </w:pPr>
            <w:r>
              <w:rPr>
                <w:rFonts w:ascii="Times New Roman" w:cs="Times New Roman" w:eastAsia="Times New Roman" w:hAnsi="Times New Roman"/>
                <w:sz w:val="18"/>
                <w:szCs w:val="18"/>
                <w:color w:val="auto"/>
              </w:rPr>
              <w:t>Domestic sales percentage change</w:t>
            </w:r>
            <w:r>
              <w:rPr>
                <w:rFonts w:ascii="Times New Roman" w:cs="Times New Roman" w:eastAsia="Times New Roman" w:hAnsi="Times New Roman"/>
                <w:sz w:val="22"/>
                <w:szCs w:val="22"/>
                <w:color w:val="auto"/>
                <w:vertAlign w:val="superscript"/>
              </w:rPr>
              <w:t>(c)</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38.4 %</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180" w:type="dxa"/>
            <w:vAlign w:val="bottom"/>
            <w:gridSpan w:val="3"/>
          </w:tcPr>
          <w:p>
            <w:pPr>
              <w:ind w:left="200"/>
              <w:spacing w:after="0" w:line="225" w:lineRule="exact"/>
              <w:rPr>
                <w:sz w:val="20"/>
                <w:szCs w:val="20"/>
                <w:color w:val="auto"/>
              </w:rPr>
            </w:pPr>
            <w:r>
              <w:rPr>
                <w:rFonts w:ascii="Times New Roman" w:cs="Times New Roman" w:eastAsia="Times New Roman" w:hAnsi="Times New Roman"/>
                <w:sz w:val="18"/>
                <w:szCs w:val="18"/>
                <w:color w:val="auto"/>
              </w:rPr>
              <w:t>Domestic same-restaurant sales percentage change</w:t>
            </w:r>
            <w:r>
              <w:rPr>
                <w:rFonts w:ascii="Times New Roman" w:cs="Times New Roman" w:eastAsia="Times New Roman" w:hAnsi="Times New Roman"/>
                <w:sz w:val="22"/>
                <w:szCs w:val="22"/>
                <w:color w:val="auto"/>
                <w:vertAlign w:val="superscript"/>
              </w:rPr>
              <w:t>(d)</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39.3 %</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1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Average weekly domestic unit sales (in thousands)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51.4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54.2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50.6</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1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IHOP Restaurant Data</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5180" w:type="dxa"/>
            <w:vAlign w:val="bottom"/>
            <w:gridSpan w:val="3"/>
          </w:tcPr>
          <w:p>
            <w:pPr>
              <w:spacing w:after="0" w:line="245" w:lineRule="exact"/>
              <w:rPr>
                <w:sz w:val="20"/>
                <w:szCs w:val="20"/>
                <w:color w:val="auto"/>
              </w:rPr>
            </w:pPr>
            <w:r>
              <w:rPr>
                <w:rFonts w:ascii="Times New Roman" w:cs="Times New Roman" w:eastAsia="Times New Roman" w:hAnsi="Times New Roman"/>
                <w:sz w:val="18"/>
                <w:szCs w:val="18"/>
                <w:b w:val="1"/>
                <w:bCs w:val="1"/>
                <w:color w:val="auto"/>
              </w:rPr>
              <w:t>Effective Restaurants</w:t>
            </w:r>
            <w:r>
              <w:rPr>
                <w:rFonts w:ascii="Times New Roman" w:cs="Times New Roman" w:eastAsia="Times New Roman" w:hAnsi="Times New Roman"/>
                <w:sz w:val="22"/>
                <w:szCs w:val="22"/>
                <w:b w:val="1"/>
                <w:bCs w:val="1"/>
                <w:color w:val="auto"/>
                <w:vertAlign w:val="superscript"/>
              </w:rPr>
              <w:t>(a)</w:t>
            </w: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1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Franchise</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1,573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1,594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1,568</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5180" w:type="dxa"/>
            <w:vAlign w:val="bottom"/>
            <w:tcBorders>
              <w:bottom w:val="single" w:sz="8" w:color="CCEEFF"/>
            </w:tcBorders>
            <w:gridSpan w:val="3"/>
          </w:tcPr>
          <w:p>
            <w:pPr>
              <w:ind w:left="200"/>
              <w:spacing w:after="0"/>
              <w:rPr>
                <w:sz w:val="20"/>
                <w:szCs w:val="20"/>
                <w:color w:val="auto"/>
              </w:rPr>
            </w:pPr>
            <w:r>
              <w:rPr>
                <w:rFonts w:ascii="Times New Roman" w:cs="Times New Roman" w:eastAsia="Times New Roman" w:hAnsi="Times New Roman"/>
                <w:sz w:val="18"/>
                <w:szCs w:val="18"/>
                <w:color w:val="auto"/>
              </w:rPr>
              <w:t>Area license</w:t>
            </w: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5180" w:type="dxa"/>
            <w:vAlign w:val="bottom"/>
            <w:tcBorders>
              <w:bottom w:val="single" w:sz="8" w:color="CCEEFF"/>
            </w:tcBorders>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1,759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b w:val="1"/>
                <w:bCs w:val="1"/>
                <w:color w:val="auto"/>
              </w:rPr>
              <w:t>1,729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1,750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1,724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180" w:type="dxa"/>
            <w:vAlign w:val="bottom"/>
            <w:tcBorders>
              <w:top w:val="single" w:sz="8" w:color="CCEEFF"/>
              <w:bottom w:val="single" w:sz="8" w:color="CCEEFF"/>
            </w:tcBorders>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System-wide</w:t>
            </w:r>
            <w:r>
              <w:rPr>
                <w:rFonts w:ascii="Times New Roman" w:cs="Times New Roman" w:eastAsia="Times New Roman" w:hAnsi="Times New Roman"/>
                <w:sz w:val="22"/>
                <w:szCs w:val="22"/>
                <w:b w:val="1"/>
                <w:bCs w:val="1"/>
                <w:color w:val="auto"/>
                <w:vertAlign w:val="superscript"/>
              </w:rPr>
              <w:t>(b)</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5180" w:type="dxa"/>
            <w:vAlign w:val="bottom"/>
            <w:gridSpan w:val="3"/>
            <w:vMerge w:val="continue"/>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180" w:type="dxa"/>
            <w:vAlign w:val="bottom"/>
            <w:gridSpan w:val="3"/>
            <w:shd w:val="clear" w:color="auto" w:fill="CCEEFF"/>
          </w:tcPr>
          <w:p>
            <w:pPr>
              <w:ind w:left="200"/>
              <w:spacing w:after="0" w:line="225" w:lineRule="exact"/>
              <w:rPr>
                <w:sz w:val="20"/>
                <w:szCs w:val="20"/>
                <w:color w:val="auto"/>
              </w:rPr>
            </w:pPr>
            <w:r>
              <w:rPr>
                <w:rFonts w:ascii="Times New Roman" w:cs="Times New Roman" w:eastAsia="Times New Roman" w:hAnsi="Times New Roman"/>
                <w:sz w:val="18"/>
                <w:szCs w:val="18"/>
                <w:color w:val="auto"/>
              </w:rPr>
              <w:t>Sales percentage change</w:t>
            </w:r>
            <w:r>
              <w:rPr>
                <w:rFonts w:ascii="Times New Roman" w:cs="Times New Roman" w:eastAsia="Times New Roman" w:hAnsi="Times New Roman"/>
                <w:sz w:val="22"/>
                <w:szCs w:val="22"/>
                <w:color w:val="auto"/>
                <w:vertAlign w:val="superscript"/>
              </w:rPr>
              <w:t>(c)</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41.6 %</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180" w:type="dxa"/>
            <w:vAlign w:val="bottom"/>
            <w:gridSpan w:val="3"/>
          </w:tcPr>
          <w:p>
            <w:pPr>
              <w:ind w:left="200"/>
              <w:spacing w:after="0" w:line="172" w:lineRule="exact"/>
              <w:rPr>
                <w:sz w:val="20"/>
                <w:szCs w:val="20"/>
                <w:color w:val="auto"/>
              </w:rPr>
            </w:pPr>
            <w:r>
              <w:rPr>
                <w:rFonts w:ascii="Times New Roman" w:cs="Times New Roman" w:eastAsia="Times New Roman" w:hAnsi="Times New Roman"/>
                <w:sz w:val="18"/>
                <w:szCs w:val="18"/>
                <w:color w:val="auto"/>
              </w:rPr>
              <w:t>Domestic same-restaurant sales percentage change, including area</w:t>
            </w:r>
          </w:p>
        </w:tc>
        <w:tc>
          <w:tcPr>
            <w:tcW w:w="1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80" w:type="dxa"/>
            <w:vAlign w:val="bottom"/>
            <w:gridSpan w:val="3"/>
          </w:tcPr>
          <w:p>
            <w:pPr>
              <w:ind w:left="200"/>
              <w:spacing w:after="0" w:line="228" w:lineRule="exact"/>
              <w:rPr>
                <w:sz w:val="20"/>
                <w:szCs w:val="20"/>
                <w:color w:val="auto"/>
              </w:rPr>
            </w:pPr>
            <w:r>
              <w:rPr>
                <w:rFonts w:ascii="Times New Roman" w:cs="Times New Roman" w:eastAsia="Times New Roman" w:hAnsi="Times New Roman"/>
                <w:sz w:val="18"/>
                <w:szCs w:val="18"/>
                <w:color w:val="auto"/>
              </w:rPr>
              <w:t>license restaurants</w:t>
            </w:r>
            <w:r>
              <w:rPr>
                <w:rFonts w:ascii="Times New Roman" w:cs="Times New Roman" w:eastAsia="Times New Roman" w:hAnsi="Times New Roman"/>
                <w:sz w:val="22"/>
                <w:szCs w:val="22"/>
                <w:color w:val="auto"/>
                <w:vertAlign w:val="superscript"/>
              </w:rPr>
              <w:t>(d)</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40.5 %</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180" w:type="dxa"/>
            <w:vAlign w:val="bottom"/>
            <w:gridSpan w:val="3"/>
          </w:tcPr>
          <w:p>
            <w:pPr>
              <w:spacing w:after="0" w:line="236" w:lineRule="exact"/>
              <w:rPr>
                <w:sz w:val="20"/>
                <w:szCs w:val="20"/>
                <w:color w:val="auto"/>
              </w:rPr>
            </w:pPr>
            <w:r>
              <w:rPr>
                <w:rFonts w:ascii="Times New Roman" w:cs="Times New Roman" w:eastAsia="Times New Roman" w:hAnsi="Times New Roman"/>
                <w:sz w:val="18"/>
                <w:szCs w:val="18"/>
                <w:b w:val="1"/>
                <w:bCs w:val="1"/>
                <w:color w:val="auto"/>
              </w:rPr>
              <w:t>Franchise</w:t>
            </w:r>
            <w:r>
              <w:rPr>
                <w:rFonts w:ascii="Times New Roman" w:cs="Times New Roman" w:eastAsia="Times New Roman" w:hAnsi="Times New Roman"/>
                <w:sz w:val="22"/>
                <w:szCs w:val="22"/>
                <w:b w:val="1"/>
                <w:bCs w:val="1"/>
                <w:color w:val="auto"/>
                <w:vertAlign w:val="superscript"/>
              </w:rPr>
              <w:t>(b)</w:t>
            </w: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180" w:type="dxa"/>
            <w:vAlign w:val="bottom"/>
            <w:gridSpan w:val="3"/>
            <w:shd w:val="clear" w:color="auto" w:fill="CCEEFF"/>
          </w:tcPr>
          <w:p>
            <w:pPr>
              <w:ind w:left="200"/>
              <w:spacing w:after="0" w:line="225" w:lineRule="exact"/>
              <w:rPr>
                <w:sz w:val="20"/>
                <w:szCs w:val="20"/>
                <w:color w:val="auto"/>
              </w:rPr>
            </w:pPr>
            <w:r>
              <w:rPr>
                <w:rFonts w:ascii="Times New Roman" w:cs="Times New Roman" w:eastAsia="Times New Roman" w:hAnsi="Times New Roman"/>
                <w:sz w:val="18"/>
                <w:szCs w:val="18"/>
                <w:color w:val="auto"/>
              </w:rPr>
              <w:t>Sales percentage change</w:t>
            </w:r>
            <w:r>
              <w:rPr>
                <w:rFonts w:ascii="Times New Roman" w:cs="Times New Roman" w:eastAsia="Times New Roman" w:hAnsi="Times New Roman"/>
                <w:sz w:val="22"/>
                <w:szCs w:val="22"/>
                <w:color w:val="auto"/>
                <w:vertAlign w:val="superscript"/>
              </w:rPr>
              <w:t>(c)</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40.9 %</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180" w:type="dxa"/>
            <w:vAlign w:val="bottom"/>
            <w:gridSpan w:val="3"/>
          </w:tcPr>
          <w:p>
            <w:pPr>
              <w:ind w:left="200"/>
              <w:spacing w:after="0" w:line="225" w:lineRule="exact"/>
              <w:rPr>
                <w:sz w:val="20"/>
                <w:szCs w:val="20"/>
                <w:color w:val="auto"/>
              </w:rPr>
            </w:pPr>
            <w:r>
              <w:rPr>
                <w:rFonts w:ascii="Times New Roman" w:cs="Times New Roman" w:eastAsia="Times New Roman" w:hAnsi="Times New Roman"/>
                <w:sz w:val="18"/>
                <w:szCs w:val="18"/>
                <w:color w:val="auto"/>
              </w:rPr>
              <w:t>Domestic same-restaurant sales percentage change</w:t>
            </w:r>
            <w:r>
              <w:rPr>
                <w:rFonts w:ascii="Times New Roman" w:cs="Times New Roman" w:eastAsia="Times New Roman" w:hAnsi="Times New Roman"/>
                <w:sz w:val="22"/>
                <w:szCs w:val="22"/>
                <w:color w:val="auto"/>
                <w:vertAlign w:val="superscript"/>
              </w:rPr>
              <w:t>(d)</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39.4 %</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39.4 %</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18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Average weekly unit sales (in thousands)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36.2</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34.0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180" w:type="dxa"/>
            <w:vAlign w:val="bottom"/>
            <w:gridSpan w:val="3"/>
          </w:tcPr>
          <w:p>
            <w:pPr>
              <w:spacing w:after="0" w:line="225" w:lineRule="exact"/>
              <w:rPr>
                <w:sz w:val="20"/>
                <w:szCs w:val="20"/>
                <w:color w:val="auto"/>
              </w:rPr>
            </w:pPr>
            <w:r>
              <w:rPr>
                <w:rFonts w:ascii="Times New Roman" w:cs="Times New Roman" w:eastAsia="Times New Roman" w:hAnsi="Times New Roman"/>
                <w:sz w:val="18"/>
                <w:szCs w:val="18"/>
                <w:b w:val="1"/>
                <w:bCs w:val="1"/>
                <w:color w:val="auto"/>
              </w:rPr>
              <w:t>Area License</w:t>
            </w:r>
            <w:r>
              <w:rPr>
                <w:rFonts w:ascii="Times New Roman" w:cs="Times New Roman" w:eastAsia="Times New Roman" w:hAnsi="Times New Roman"/>
                <w:sz w:val="22"/>
                <w:szCs w:val="22"/>
                <w:b w:val="1"/>
                <w:bCs w:val="1"/>
                <w:color w:val="auto"/>
                <w:vertAlign w:val="superscript"/>
              </w:rPr>
              <w:t>(b)</w:t>
            </w: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5180" w:type="dxa"/>
            <w:vAlign w:val="bottom"/>
            <w:gridSpan w:val="3"/>
            <w:shd w:val="clear" w:color="auto" w:fill="CCEEFF"/>
          </w:tcPr>
          <w:p>
            <w:pPr>
              <w:ind w:left="200"/>
              <w:spacing w:after="0" w:line="225" w:lineRule="exact"/>
              <w:rPr>
                <w:sz w:val="20"/>
                <w:szCs w:val="20"/>
                <w:color w:val="auto"/>
              </w:rPr>
            </w:pPr>
            <w:r>
              <w:rPr>
                <w:rFonts w:ascii="Times New Roman" w:cs="Times New Roman" w:eastAsia="Times New Roman" w:hAnsi="Times New Roman"/>
                <w:sz w:val="18"/>
                <w:szCs w:val="18"/>
                <w:color w:val="auto"/>
              </w:rPr>
              <w:t>Sales percentage change</w:t>
            </w:r>
            <w:r>
              <w:rPr>
                <w:rFonts w:ascii="Times New Roman" w:cs="Times New Roman" w:eastAsia="Times New Roman" w:hAnsi="Times New Roman"/>
                <w:sz w:val="22"/>
                <w:szCs w:val="22"/>
                <w:color w:val="auto"/>
                <w:vertAlign w:val="superscript"/>
              </w:rPr>
              <w:t>(c)</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5.2 %</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50.9 %</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48.1 %</w:t>
            </w:r>
          </w:p>
        </w:tc>
        <w:tc>
          <w:tcPr>
            <w:tcW w:w="0" w:type="dxa"/>
            <w:vAlign w:val="bottom"/>
          </w:tcPr>
          <w:p>
            <w:pPr>
              <w:spacing w:after="0"/>
              <w:rPr>
                <w:sz w:val="1"/>
                <w:szCs w:val="1"/>
                <w:color w:val="auto"/>
              </w:rPr>
            </w:pPr>
          </w:p>
        </w:tc>
      </w:tr>
    </w:tbl>
    <w:p>
      <w:pPr>
        <w:spacing w:after="0" w:line="105" w:lineRule="exact"/>
        <w:rPr>
          <w:sz w:val="20"/>
          <w:szCs w:val="20"/>
          <w:color w:val="auto"/>
        </w:rPr>
      </w:pPr>
    </w:p>
    <w:p>
      <w:pPr>
        <w:ind w:left="320" w:hanging="270"/>
        <w:spacing w:after="0" w:line="256" w:lineRule="auto"/>
        <w:tabs>
          <w:tab w:leader="none" w:pos="342" w:val="left"/>
        </w:tabs>
        <w:numPr>
          <w:ilvl w:val="1"/>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“Effective Restaurants” are the weighted average number of restaurants open in each fiscal period, adjusted to account for restaurants open for only a portion of the period. Information is presented for all Effective Restaurants in the Applebee’s and IHOP systems, which consist of restaurants owned by franchisees and area licensees as well as those owned by the Company. Effective Restaurants do not include units operated as ghost kitchens (small kitchens with no store-front presence, used to fill off-premise orders).</w:t>
      </w:r>
    </w:p>
    <w:p>
      <w:pPr>
        <w:spacing w:after="0" w:line="1" w:lineRule="exact"/>
        <w:rPr>
          <w:rFonts w:ascii="Times New Roman" w:cs="Times New Roman" w:eastAsia="Times New Roman" w:hAnsi="Times New Roman"/>
          <w:sz w:val="16"/>
          <w:szCs w:val="16"/>
          <w:color w:val="auto"/>
        </w:rPr>
      </w:pPr>
    </w:p>
    <w:p>
      <w:pPr>
        <w:ind w:left="320" w:right="160" w:hanging="314"/>
        <w:spacing w:after="0" w:line="252" w:lineRule="auto"/>
        <w:tabs>
          <w:tab w:leader="none" w:pos="307"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“System-wide sales” are retail sales at Applebee’s restaurants operated by franchisees and IHOP restaurants operated by franchisees and area licensees, as reported to the Company, in addition to retail sales at company-operated Applebee's restaurants. System-wide sales do not include retail sales of ghost kitchens. Sales at restaurants that are owned by franchisees and area licensees are not attributable to the Company. An increase in franchisees' reported sales will result in a corresponding increase in our royalty revenue, while a decrease in franchisees' reported sales will result in a corresponding decrease in our royalty revenue. Unaudited reported sales for Applebee's domestic franchise restaurants, Applebee's company-operated restaurants, IHOP franchise restaurants and IHOP area license restaurants were as follows:</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6"/>
                <w:szCs w:val="16"/>
                <w:color w:val="auto"/>
              </w:rPr>
            </w:pPr>
          </w:p>
        </w:tc>
        <w:tc>
          <w:tcPr>
            <w:tcW w:w="2240" w:type="dxa"/>
            <w:vAlign w:val="bottom"/>
            <w:gridSpan w:val="4"/>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24"/>
        </w:trPr>
        <w:tc>
          <w:tcPr>
            <w:tcW w:w="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03"/>
        </w:trPr>
        <w:tc>
          <w:tcPr>
            <w:tcW w:w="2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155"/>
        </w:trPr>
        <w:tc>
          <w:tcPr>
            <w:tcW w:w="20" w:type="dxa"/>
            <w:vAlign w:val="bottom"/>
          </w:tcPr>
          <w:p>
            <w:pPr>
              <w:spacing w:after="0"/>
              <w:rPr>
                <w:sz w:val="13"/>
                <w:szCs w:val="13"/>
                <w:color w:val="auto"/>
              </w:rPr>
            </w:pPr>
          </w:p>
        </w:tc>
        <w:tc>
          <w:tcPr>
            <w:tcW w:w="5840" w:type="dxa"/>
            <w:vAlign w:val="bottom"/>
            <w:gridSpan w:val="2"/>
          </w:tcPr>
          <w:p>
            <w:pPr>
              <w:spacing w:after="0" w:line="155" w:lineRule="exact"/>
              <w:rPr>
                <w:sz w:val="20"/>
                <w:szCs w:val="20"/>
                <w:color w:val="auto"/>
              </w:rPr>
            </w:pPr>
            <w:r>
              <w:rPr>
                <w:rFonts w:ascii="Times New Roman" w:cs="Times New Roman" w:eastAsia="Times New Roman" w:hAnsi="Times New Roman"/>
                <w:sz w:val="16"/>
                <w:szCs w:val="16"/>
                <w:b w:val="1"/>
                <w:bCs w:val="1"/>
                <w:color w:val="auto"/>
              </w:rPr>
              <w:t>Reported sales (in millions)</w:t>
            </w: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80" w:type="dxa"/>
            <w:vAlign w:val="bottom"/>
            <w:gridSpan w:val="5"/>
          </w:tcPr>
          <w:p>
            <w:pPr>
              <w:ind w:left="540"/>
              <w:spacing w:after="0" w:line="155"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r>
      <w:tr>
        <w:trPr>
          <w:trHeight w:val="232"/>
        </w:trPr>
        <w:tc>
          <w:tcPr>
            <w:tcW w:w="20" w:type="dxa"/>
            <w:vAlign w:val="bottom"/>
          </w:tcPr>
          <w:p>
            <w:pPr>
              <w:spacing w:after="0"/>
              <w:rPr>
                <w:sz w:val="20"/>
                <w:szCs w:val="20"/>
                <w:color w:val="auto"/>
              </w:rPr>
            </w:pPr>
          </w:p>
        </w:tc>
        <w:tc>
          <w:tcPr>
            <w:tcW w:w="1860" w:type="dxa"/>
            <w:vAlign w:val="bottom"/>
            <w:tcBorders>
              <w:top w:val="single" w:sz="8" w:color="auto"/>
            </w:tcBorders>
          </w:tcPr>
          <w:p>
            <w:pPr>
              <w:spacing w:after="0"/>
              <w:rPr>
                <w:sz w:val="20"/>
                <w:szCs w:val="20"/>
                <w:color w:val="auto"/>
              </w:rPr>
            </w:pPr>
          </w:p>
        </w:tc>
        <w:tc>
          <w:tcPr>
            <w:tcW w:w="3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r>
      <w:tr>
        <w:trPr>
          <w:trHeight w:val="212"/>
        </w:trPr>
        <w:tc>
          <w:tcPr>
            <w:tcW w:w="20" w:type="dxa"/>
            <w:vAlign w:val="bottom"/>
            <w:shd w:val="clear" w:color="auto" w:fill="CCEEFF"/>
          </w:tcPr>
          <w:p>
            <w:pPr>
              <w:spacing w:after="0"/>
              <w:rPr>
                <w:sz w:val="18"/>
                <w:szCs w:val="18"/>
                <w:color w:val="auto"/>
              </w:rPr>
            </w:pPr>
          </w:p>
        </w:tc>
        <w:tc>
          <w:tcPr>
            <w:tcW w:w="5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Applebee's domestic franchise restaurant sales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1,044.5</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3,176.2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3,000.8</w:t>
            </w:r>
          </w:p>
        </w:tc>
      </w:tr>
      <w:tr>
        <w:trPr>
          <w:trHeight w:val="225"/>
        </w:trPr>
        <w:tc>
          <w:tcPr>
            <w:tcW w:w="20" w:type="dxa"/>
            <w:vAlign w:val="bottom"/>
          </w:tcPr>
          <w:p>
            <w:pPr>
              <w:spacing w:after="0"/>
              <w:rPr>
                <w:sz w:val="19"/>
                <w:szCs w:val="19"/>
                <w:color w:val="auto"/>
              </w:rPr>
            </w:pPr>
          </w:p>
        </w:tc>
        <w:tc>
          <w:tcPr>
            <w:tcW w:w="5840" w:type="dxa"/>
            <w:vAlign w:val="bottom"/>
            <w:gridSpan w:val="2"/>
          </w:tcPr>
          <w:p>
            <w:pPr>
              <w:ind w:left="80"/>
              <w:spacing w:after="0"/>
              <w:rPr>
                <w:sz w:val="20"/>
                <w:szCs w:val="20"/>
                <w:color w:val="auto"/>
              </w:rPr>
            </w:pPr>
            <w:r>
              <w:rPr>
                <w:rFonts w:ascii="Times New Roman" w:cs="Times New Roman" w:eastAsia="Times New Roman" w:hAnsi="Times New Roman"/>
                <w:sz w:val="16"/>
                <w:szCs w:val="16"/>
                <w:color w:val="auto"/>
              </w:rPr>
              <w:t>Applebee's company-operated restaurants</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117.2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109.4</w:t>
            </w:r>
          </w:p>
        </w:tc>
      </w:tr>
      <w:tr>
        <w:trPr>
          <w:trHeight w:val="225"/>
        </w:trPr>
        <w:tc>
          <w:tcPr>
            <w:tcW w:w="20" w:type="dxa"/>
            <w:vAlign w:val="bottom"/>
            <w:shd w:val="clear" w:color="auto" w:fill="CCEEFF"/>
          </w:tcPr>
          <w:p>
            <w:pPr>
              <w:spacing w:after="0"/>
              <w:rPr>
                <w:sz w:val="19"/>
                <w:szCs w:val="19"/>
                <w:color w:val="auto"/>
              </w:rPr>
            </w:pPr>
          </w:p>
        </w:tc>
        <w:tc>
          <w:tcPr>
            <w:tcW w:w="58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IHOP franchise restaurant sales</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2,270.3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2,079.2</w:t>
            </w:r>
          </w:p>
        </w:tc>
      </w:tr>
      <w:tr>
        <w:trPr>
          <w:trHeight w:val="210"/>
        </w:trPr>
        <w:tc>
          <w:tcPr>
            <w:tcW w:w="20" w:type="dxa"/>
            <w:vAlign w:val="bottom"/>
            <w:tcBorders>
              <w:bottom w:val="single" w:sz="8" w:color="CCEEFF"/>
            </w:tcBorders>
          </w:tcPr>
          <w:p>
            <w:pPr>
              <w:spacing w:after="0"/>
              <w:rPr>
                <w:sz w:val="18"/>
                <w:szCs w:val="18"/>
                <w:color w:val="auto"/>
              </w:rPr>
            </w:pPr>
          </w:p>
        </w:tc>
        <w:tc>
          <w:tcPr>
            <w:tcW w:w="5840" w:type="dxa"/>
            <w:vAlign w:val="bottom"/>
            <w:tcBorders>
              <w:bottom w:val="single" w:sz="8" w:color="CCEEFF"/>
            </w:tcBorders>
            <w:gridSpan w:val="2"/>
          </w:tcPr>
          <w:p>
            <w:pPr>
              <w:ind w:left="80"/>
              <w:spacing w:after="0"/>
              <w:rPr>
                <w:sz w:val="20"/>
                <w:szCs w:val="20"/>
                <w:color w:val="auto"/>
              </w:rPr>
            </w:pPr>
            <w:r>
              <w:rPr>
                <w:rFonts w:ascii="Times New Roman" w:cs="Times New Roman" w:eastAsia="Times New Roman" w:hAnsi="Times New Roman"/>
                <w:sz w:val="16"/>
                <w:szCs w:val="16"/>
                <w:color w:val="auto"/>
              </w:rPr>
              <w:t>IHOP area license restaurant sales</w:t>
            </w: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73.5</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219.3</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202.4</w:t>
            </w:r>
          </w:p>
        </w:tc>
      </w:tr>
      <w:tr>
        <w:trPr>
          <w:trHeight w:val="232"/>
        </w:trPr>
        <w:tc>
          <w:tcPr>
            <w:tcW w:w="20" w:type="dxa"/>
            <w:vAlign w:val="bottom"/>
            <w:tcBorders>
              <w:bottom w:val="single" w:sz="8" w:color="CCEEFF"/>
            </w:tcBorders>
            <w:shd w:val="clear" w:color="auto" w:fill="CCEEFF"/>
          </w:tcPr>
          <w:p>
            <w:pPr>
              <w:spacing w:after="0"/>
              <w:rPr>
                <w:sz w:val="19"/>
                <w:szCs w:val="19"/>
                <w:color w:val="auto"/>
              </w:rPr>
            </w:pPr>
          </w:p>
        </w:tc>
        <w:tc>
          <w:tcPr>
            <w:tcW w:w="584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1,923.0</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1,858.7</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5,783.0</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61"/>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5,391.8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39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left="320" w:right="320" w:hanging="314"/>
        <w:spacing w:after="0" w:line="262" w:lineRule="auto"/>
        <w:tabs>
          <w:tab w:leader="none" w:pos="298"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“Sales percentage change” reflects, for each category of restaurants, the percentage change in sales in any given fiscal period compared to the prior fiscal period for all restaurants in that category.</w:t>
      </w:r>
    </w:p>
    <w:p>
      <w:pPr>
        <w:ind w:left="320" w:right="320" w:hanging="314"/>
        <w:spacing w:after="0" w:line="279" w:lineRule="auto"/>
        <w:tabs>
          <w:tab w:leader="none" w:pos="307"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“Domestic same-restaurant sales percentage change” reflects the percentage change in sales in any given fiscal period, compared to the same weeks in the prior fiscal period, for domestic restaurants that have been operated during both fiscal periods that are being compared and have been open for at least 18 months. Because of new restaurant openings and restaurant closures, the domestic restaurants open throughout both fiscal periods being compared may be different from period to period.</w:t>
      </w:r>
    </w:p>
    <w:p>
      <w:pPr>
        <w:sectPr>
          <w:pgSz w:w="11900" w:h="16838" w:orient="portrait"/>
          <w:cols w:equalWidth="0" w:num="1">
            <w:col w:w="11240"/>
          </w:cols>
          <w:pgMar w:left="320" w:top="118" w:right="33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32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Restaurant Development Activity</w:t>
            </w:r>
          </w:p>
        </w:tc>
        <w:tc>
          <w:tcPr>
            <w:tcW w:w="2820" w:type="dxa"/>
            <w:vAlign w:val="bottom"/>
            <w:gridSpan w:val="6"/>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700" w:type="dxa"/>
            <w:vAlign w:val="bottom"/>
            <w:gridSpan w:val="6"/>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320" w:type="dxa"/>
            <w:vAlign w:val="bottom"/>
            <w:gridSpan w:val="4"/>
            <w:vMerge w:val="restart"/>
          </w:tcPr>
          <w:p>
            <w:pPr>
              <w:spacing w:after="0"/>
              <w:rPr>
                <w:sz w:val="20"/>
                <w:szCs w:val="20"/>
                <w:color w:val="auto"/>
              </w:rPr>
            </w:pPr>
            <w:r>
              <w:rPr>
                <w:rFonts w:ascii="Times New Roman" w:cs="Times New Roman" w:eastAsia="Times New Roman" w:hAnsi="Times New Roman"/>
                <w:sz w:val="18"/>
                <w:szCs w:val="18"/>
                <w:b w:val="1"/>
                <w:bCs w:val="1"/>
                <w:color w:val="auto"/>
              </w:rPr>
              <w:t>Applebee's</w:t>
            </w:r>
          </w:p>
        </w:tc>
        <w:tc>
          <w:tcPr>
            <w:tcW w:w="1240" w:type="dxa"/>
            <w:vAlign w:val="bottom"/>
            <w:tcBorders>
              <w:top w:val="single" w:sz="8" w:color="auto"/>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2022</w:t>
            </w:r>
          </w:p>
        </w:tc>
        <w:tc>
          <w:tcPr>
            <w:tcW w:w="40" w:type="dxa"/>
            <w:vAlign w:val="bottom"/>
            <w:tcBorders>
              <w:top w:val="single" w:sz="8" w:color="auto"/>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320" w:type="dxa"/>
            <w:vAlign w:val="bottom"/>
            <w:gridSpan w:val="4"/>
            <w:vMerge w:val="continue"/>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760" w:type="dxa"/>
            <w:vAlign w:val="bottom"/>
            <w:gridSpan w:val="7"/>
          </w:tcPr>
          <w:p>
            <w:pPr>
              <w:ind w:left="94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Summary - beginning of period:</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0" w:type="dxa"/>
            <w:vAlign w:val="bottom"/>
            <w:tcBorders>
              <w:right w:val="single" w:sz="8" w:color="CCEEFF"/>
            </w:tcBorders>
          </w:tcPr>
          <w:p>
            <w:pPr>
              <w:spacing w:after="0"/>
              <w:rPr>
                <w:sz w:val="19"/>
                <w:szCs w:val="19"/>
                <w:color w:val="auto"/>
              </w:rPr>
            </w:pPr>
          </w:p>
        </w:tc>
        <w:tc>
          <w:tcPr>
            <w:tcW w:w="532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Franchise</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1,604</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1,627</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320" w:type="dxa"/>
            <w:vAlign w:val="bottom"/>
            <w:tcBorders>
              <w:bottom w:val="single" w:sz="8" w:color="CCEEFF"/>
            </w:tcBorders>
            <w:gridSpan w:val="4"/>
          </w:tcPr>
          <w:p>
            <w:pPr>
              <w:ind w:left="240"/>
              <w:spacing w:after="0"/>
              <w:rPr>
                <w:sz w:val="20"/>
                <w:szCs w:val="20"/>
                <w:color w:val="auto"/>
              </w:rPr>
            </w:pPr>
            <w:r>
              <w:rPr>
                <w:rFonts w:ascii="Times New Roman" w:cs="Times New Roman" w:eastAsia="Times New Roman" w:hAnsi="Times New Roman"/>
                <w:sz w:val="18"/>
                <w:szCs w:val="18"/>
                <w:color w:val="auto"/>
              </w:rPr>
              <w:t>Company</w:t>
            </w:r>
          </w:p>
        </w:tc>
        <w:tc>
          <w:tcPr>
            <w:tcW w:w="13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0"/>
                <w:szCs w:val="20"/>
                <w:color w:val="auto"/>
              </w:rPr>
            </w:pPr>
          </w:p>
        </w:tc>
        <w:tc>
          <w:tcPr>
            <w:tcW w:w="60" w:type="dxa"/>
            <w:vAlign w:val="bottom"/>
            <w:tcBorders>
              <w:right w:val="single" w:sz="8" w:color="CCEEFF"/>
            </w:tcBorders>
          </w:tcPr>
          <w:p>
            <w:pPr>
              <w:spacing w:after="0"/>
              <w:rPr>
                <w:sz w:val="20"/>
                <w:szCs w:val="20"/>
                <w:color w:val="auto"/>
              </w:rPr>
            </w:pPr>
          </w:p>
        </w:tc>
        <w:tc>
          <w:tcPr>
            <w:tcW w:w="53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Beginning of period</w:t>
            </w:r>
          </w:p>
        </w:tc>
        <w:tc>
          <w:tcPr>
            <w:tcW w:w="13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1,673</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1,696</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1,680</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320" w:type="dxa"/>
            <w:vAlign w:val="bottom"/>
            <w:tcBorders>
              <w:top w:val="single" w:sz="8" w:color="CCEEFF"/>
              <w:bottom w:val="single" w:sz="8" w:color="CCEEFF"/>
            </w:tcBorders>
            <w:gridSpan w:val="4"/>
            <w:vMerge w:val="restart"/>
          </w:tcPr>
          <w:p>
            <w:pPr>
              <w:spacing w:after="0"/>
              <w:rPr>
                <w:sz w:val="20"/>
                <w:szCs w:val="20"/>
                <w:color w:val="auto"/>
              </w:rPr>
            </w:pPr>
            <w:r>
              <w:rPr>
                <w:rFonts w:ascii="Times New Roman" w:cs="Times New Roman" w:eastAsia="Times New Roman" w:hAnsi="Times New Roman"/>
                <w:sz w:val="18"/>
                <w:szCs w:val="18"/>
                <w:color w:val="auto"/>
              </w:rPr>
              <w:t>Franchise restaurants opened:</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320" w:type="dxa"/>
            <w:vAlign w:val="bottom"/>
            <w:gridSpan w:val="4"/>
            <w:vMerge w:val="continue"/>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0" w:type="dxa"/>
            <w:vAlign w:val="bottom"/>
            <w:tcBorders>
              <w:right w:val="single" w:sz="8" w:color="CCEEFF"/>
            </w:tcBorders>
          </w:tcPr>
          <w:p>
            <w:pPr>
              <w:spacing w:after="0"/>
              <w:rPr>
                <w:sz w:val="19"/>
                <w:szCs w:val="19"/>
                <w:color w:val="auto"/>
              </w:rPr>
            </w:pPr>
          </w:p>
        </w:tc>
        <w:tc>
          <w:tcPr>
            <w:tcW w:w="53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Domestic</w:t>
            </w:r>
          </w:p>
        </w:tc>
        <w:tc>
          <w:tcPr>
            <w:tcW w:w="14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320" w:type="dxa"/>
            <w:vAlign w:val="bottom"/>
            <w:gridSpan w:val="4"/>
          </w:tcPr>
          <w:p>
            <w:pPr>
              <w:ind w:left="200"/>
              <w:spacing w:after="0"/>
              <w:rPr>
                <w:sz w:val="20"/>
                <w:szCs w:val="20"/>
                <w:color w:val="auto"/>
              </w:rPr>
            </w:pPr>
            <w:r>
              <w:rPr>
                <w:rFonts w:ascii="Times New Roman" w:cs="Times New Roman" w:eastAsia="Times New Roman" w:hAnsi="Times New Roman"/>
                <w:sz w:val="18"/>
                <w:szCs w:val="18"/>
                <w:color w:val="auto"/>
              </w:rPr>
              <w:t>International</w:t>
            </w:r>
          </w:p>
        </w:tc>
        <w:tc>
          <w:tcPr>
            <w:tcW w:w="13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38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60" w:type="dxa"/>
            <w:vAlign w:val="bottom"/>
            <w:tcBorders>
              <w:right w:val="single" w:sz="8" w:color="CCEEFF"/>
            </w:tcBorders>
          </w:tcPr>
          <w:p>
            <w:pPr>
              <w:spacing w:after="0"/>
              <w:rPr>
                <w:sz w:val="19"/>
                <w:szCs w:val="19"/>
                <w:color w:val="auto"/>
              </w:rPr>
            </w:pPr>
          </w:p>
        </w:tc>
        <w:tc>
          <w:tcPr>
            <w:tcW w:w="532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franchise restaurants opened</w:t>
            </w:r>
          </w:p>
        </w:tc>
        <w:tc>
          <w:tcPr>
            <w:tcW w:w="134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Borders>
              <w:top w:val="single" w:sz="8" w:color="auto"/>
              <w:bottom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3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Franchise restaurants permanently closed:</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0" w:type="dxa"/>
            <w:vAlign w:val="bottom"/>
            <w:tcBorders>
              <w:right w:val="single" w:sz="8" w:color="CCEEFF"/>
            </w:tcBorders>
          </w:tcPr>
          <w:p>
            <w:pPr>
              <w:spacing w:after="0"/>
              <w:rPr>
                <w:sz w:val="19"/>
                <w:szCs w:val="19"/>
                <w:color w:val="auto"/>
              </w:rPr>
            </w:pPr>
          </w:p>
        </w:tc>
        <w:tc>
          <w:tcPr>
            <w:tcW w:w="5320" w:type="dxa"/>
            <w:vAlign w:val="bottom"/>
            <w:gridSpan w:val="4"/>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Domestic</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320" w:type="dxa"/>
            <w:vAlign w:val="bottom"/>
            <w:tcBorders>
              <w:bottom w:val="single" w:sz="8" w:color="CCEEFF"/>
            </w:tcBorders>
            <w:gridSpan w:val="4"/>
          </w:tcPr>
          <w:p>
            <w:pPr>
              <w:ind w:left="200"/>
              <w:spacing w:after="0"/>
              <w:rPr>
                <w:sz w:val="20"/>
                <w:szCs w:val="20"/>
                <w:color w:val="auto"/>
              </w:rPr>
            </w:pPr>
            <w:r>
              <w:rPr>
                <w:rFonts w:ascii="Times New Roman" w:cs="Times New Roman" w:eastAsia="Times New Roman" w:hAnsi="Times New Roman"/>
                <w:sz w:val="18"/>
                <w:szCs w:val="18"/>
                <w:color w:val="auto"/>
              </w:rPr>
              <w:t>International</w:t>
            </w:r>
          </w:p>
        </w:tc>
        <w:tc>
          <w:tcPr>
            <w:tcW w:w="13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60" w:type="dxa"/>
            <w:vAlign w:val="bottom"/>
            <w:tcBorders>
              <w:right w:val="single" w:sz="8" w:color="CCEEFF"/>
            </w:tcBorders>
          </w:tcPr>
          <w:p>
            <w:pPr>
              <w:spacing w:after="0"/>
              <w:rPr>
                <w:sz w:val="19"/>
                <w:szCs w:val="19"/>
                <w:color w:val="auto"/>
              </w:rPr>
            </w:pPr>
          </w:p>
        </w:tc>
        <w:tc>
          <w:tcPr>
            <w:tcW w:w="53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franchise restaurants permanently closed</w:t>
            </w:r>
          </w:p>
        </w:tc>
        <w:tc>
          <w:tcPr>
            <w:tcW w:w="13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128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320" w:type="dxa"/>
            <w:vAlign w:val="bottom"/>
            <w:gridSpan w:val="4"/>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Net franchise restaurant reduction</w:t>
            </w:r>
          </w:p>
        </w:tc>
        <w:tc>
          <w:tcPr>
            <w:tcW w:w="1340" w:type="dxa"/>
            <w:vAlign w:val="bottom"/>
            <w:tcBorders>
              <w:bottom w:val="single" w:sz="8" w:color="auto"/>
            </w:tcBorders>
            <w:gridSpan w:val="2"/>
          </w:tcPr>
          <w:p>
            <w:pPr>
              <w:jc w:val="right"/>
              <w:ind w:right="20"/>
              <w:spacing w:after="0" w:line="192" w:lineRule="exact"/>
              <w:rPr>
                <w:sz w:val="20"/>
                <w:szCs w:val="20"/>
                <w:color w:val="auto"/>
              </w:rPr>
            </w:pPr>
            <w:r>
              <w:rPr>
                <w:rFonts w:ascii="Times New Roman" w:cs="Times New Roman" w:eastAsia="Times New Roman" w:hAnsi="Times New Roman"/>
                <w:sz w:val="18"/>
                <w:szCs w:val="18"/>
                <w:b w:val="1"/>
                <w:bCs w:val="1"/>
                <w:color w:val="auto"/>
              </w:rPr>
              <w:t>(3)</w:t>
            </w:r>
          </w:p>
        </w:tc>
        <w:tc>
          <w:tcPr>
            <w:tcW w:w="100" w:type="dxa"/>
            <w:vAlign w:val="bottom"/>
          </w:tcPr>
          <w:p>
            <w:pPr>
              <w:spacing w:after="0"/>
              <w:rPr>
                <w:sz w:val="16"/>
                <w:szCs w:val="16"/>
                <w:color w:val="auto"/>
              </w:rPr>
            </w:pPr>
          </w:p>
        </w:tc>
        <w:tc>
          <w:tcPr>
            <w:tcW w:w="1280" w:type="dxa"/>
            <w:vAlign w:val="bottom"/>
            <w:tcBorders>
              <w:bottom w:val="single" w:sz="8" w:color="auto"/>
            </w:tcBorders>
            <w:gridSpan w:val="2"/>
          </w:tcPr>
          <w:p>
            <w:pPr>
              <w:jc w:val="right"/>
              <w:ind w:right="40"/>
              <w:spacing w:after="0" w:line="192" w:lineRule="exact"/>
              <w:rPr>
                <w:sz w:val="20"/>
                <w:szCs w:val="20"/>
                <w:color w:val="auto"/>
              </w:rPr>
            </w:pPr>
            <w:r>
              <w:rPr>
                <w:rFonts w:ascii="Times New Roman" w:cs="Times New Roman" w:eastAsia="Times New Roman" w:hAnsi="Times New Roman"/>
                <w:sz w:val="18"/>
                <w:szCs w:val="18"/>
                <w:b w:val="1"/>
                <w:bCs w:val="1"/>
                <w:color w:val="auto"/>
              </w:rPr>
              <w:t>(7)</w:t>
            </w:r>
          </w:p>
        </w:tc>
        <w:tc>
          <w:tcPr>
            <w:tcW w:w="100" w:type="dxa"/>
            <w:vAlign w:val="bottom"/>
          </w:tcPr>
          <w:p>
            <w:pPr>
              <w:spacing w:after="0"/>
              <w:rPr>
                <w:sz w:val="16"/>
                <w:szCs w:val="16"/>
                <w:color w:val="auto"/>
              </w:rPr>
            </w:pPr>
          </w:p>
        </w:tc>
        <w:tc>
          <w:tcPr>
            <w:tcW w:w="1280" w:type="dxa"/>
            <w:vAlign w:val="bottom"/>
            <w:tcBorders>
              <w:bottom w:val="single" w:sz="8" w:color="auto"/>
            </w:tcBorders>
            <w:gridSpan w:val="2"/>
          </w:tcPr>
          <w:p>
            <w:pPr>
              <w:jc w:val="right"/>
              <w:ind w:right="40"/>
              <w:spacing w:after="0" w:line="192" w:lineRule="exact"/>
              <w:rPr>
                <w:sz w:val="20"/>
                <w:szCs w:val="20"/>
                <w:color w:val="auto"/>
              </w:rPr>
            </w:pPr>
            <w:r>
              <w:rPr>
                <w:rFonts w:ascii="Times New Roman" w:cs="Times New Roman" w:eastAsia="Times New Roman" w:hAnsi="Times New Roman"/>
                <w:sz w:val="18"/>
                <w:szCs w:val="18"/>
                <w:b w:val="1"/>
                <w:bCs w:val="1"/>
                <w:color w:val="auto"/>
              </w:rPr>
              <w:t>(10)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8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b w:val="1"/>
                <w:bCs w:val="1"/>
                <w:color w:val="auto"/>
              </w:rPr>
              <w:t>(20)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0" w:type="dxa"/>
            <w:vAlign w:val="bottom"/>
            <w:tcBorders>
              <w:bottom w:val="single" w:sz="8" w:color="CCEEFF"/>
            </w:tcBorders>
          </w:tcPr>
          <w:p>
            <w:pPr>
              <w:spacing w:after="0"/>
              <w:rPr>
                <w:sz w:val="6"/>
                <w:szCs w:val="6"/>
                <w:color w:val="auto"/>
              </w:rPr>
            </w:pPr>
          </w:p>
        </w:tc>
        <w:tc>
          <w:tcPr>
            <w:tcW w:w="420" w:type="dxa"/>
            <w:vAlign w:val="bottom"/>
            <w:tcBorders>
              <w:bottom w:val="single" w:sz="8" w:color="CCEEFF"/>
            </w:tcBorders>
          </w:tcPr>
          <w:p>
            <w:pPr>
              <w:spacing w:after="0"/>
              <w:rPr>
                <w:sz w:val="6"/>
                <w:szCs w:val="6"/>
                <w:color w:val="auto"/>
              </w:rPr>
            </w:pPr>
          </w:p>
        </w:tc>
        <w:tc>
          <w:tcPr>
            <w:tcW w:w="440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16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24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80" w:type="dxa"/>
            <w:vAlign w:val="bottom"/>
            <w:tcBorders>
              <w:bottom w:val="single" w:sz="8" w:color="CCEEFF"/>
            </w:tcBorders>
          </w:tcPr>
          <w:p>
            <w:pPr>
              <w:spacing w:after="0"/>
              <w:rPr>
                <w:sz w:val="6"/>
                <w:szCs w:val="6"/>
                <w:color w:val="auto"/>
              </w:rPr>
            </w:pPr>
          </w:p>
        </w:tc>
        <w:tc>
          <w:tcPr>
            <w:tcW w:w="20" w:type="dxa"/>
            <w:vAlign w:val="bottom"/>
            <w:tcBorders>
              <w:bottom w:val="single" w:sz="8" w:color="CCEEFF"/>
            </w:tcBorders>
          </w:tcPr>
          <w:p>
            <w:pPr>
              <w:spacing w:after="0"/>
              <w:rPr>
                <w:sz w:val="6"/>
                <w:szCs w:val="6"/>
                <w:color w:val="auto"/>
              </w:rPr>
            </w:pPr>
          </w:p>
        </w:tc>
        <w:tc>
          <w:tcPr>
            <w:tcW w:w="1280" w:type="dxa"/>
            <w:vAlign w:val="bottom"/>
            <w:tcBorders>
              <w:bottom w:val="single" w:sz="8" w:color="auto"/>
            </w:tcBorders>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320" w:type="dxa"/>
            <w:vAlign w:val="bottom"/>
            <w:tcBorders>
              <w:top w:val="single" w:sz="8" w:color="CCEEFF"/>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Summary - end of period:</w:t>
            </w:r>
          </w:p>
        </w:tc>
        <w:tc>
          <w:tcPr>
            <w:tcW w:w="12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1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2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280" w:type="dxa"/>
            <w:vAlign w:val="bottom"/>
            <w:tcBorders>
              <w:top w:val="single" w:sz="8" w:color="CCEEFF"/>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0" w:type="dxa"/>
            <w:vAlign w:val="bottom"/>
            <w:tcBorders>
              <w:right w:val="single" w:sz="8" w:color="CCEEFF"/>
            </w:tcBorders>
          </w:tcPr>
          <w:p>
            <w:pPr>
              <w:spacing w:after="0"/>
              <w:rPr>
                <w:sz w:val="19"/>
                <w:szCs w:val="19"/>
                <w:color w:val="auto"/>
              </w:rPr>
            </w:pPr>
          </w:p>
        </w:tc>
        <w:tc>
          <w:tcPr>
            <w:tcW w:w="5320" w:type="dxa"/>
            <w:vAlign w:val="bottom"/>
            <w:gridSpan w:val="4"/>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Franchise</w:t>
            </w:r>
          </w:p>
        </w:tc>
        <w:tc>
          <w:tcPr>
            <w:tcW w:w="13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1,601</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1,620</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320" w:type="dxa"/>
            <w:vAlign w:val="bottom"/>
            <w:tcBorders>
              <w:bottom w:val="single" w:sz="8" w:color="CCEEFF"/>
            </w:tcBorders>
            <w:gridSpan w:val="4"/>
          </w:tcPr>
          <w:p>
            <w:pPr>
              <w:ind w:left="240"/>
              <w:spacing w:after="0"/>
              <w:rPr>
                <w:sz w:val="20"/>
                <w:szCs w:val="20"/>
                <w:color w:val="auto"/>
              </w:rPr>
            </w:pPr>
            <w:r>
              <w:rPr>
                <w:rFonts w:ascii="Times New Roman" w:cs="Times New Roman" w:eastAsia="Times New Roman" w:hAnsi="Times New Roman"/>
                <w:sz w:val="18"/>
                <w:szCs w:val="18"/>
                <w:color w:val="auto"/>
              </w:rPr>
              <w:t>Company</w:t>
            </w:r>
          </w:p>
        </w:tc>
        <w:tc>
          <w:tcPr>
            <w:tcW w:w="134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0"/>
                <w:szCs w:val="20"/>
                <w:color w:val="auto"/>
              </w:rPr>
            </w:pPr>
          </w:p>
        </w:tc>
        <w:tc>
          <w:tcPr>
            <w:tcW w:w="60" w:type="dxa"/>
            <w:vAlign w:val="bottom"/>
            <w:tcBorders>
              <w:right w:val="single" w:sz="8" w:color="CCEEFF"/>
            </w:tcBorders>
          </w:tcPr>
          <w:p>
            <w:pPr>
              <w:spacing w:after="0"/>
              <w:rPr>
                <w:sz w:val="20"/>
                <w:szCs w:val="20"/>
                <w:color w:val="auto"/>
              </w:rPr>
            </w:pPr>
          </w:p>
        </w:tc>
        <w:tc>
          <w:tcPr>
            <w:tcW w:w="532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Applebee's restaurants, end of period</w:t>
            </w:r>
          </w:p>
        </w:tc>
        <w:tc>
          <w:tcPr>
            <w:tcW w:w="134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1,670</w:t>
            </w:r>
          </w:p>
        </w:tc>
        <w:tc>
          <w:tcPr>
            <w:tcW w:w="10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1,689</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1,670</w:t>
            </w:r>
          </w:p>
        </w:tc>
        <w:tc>
          <w:tcPr>
            <w:tcW w:w="4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1,689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320" w:type="dxa"/>
            <w:vAlign w:val="bottom"/>
            <w:tcBorders>
              <w:top w:val="single" w:sz="8" w:color="CCEEFF"/>
              <w:bottom w:val="single" w:sz="8" w:color="CCEEFF"/>
            </w:tcBorders>
            <w:gridSpan w:val="4"/>
            <w:vMerge w:val="restart"/>
          </w:tcPr>
          <w:p>
            <w:pPr>
              <w:ind w:left="320"/>
              <w:spacing w:after="0"/>
              <w:rPr>
                <w:sz w:val="20"/>
                <w:szCs w:val="20"/>
                <w:color w:val="auto"/>
              </w:rPr>
            </w:pPr>
            <w:r>
              <w:rPr>
                <w:rFonts w:ascii="Times New Roman" w:cs="Times New Roman" w:eastAsia="Times New Roman" w:hAnsi="Times New Roman"/>
                <w:sz w:val="16"/>
                <w:szCs w:val="16"/>
                <w:color w:val="auto"/>
              </w:rPr>
              <w:t>Domestic</w:t>
            </w: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320" w:type="dxa"/>
            <w:vAlign w:val="bottom"/>
            <w:gridSpan w:val="4"/>
            <w:vMerge w:val="continue"/>
          </w:tcPr>
          <w:p>
            <w:pPr>
              <w:spacing w:after="0"/>
              <w:rPr>
                <w:sz w:val="15"/>
                <w:szCs w:val="15"/>
                <w:color w:val="auto"/>
              </w:rPr>
            </w:pPr>
          </w:p>
        </w:tc>
        <w:tc>
          <w:tcPr>
            <w:tcW w:w="1340" w:type="dxa"/>
            <w:vAlign w:val="bottom"/>
            <w:gridSpan w:val="2"/>
          </w:tcPr>
          <w:p>
            <w:pPr>
              <w:jc w:val="right"/>
              <w:ind w:right="60"/>
              <w:spacing w:after="0" w:line="183" w:lineRule="exact"/>
              <w:rPr>
                <w:sz w:val="20"/>
                <w:szCs w:val="20"/>
                <w:color w:val="auto"/>
              </w:rPr>
            </w:pPr>
            <w:r>
              <w:rPr>
                <w:rFonts w:ascii="Times New Roman" w:cs="Times New Roman" w:eastAsia="Times New Roman" w:hAnsi="Times New Roman"/>
                <w:sz w:val="16"/>
                <w:szCs w:val="16"/>
                <w:color w:val="auto"/>
              </w:rPr>
              <w:t>1,571</w:t>
            </w:r>
          </w:p>
        </w:tc>
        <w:tc>
          <w:tcPr>
            <w:tcW w:w="100" w:type="dxa"/>
            <w:vAlign w:val="bottom"/>
          </w:tcPr>
          <w:p>
            <w:pPr>
              <w:spacing w:after="0"/>
              <w:rPr>
                <w:sz w:val="15"/>
                <w:szCs w:val="15"/>
                <w:color w:val="auto"/>
              </w:rPr>
            </w:pPr>
          </w:p>
        </w:tc>
        <w:tc>
          <w:tcPr>
            <w:tcW w:w="1280" w:type="dxa"/>
            <w:vAlign w:val="bottom"/>
            <w:gridSpan w:val="2"/>
          </w:tcPr>
          <w:p>
            <w:pPr>
              <w:jc w:val="right"/>
              <w:ind w:right="80"/>
              <w:spacing w:after="0" w:line="183" w:lineRule="exact"/>
              <w:rPr>
                <w:sz w:val="20"/>
                <w:szCs w:val="20"/>
                <w:color w:val="auto"/>
              </w:rPr>
            </w:pPr>
            <w:r>
              <w:rPr>
                <w:rFonts w:ascii="Times New Roman" w:cs="Times New Roman" w:eastAsia="Times New Roman" w:hAnsi="Times New Roman"/>
                <w:sz w:val="16"/>
                <w:szCs w:val="16"/>
                <w:color w:val="auto"/>
              </w:rPr>
              <w:t>1,587</w:t>
            </w:r>
          </w:p>
        </w:tc>
        <w:tc>
          <w:tcPr>
            <w:tcW w:w="100" w:type="dxa"/>
            <w:vAlign w:val="bottom"/>
          </w:tcPr>
          <w:p>
            <w:pPr>
              <w:spacing w:after="0"/>
              <w:rPr>
                <w:sz w:val="15"/>
                <w:szCs w:val="15"/>
                <w:color w:val="auto"/>
              </w:rPr>
            </w:pPr>
          </w:p>
        </w:tc>
        <w:tc>
          <w:tcPr>
            <w:tcW w:w="124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1,571</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80" w:type="dxa"/>
            <w:vAlign w:val="bottom"/>
          </w:tcPr>
          <w:p>
            <w:pPr>
              <w:jc w:val="right"/>
              <w:spacing w:after="0" w:line="183" w:lineRule="exact"/>
              <w:rPr>
                <w:sz w:val="20"/>
                <w:szCs w:val="20"/>
                <w:color w:val="auto"/>
              </w:rPr>
            </w:pPr>
            <w:r>
              <w:rPr>
                <w:rFonts w:ascii="Times New Roman" w:cs="Times New Roman" w:eastAsia="Times New Roman" w:hAnsi="Times New Roman"/>
                <w:sz w:val="16"/>
                <w:szCs w:val="16"/>
                <w:color w:val="auto"/>
              </w:rPr>
              <w:t>1,587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0" w:type="dxa"/>
            <w:vAlign w:val="bottom"/>
            <w:tcBorders>
              <w:right w:val="single" w:sz="8" w:color="CCEEFF"/>
            </w:tcBorders>
          </w:tcPr>
          <w:p>
            <w:pPr>
              <w:spacing w:after="0"/>
              <w:rPr>
                <w:sz w:val="18"/>
                <w:szCs w:val="18"/>
                <w:color w:val="auto"/>
              </w:rPr>
            </w:pPr>
          </w:p>
        </w:tc>
        <w:tc>
          <w:tcPr>
            <w:tcW w:w="5320" w:type="dxa"/>
            <w:vAlign w:val="bottom"/>
            <w:gridSpan w:val="4"/>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International</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99</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102</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4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5"/>
              </w:rPr>
              <w:t>IHOP</w:t>
            </w:r>
          </w:p>
        </w:tc>
        <w:tc>
          <w:tcPr>
            <w:tcW w:w="4920" w:type="dxa"/>
            <w:vAlign w:val="bottom"/>
            <w:gridSpan w:val="3"/>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3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Summary - beginning of period:</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532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Franchise</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1,595</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3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Area license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52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Company</w:t>
            </w: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2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IHOP restaurants, beginning of period</w:t>
            </w: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1,764</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1,747</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1,751</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1,772</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5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Franchise/area license restaurants opened:</w:t>
            </w: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53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Domestic franchise</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3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Domestic area license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53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 franchise</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Total franchise/area license restaurants opened</w:t>
            </w: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Franchise/area license restaurants permanently closed:</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53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Domestic franchise</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3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Domestic area license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53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International franchise</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3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International area license</w:t>
            </w:r>
          </w:p>
        </w:tc>
        <w:tc>
          <w:tcPr>
            <w:tcW w:w="144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8"/>
        </w:trPr>
        <w:tc>
          <w:tcPr>
            <w:tcW w:w="20" w:type="dxa"/>
            <w:vAlign w:val="bottom"/>
            <w:tcBorders>
              <w:top w:val="single" w:sz="8" w:color="CCEEFF"/>
            </w:tcBorders>
            <w:shd w:val="clear" w:color="auto" w:fill="CCEEFF"/>
          </w:tcPr>
          <w:p>
            <w:pPr>
              <w:spacing w:after="0"/>
              <w:rPr>
                <w:sz w:val="19"/>
                <w:szCs w:val="19"/>
                <w:color w:val="auto"/>
              </w:rPr>
            </w:pPr>
          </w:p>
        </w:tc>
        <w:tc>
          <w:tcPr>
            <w:tcW w:w="5280" w:type="dxa"/>
            <w:vAlign w:val="bottom"/>
            <w:tcBorders>
              <w:top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franchise/area license restaurants permanently closed</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auto"/>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Net franchise/area license restaurant additions (reductions)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(22)</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44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shd w:val="clear" w:color="auto" w:fill="CCEEFF"/>
          </w:tcPr>
          <w:p>
            <w:pPr>
              <w:spacing w:after="0"/>
              <w:rPr>
                <w:sz w:val="18"/>
                <w:szCs w:val="18"/>
                <w:color w:val="auto"/>
              </w:rPr>
            </w:pPr>
          </w:p>
        </w:tc>
        <w:tc>
          <w:tcPr>
            <w:tcW w:w="52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Refranchised by the Company</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5280" w:type="dxa"/>
            <w:vAlign w:val="bottom"/>
            <w:tcBorders>
              <w:bottom w:val="single" w:sz="8" w:color="CCEEFF"/>
            </w:tcBorders>
            <w:gridSpan w:val="4"/>
          </w:tcPr>
          <w:p>
            <w:pPr>
              <w:spacing w:after="0"/>
              <w:rPr>
                <w:sz w:val="20"/>
                <w:szCs w:val="20"/>
                <w:color w:val="auto"/>
              </w:rPr>
            </w:pPr>
            <w:r>
              <w:rPr>
                <w:rFonts w:ascii="Times New Roman" w:cs="Times New Roman" w:eastAsia="Times New Roman" w:hAnsi="Times New Roman"/>
                <w:sz w:val="18"/>
                <w:szCs w:val="18"/>
                <w:color w:val="auto"/>
              </w:rPr>
              <w:t>Franchise restaurants reacquired by the Company</w:t>
            </w: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8"/>
        </w:trPr>
        <w:tc>
          <w:tcPr>
            <w:tcW w:w="20" w:type="dxa"/>
            <w:vAlign w:val="bottom"/>
            <w:tcBorders>
              <w:bottom w:val="single" w:sz="8" w:color="CCEEFF"/>
            </w:tcBorders>
            <w:shd w:val="clear" w:color="auto" w:fill="CCEEFF"/>
          </w:tcPr>
          <w:p>
            <w:pPr>
              <w:spacing w:after="0"/>
              <w:rPr>
                <w:sz w:val="20"/>
                <w:szCs w:val="20"/>
                <w:color w:val="auto"/>
              </w:rPr>
            </w:pPr>
          </w:p>
        </w:tc>
        <w:tc>
          <w:tcPr>
            <w:tcW w:w="5280" w:type="dxa"/>
            <w:vAlign w:val="bottom"/>
            <w:tcBorders>
              <w:bottom w:val="single" w:sz="8" w:color="CCEEFF"/>
            </w:tcBorders>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(decrease) in franchise/area license restaurants</w:t>
            </w:r>
          </w:p>
        </w:tc>
        <w:tc>
          <w:tcPr>
            <w:tcW w:w="1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82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tcPr>
          <w:p>
            <w:pPr>
              <w:spacing w:after="0"/>
              <w:rPr>
                <w:sz w:val="19"/>
                <w:szCs w:val="19"/>
                <w:color w:val="auto"/>
              </w:rPr>
            </w:pPr>
          </w:p>
        </w:tc>
        <w:tc>
          <w:tcPr>
            <w:tcW w:w="53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Summary - end of period:</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5320" w:type="dxa"/>
            <w:vAlign w:val="bottom"/>
            <w:gridSpan w:val="4"/>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Franchise</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1,610</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320" w:type="dxa"/>
            <w:vAlign w:val="bottom"/>
            <w:gridSpan w:val="4"/>
          </w:tcPr>
          <w:p>
            <w:pPr>
              <w:ind w:left="260"/>
              <w:spacing w:after="0"/>
              <w:rPr>
                <w:sz w:val="20"/>
                <w:szCs w:val="20"/>
                <w:color w:val="auto"/>
              </w:rPr>
            </w:pPr>
            <w:r>
              <w:rPr>
                <w:rFonts w:ascii="Times New Roman" w:cs="Times New Roman" w:eastAsia="Times New Roman" w:hAnsi="Times New Roman"/>
                <w:sz w:val="18"/>
                <w:szCs w:val="18"/>
                <w:color w:val="auto"/>
              </w:rPr>
              <w:t>Area license</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60" w:type="dxa"/>
            <w:vAlign w:val="bottom"/>
            <w:tcBorders>
              <w:right w:val="single" w:sz="8" w:color="CCEEFF"/>
            </w:tcBorders>
            <w:shd w:val="clear" w:color="auto" w:fill="CCEEFF"/>
          </w:tcPr>
          <w:p>
            <w:pPr>
              <w:spacing w:after="0"/>
              <w:rPr>
                <w:sz w:val="19"/>
                <w:szCs w:val="19"/>
                <w:color w:val="auto"/>
              </w:rPr>
            </w:pPr>
          </w:p>
        </w:tc>
        <w:tc>
          <w:tcPr>
            <w:tcW w:w="52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Company</w:t>
            </w: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Total IHOP restaurants, end of period</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1,750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1,766</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CCEEFF"/>
            </w:tcBorders>
          </w:tcPr>
          <w:p>
            <w:pPr>
              <w:spacing w:after="0" w:line="20" w:lineRule="exact"/>
              <w:rPr>
                <w:sz w:val="1"/>
                <w:szCs w:val="1"/>
                <w:color w:val="auto"/>
              </w:rPr>
            </w:pPr>
          </w:p>
        </w:tc>
        <w:tc>
          <w:tcPr>
            <w:tcW w:w="44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52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Domestic</w:t>
            </w: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1,665</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320" w:type="dxa"/>
            <w:vAlign w:val="bottom"/>
            <w:gridSpan w:val="4"/>
          </w:tcPr>
          <w:p>
            <w:pPr>
              <w:ind w:left="260"/>
              <w:spacing w:after="0"/>
              <w:rPr>
                <w:sz w:val="20"/>
                <w:szCs w:val="20"/>
                <w:color w:val="auto"/>
              </w:rPr>
            </w:pPr>
            <w:r>
              <w:rPr>
                <w:rFonts w:ascii="Times New Roman" w:cs="Times New Roman" w:eastAsia="Times New Roman" w:hAnsi="Times New Roman"/>
                <w:sz w:val="16"/>
                <w:szCs w:val="16"/>
                <w:color w:val="auto"/>
              </w:rPr>
              <w:t>International</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920"/>
          </w:cols>
          <w:pgMar w:left="320" w:top="118" w:right="6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920"/>
          </w:cols>
          <w:pgMar w:left="320" w:top="118" w:right="65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20" w:firstLine="318"/>
        <w:spacing w:after="0" w:line="274" w:lineRule="auto"/>
        <w:rPr>
          <w:sz w:val="20"/>
          <w:szCs w:val="20"/>
          <w:color w:val="auto"/>
        </w:rPr>
      </w:pPr>
      <w:r>
        <w:rPr>
          <w:rFonts w:ascii="Times New Roman" w:cs="Times New Roman" w:eastAsia="Times New Roman" w:hAnsi="Times New Roman"/>
          <w:sz w:val="18"/>
          <w:szCs w:val="18"/>
          <w:color w:val="auto"/>
        </w:rPr>
        <w:t>The restaurant counts and activity presented above do not include three domestic Applebee's ghost kitchens (small kitchens with no store-front presence, used to fill off-premise orders), 13 international Applebee's ghost kitchens and 39 international IHOP ghost kitchens.</w:t>
      </w:r>
    </w:p>
    <w:p>
      <w:pPr>
        <w:spacing w:after="0" w:line="190" w:lineRule="exact"/>
        <w:rPr>
          <w:sz w:val="20"/>
          <w:szCs w:val="20"/>
          <w:color w:val="auto"/>
        </w:rPr>
      </w:pPr>
    </w:p>
    <w:p>
      <w:pPr>
        <w:ind w:right="120" w:firstLine="318"/>
        <w:spacing w:after="0" w:line="259" w:lineRule="auto"/>
        <w:rPr>
          <w:sz w:val="20"/>
          <w:szCs w:val="20"/>
          <w:color w:val="auto"/>
        </w:rPr>
      </w:pPr>
      <w:r>
        <w:rPr>
          <w:rFonts w:ascii="Times New Roman" w:cs="Times New Roman" w:eastAsia="Times New Roman" w:hAnsi="Times New Roman"/>
          <w:sz w:val="18"/>
          <w:szCs w:val="18"/>
          <w:color w:val="auto"/>
        </w:rPr>
        <w:t>The closures presented in the tables above represent permanent closures of restaurants. Temporary closures, which can occur for a variety of reasons, are not reflected as reductions in this table and are included in the summary counts at the beginning and end of each period shown. Temporary closures are reflected in the weighted calculation of Effective Restaurants presented in the preceding Restaurant Data table.</w:t>
      </w:r>
    </w:p>
    <w:p>
      <w:pPr>
        <w:spacing w:after="0" w:line="204" w:lineRule="exact"/>
        <w:rPr>
          <w:sz w:val="20"/>
          <w:szCs w:val="20"/>
          <w:color w:val="auto"/>
        </w:rPr>
      </w:pPr>
    </w:p>
    <w:p>
      <w:pPr>
        <w:ind w:right="260" w:firstLine="318"/>
        <w:spacing w:after="0" w:line="255" w:lineRule="auto"/>
        <w:rPr>
          <w:sz w:val="20"/>
          <w:szCs w:val="20"/>
          <w:color w:val="auto"/>
        </w:rPr>
      </w:pPr>
      <w:r>
        <w:rPr>
          <w:rFonts w:ascii="Times New Roman" w:cs="Times New Roman" w:eastAsia="Times New Roman" w:hAnsi="Times New Roman"/>
          <w:sz w:val="18"/>
          <w:szCs w:val="18"/>
          <w:color w:val="auto"/>
        </w:rPr>
        <w:t>Closures of Applebee's and IHOP restaurants adversely impact our system-wide retail sales that drive our franchise royalty revenues as well as, in the case of IHOP restaurants, sales of proprietary pancake and waffle dry mix. Further, with certain restaurants, we own or lease the underlying property and sublease it to the applicable franchisee. Thus, our rental income also could be adversely affected due to the loss of such income, as well as our obligation to make rental or other payments for such properties.</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Comparison of the Three and Nine Months Ended September 30, 2022 and 2021</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Results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0" w:type="dxa"/>
            <w:vAlign w:val="bottom"/>
          </w:tcPr>
          <w:p>
            <w:pPr>
              <w:spacing w:after="0"/>
              <w:rPr>
                <w:sz w:val="18"/>
                <w:szCs w:val="18"/>
                <w:color w:val="auto"/>
              </w:rPr>
            </w:pPr>
          </w:p>
        </w:tc>
        <w:tc>
          <w:tcPr>
            <w:tcW w:w="274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8"/>
                <w:szCs w:val="18"/>
                <w:color w:val="auto"/>
              </w:rPr>
            </w:pPr>
          </w:p>
        </w:tc>
        <w:tc>
          <w:tcPr>
            <w:tcW w:w="11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Favorable</w:t>
            </w:r>
          </w:p>
        </w:tc>
        <w:tc>
          <w:tcPr>
            <w:tcW w:w="160" w:type="dxa"/>
            <w:vAlign w:val="bottom"/>
          </w:tcPr>
          <w:p>
            <w:pPr>
              <w:spacing w:after="0"/>
              <w:rPr>
                <w:sz w:val="18"/>
                <w:szCs w:val="18"/>
                <w:color w:val="auto"/>
              </w:rPr>
            </w:pPr>
          </w:p>
        </w:tc>
        <w:tc>
          <w:tcPr>
            <w:tcW w:w="2720" w:type="dxa"/>
            <w:vAlign w:val="bottom"/>
            <w:gridSpan w:val="5"/>
          </w:tcPr>
          <w:p>
            <w:pPr>
              <w:ind w:left="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40" w:type="dxa"/>
            <w:vAlign w:val="bottom"/>
          </w:tcPr>
          <w:p>
            <w:pPr>
              <w:spacing w:after="0"/>
              <w:rPr>
                <w:sz w:val="18"/>
                <w:szCs w:val="18"/>
                <w:color w:val="auto"/>
              </w:rPr>
            </w:pPr>
          </w:p>
        </w:tc>
        <w:tc>
          <w:tcPr>
            <w:tcW w:w="10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 w:type="dxa"/>
            <w:vAlign w:val="bottom"/>
            <w:tcBorders>
              <w:top w:val="single" w:sz="8" w:color="auto"/>
            </w:tcBorders>
          </w:tcPr>
          <w:p>
            <w:pPr>
              <w:spacing w:after="0"/>
              <w:rPr>
                <w:sz w:val="2"/>
                <w:szCs w:val="2"/>
                <w:color w:val="auto"/>
              </w:rPr>
            </w:pPr>
          </w:p>
        </w:tc>
        <w:tc>
          <w:tcPr>
            <w:tcW w:w="23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gridSpan w:val="2"/>
            <w:vMerge w:val="restart"/>
          </w:tcPr>
          <w:p>
            <w:pPr>
              <w:jc w:val="center"/>
              <w:ind w:right="220"/>
              <w:spacing w:after="0" w:line="82" w:lineRule="exact"/>
              <w:rPr>
                <w:sz w:val="20"/>
                <w:szCs w:val="20"/>
                <w:color w:val="auto"/>
              </w:rPr>
            </w:pPr>
            <w:r>
              <w:rPr>
                <w:rFonts w:ascii="Times New Roman" w:cs="Times New Roman" w:eastAsia="Times New Roman" w:hAnsi="Times New Roman"/>
                <w:sz w:val="9"/>
                <w:szCs w:val="9"/>
                <w:b w:val="1"/>
                <w:bCs w:val="1"/>
                <w:color w:val="auto"/>
              </w:rPr>
              <w:t>(Unfavorable)</w:t>
            </w: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vMerge w:val="restart"/>
          </w:tcPr>
          <w:p>
            <w:pPr>
              <w:jc w:val="center"/>
              <w:ind w:right="61"/>
              <w:spacing w:after="0" w:line="82" w:lineRule="exact"/>
              <w:rPr>
                <w:sz w:val="20"/>
                <w:szCs w:val="20"/>
                <w:color w:val="auto"/>
              </w:rPr>
            </w:pPr>
            <w:r>
              <w:rPr>
                <w:rFonts w:ascii="Times New Roman" w:cs="Times New Roman" w:eastAsia="Times New Roman" w:hAnsi="Times New Roman"/>
                <w:sz w:val="9"/>
                <w:szCs w:val="9"/>
                <w:b w:val="1"/>
                <w:bCs w:val="1"/>
                <w:color w:val="auto"/>
              </w:rPr>
              <w:t>(Unfavorable)</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vMerge w:val="restart"/>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vMerge w:val="restart"/>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4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vMerge w:val="restart"/>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vMerge w:val="restart"/>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Variance</w:t>
            </w: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60" w:type="dxa"/>
            <w:vAlign w:val="bottom"/>
            <w:gridSpan w:val="4"/>
          </w:tcPr>
          <w:p>
            <w:pPr>
              <w:jc w:val="right"/>
              <w:ind w:right="99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operations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164.9</w:t>
            </w:r>
          </w:p>
        </w:tc>
        <w:tc>
          <w:tcPr>
            <w:tcW w:w="40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center"/>
              <w:ind w:left="622"/>
              <w:spacing w:after="0"/>
              <w:rPr>
                <w:sz w:val="20"/>
                <w:szCs w:val="20"/>
                <w:color w:val="auto"/>
              </w:rPr>
            </w:pPr>
            <w:r>
              <w:rPr>
                <w:rFonts w:ascii="Times New Roman" w:cs="Times New Roman" w:eastAsia="Times New Roman" w:hAnsi="Times New Roman"/>
                <w:sz w:val="18"/>
                <w:szCs w:val="18"/>
                <w:color w:val="auto"/>
                <w:w w:val="97"/>
              </w:rPr>
              <w:t>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494.4</w:t>
            </w:r>
          </w:p>
        </w:tc>
        <w:tc>
          <w:tcPr>
            <w:tcW w:w="38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Rental operations</w:t>
            </w:r>
          </w:p>
        </w:tc>
        <w:tc>
          <w:tcPr>
            <w:tcW w:w="14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center"/>
              <w:ind w:left="582"/>
              <w:spacing w:after="0"/>
              <w:rPr>
                <w:sz w:val="20"/>
                <w:szCs w:val="20"/>
                <w:color w:val="auto"/>
              </w:rPr>
            </w:pPr>
            <w:r>
              <w:rPr>
                <w:rFonts w:ascii="Times New Roman" w:cs="Times New Roman" w:eastAsia="Times New Roman" w:hAnsi="Times New Roman"/>
                <w:sz w:val="18"/>
                <w:szCs w:val="18"/>
                <w:color w:val="auto"/>
                <w:w w:val="98"/>
              </w:rPr>
              <w:t>(2.1)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restaurant operations</w:t>
            </w: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622"/>
              <w:spacing w:after="0"/>
              <w:rPr>
                <w:sz w:val="20"/>
                <w:szCs w:val="20"/>
                <w:color w:val="auto"/>
              </w:rPr>
            </w:pPr>
            <w:r>
              <w:rPr>
                <w:rFonts w:ascii="Times New Roman" w:cs="Times New Roman" w:eastAsia="Times New Roman" w:hAnsi="Times New Roman"/>
                <w:sz w:val="18"/>
                <w:szCs w:val="18"/>
                <w:color w:val="auto"/>
                <w:w w:val="97"/>
              </w:rPr>
              <w:t>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30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Financing operations</w:t>
            </w: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582"/>
              <w:spacing w:after="0"/>
              <w:rPr>
                <w:sz w:val="20"/>
                <w:szCs w:val="20"/>
                <w:color w:val="auto"/>
              </w:rPr>
            </w:pPr>
            <w:r>
              <w:rPr>
                <w:rFonts w:ascii="Times New Roman" w:cs="Times New Roman" w:eastAsia="Times New Roman" w:hAnsi="Times New Roman"/>
                <w:sz w:val="18"/>
                <w:szCs w:val="18"/>
                <w:color w:val="auto"/>
                <w:w w:val="98"/>
              </w:rPr>
              <w:t>(0.2)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30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233.2</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center"/>
              <w:ind w:left="622"/>
              <w:spacing w:after="0"/>
              <w:rPr>
                <w:sz w:val="20"/>
                <w:szCs w:val="20"/>
                <w:color w:val="auto"/>
              </w:rPr>
            </w:pPr>
            <w:r>
              <w:rPr>
                <w:rFonts w:ascii="Times New Roman" w:cs="Times New Roman" w:eastAsia="Times New Roman" w:hAnsi="Times New Roman"/>
                <w:sz w:val="18"/>
                <w:szCs w:val="18"/>
                <w:color w:val="auto"/>
                <w:w w:val="97"/>
              </w:rPr>
              <w:t>4.5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701.4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30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Change vs. prior period</w:t>
            </w: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2.0 %</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5.2 %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6" w:lineRule="exact"/>
        <w:rPr>
          <w:sz w:val="20"/>
          <w:szCs w:val="20"/>
          <w:color w:val="auto"/>
        </w:rPr>
      </w:pPr>
    </w:p>
    <w:p>
      <w:pPr>
        <w:ind w:right="60" w:firstLine="318"/>
        <w:spacing w:after="0" w:line="251" w:lineRule="auto"/>
        <w:rPr>
          <w:sz w:val="20"/>
          <w:szCs w:val="20"/>
          <w:color w:val="auto"/>
        </w:rPr>
      </w:pPr>
      <w:r>
        <w:rPr>
          <w:rFonts w:ascii="Times New Roman" w:cs="Times New Roman" w:eastAsia="Times New Roman" w:hAnsi="Times New Roman"/>
          <w:sz w:val="18"/>
          <w:szCs w:val="18"/>
          <w:color w:val="auto"/>
        </w:rPr>
        <w:t>Total revenue for the nine months ended September 30, 2022 increased compared with the same period of the prior year partially due to increases in average check. As discussed under “</w:t>
      </w:r>
      <w:r>
        <w:rPr>
          <w:rFonts w:ascii="Times New Roman" w:cs="Times New Roman" w:eastAsia="Times New Roman" w:hAnsi="Times New Roman"/>
          <w:sz w:val="18"/>
          <w:szCs w:val="18"/>
          <w:i w:val="1"/>
          <w:iCs w:val="1"/>
          <w:color w:val="auto"/>
        </w:rPr>
        <w:t>Events Impacting the Comparability of Financial Information</w:t>
      </w:r>
      <w:r>
        <w:rPr>
          <w:rFonts w:ascii="Times New Roman" w:cs="Times New Roman" w:eastAsia="Times New Roman" w:hAnsi="Times New Roman"/>
          <w:sz w:val="18"/>
          <w:szCs w:val="18"/>
          <w:color w:val="auto"/>
        </w:rPr>
        <w:t>,” during the 2022 period, many governmental authorities relaxed or eliminated restrictions on restaurant operations that had been in place during the 2021 period in response to declines in the number of COVID-19 infections, the availability of vaccines and an increase of the number of vaccinated individuals within their respective jurisdictions. This had a favorable impact on same-restaurant sales and customer traffic in our franchise and company restaurant operations as well as a favorable impact on rental revenue based on a percentage of franchisees' retail sales.</w:t>
      </w:r>
    </w:p>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0" w:type="dxa"/>
            <w:vAlign w:val="bottom"/>
          </w:tcPr>
          <w:p>
            <w:pPr>
              <w:spacing w:after="0"/>
              <w:rPr>
                <w:sz w:val="18"/>
                <w:szCs w:val="18"/>
                <w:color w:val="auto"/>
              </w:rPr>
            </w:pPr>
          </w:p>
        </w:tc>
        <w:tc>
          <w:tcPr>
            <w:tcW w:w="270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60" w:type="dxa"/>
            <w:vAlign w:val="bottom"/>
          </w:tcPr>
          <w:p>
            <w:pPr>
              <w:spacing w:after="0"/>
              <w:rPr>
                <w:sz w:val="18"/>
                <w:szCs w:val="18"/>
                <w:color w:val="auto"/>
              </w:rPr>
            </w:pPr>
          </w:p>
        </w:tc>
        <w:tc>
          <w:tcPr>
            <w:tcW w:w="12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Favorable</w:t>
            </w:r>
          </w:p>
        </w:tc>
        <w:tc>
          <w:tcPr>
            <w:tcW w:w="2680" w:type="dxa"/>
            <w:vAlign w:val="bottom"/>
            <w:gridSpan w:val="6"/>
          </w:tcPr>
          <w:p>
            <w:pPr>
              <w:ind w:left="1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40" w:type="dxa"/>
            <w:vAlign w:val="bottom"/>
          </w:tcPr>
          <w:p>
            <w:pPr>
              <w:spacing w:after="0"/>
              <w:rPr>
                <w:sz w:val="18"/>
                <w:szCs w:val="18"/>
                <w:color w:val="auto"/>
              </w:rPr>
            </w:pPr>
          </w:p>
        </w:tc>
        <w:tc>
          <w:tcPr>
            <w:tcW w:w="108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vMerge w:val="restart"/>
          </w:tcPr>
          <w:p>
            <w:pPr>
              <w:jc w:val="center"/>
              <w:ind w:right="300"/>
              <w:spacing w:after="0" w:line="80" w:lineRule="exact"/>
              <w:rPr>
                <w:sz w:val="20"/>
                <w:szCs w:val="20"/>
                <w:color w:val="auto"/>
              </w:rPr>
            </w:pPr>
            <w:r>
              <w:rPr>
                <w:rFonts w:ascii="Times New Roman" w:cs="Times New Roman" w:eastAsia="Times New Roman" w:hAnsi="Times New Roman"/>
                <w:sz w:val="9"/>
                <w:szCs w:val="9"/>
                <w:b w:val="1"/>
                <w:bCs w:val="1"/>
                <w:color w:val="auto"/>
              </w:rPr>
              <w:t>(Unfavorable)</w:t>
            </w: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vMerge w:val="restart"/>
          </w:tcPr>
          <w:p>
            <w:pPr>
              <w:jc w:val="center"/>
              <w:ind w:right="61"/>
              <w:spacing w:after="0" w:line="80" w:lineRule="exact"/>
              <w:rPr>
                <w:sz w:val="20"/>
                <w:szCs w:val="20"/>
                <w:color w:val="auto"/>
              </w:rPr>
            </w:pPr>
            <w:r>
              <w:rPr>
                <w:rFonts w:ascii="Times New Roman" w:cs="Times New Roman" w:eastAsia="Times New Roman" w:hAnsi="Times New Roman"/>
                <w:sz w:val="9"/>
                <w:szCs w:val="9"/>
                <w:b w:val="1"/>
                <w:bCs w:val="1"/>
                <w:color w:val="auto"/>
              </w:rPr>
              <w:t>(Unfavorable)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vMerge w:val="restart"/>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vMerge w:val="restart"/>
          </w:tcPr>
          <w:p>
            <w:pPr>
              <w:jc w:val="right"/>
              <w:ind w:right="37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vMerge w:val="restart"/>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vMerge w:val="restart"/>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Variance</w:t>
            </w: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80" w:type="dxa"/>
            <w:vAlign w:val="bottom"/>
            <w:gridSpan w:val="3"/>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Franchise operations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84.6</w:t>
            </w:r>
          </w:p>
        </w:tc>
        <w:tc>
          <w:tcPr>
            <w:tcW w:w="38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center"/>
              <w:ind w:left="602"/>
              <w:spacing w:after="0"/>
              <w:rPr>
                <w:sz w:val="20"/>
                <w:szCs w:val="20"/>
                <w:color w:val="auto"/>
              </w:rPr>
            </w:pPr>
            <w:r>
              <w:rPr>
                <w:rFonts w:ascii="Times New Roman" w:cs="Times New Roman" w:eastAsia="Times New Roman" w:hAnsi="Times New Roman"/>
                <w:sz w:val="18"/>
                <w:szCs w:val="18"/>
                <w:color w:val="auto"/>
                <w:w w:val="98"/>
              </w:rPr>
              <w:t>(0.9)</w:t>
            </w: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253.8</w:t>
            </w:r>
          </w:p>
        </w:tc>
        <w:tc>
          <w:tcPr>
            <w:tcW w:w="38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center"/>
              <w:ind w:left="661"/>
              <w:spacing w:after="0"/>
              <w:rPr>
                <w:sz w:val="20"/>
                <w:szCs w:val="20"/>
                <w:color w:val="auto"/>
              </w:rPr>
            </w:pPr>
            <w:r>
              <w:rPr>
                <w:rFonts w:ascii="Times New Roman" w:cs="Times New Roman" w:eastAsia="Times New Roman" w:hAnsi="Times New Roman"/>
                <w:sz w:val="18"/>
                <w:szCs w:val="18"/>
                <w:color w:val="auto"/>
                <w:w w:val="97"/>
              </w:rPr>
              <w:t>4.6</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Rental operations</w:t>
            </w:r>
          </w:p>
        </w:tc>
        <w:tc>
          <w:tcPr>
            <w:tcW w:w="120" w:type="dxa"/>
            <w:vAlign w:val="bottom"/>
          </w:tcPr>
          <w:p>
            <w:pPr>
              <w:spacing w:after="0"/>
              <w:rPr>
                <w:sz w:val="19"/>
                <w:szCs w:val="19"/>
                <w:color w:val="auto"/>
              </w:rPr>
            </w:pPr>
          </w:p>
        </w:tc>
        <w:tc>
          <w:tcPr>
            <w:tcW w:w="12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center"/>
              <w:ind w:left="642"/>
              <w:spacing w:after="0"/>
              <w:rPr>
                <w:sz w:val="20"/>
                <w:szCs w:val="20"/>
                <w:color w:val="auto"/>
              </w:rPr>
            </w:pPr>
            <w:r>
              <w:rPr>
                <w:rFonts w:ascii="Times New Roman" w:cs="Times New Roman" w:eastAsia="Times New Roman" w:hAnsi="Times New Roman"/>
                <w:sz w:val="18"/>
                <w:szCs w:val="18"/>
                <w:color w:val="auto"/>
                <w:w w:val="97"/>
              </w:rPr>
              <w:t>0.4</w:t>
            </w: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2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center"/>
              <w:ind w:left="661"/>
              <w:spacing w:after="0"/>
              <w:rPr>
                <w:sz w:val="20"/>
                <w:szCs w:val="20"/>
                <w:color w:val="auto"/>
              </w:rPr>
            </w:pPr>
            <w:r>
              <w:rPr>
                <w:rFonts w:ascii="Times New Roman" w:cs="Times New Roman" w:eastAsia="Times New Roman" w:hAnsi="Times New Roman"/>
                <w:sz w:val="18"/>
                <w:szCs w:val="18"/>
                <w:color w:val="auto"/>
                <w:w w:val="97"/>
              </w:rPr>
              <w:t>2.3</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3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restaurant operations</w:t>
            </w:r>
          </w:p>
        </w:tc>
        <w:tc>
          <w:tcPr>
            <w:tcW w:w="120" w:type="dxa"/>
            <w:vAlign w:val="bottom"/>
            <w:shd w:val="clear" w:color="auto" w:fill="CCEEFF"/>
          </w:tcPr>
          <w:p>
            <w:pPr>
              <w:spacing w:after="0"/>
              <w:rPr>
                <w:sz w:val="19"/>
                <w:szCs w:val="19"/>
                <w:color w:val="auto"/>
              </w:rPr>
            </w:pPr>
          </w:p>
        </w:tc>
        <w:tc>
          <w:tcPr>
            <w:tcW w:w="12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center"/>
              <w:ind w:left="642"/>
              <w:spacing w:after="0"/>
              <w:rPr>
                <w:sz w:val="20"/>
                <w:szCs w:val="20"/>
                <w:color w:val="auto"/>
              </w:rPr>
            </w:pPr>
            <w:r>
              <w:rPr>
                <w:rFonts w:ascii="Times New Roman" w:cs="Times New Roman" w:eastAsia="Times New Roman" w:hAnsi="Times New Roman"/>
                <w:sz w:val="18"/>
                <w:szCs w:val="18"/>
                <w:color w:val="auto"/>
                <w:w w:val="97"/>
              </w:rPr>
              <w:t>0.3</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621"/>
              <w:spacing w:after="0"/>
              <w:rPr>
                <w:sz w:val="20"/>
                <w:szCs w:val="20"/>
                <w:color w:val="auto"/>
              </w:rPr>
            </w:pPr>
            <w:r>
              <w:rPr>
                <w:rFonts w:ascii="Times New Roman" w:cs="Times New Roman" w:eastAsia="Times New Roman" w:hAnsi="Times New Roman"/>
                <w:sz w:val="18"/>
                <w:szCs w:val="18"/>
                <w:color w:val="auto"/>
                <w:w w:val="98"/>
              </w:rPr>
              <w:t>(2.5)</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31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Financing operations</w:t>
            </w: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left="602"/>
              <w:spacing w:after="0"/>
              <w:rPr>
                <w:sz w:val="20"/>
                <w:szCs w:val="20"/>
                <w:color w:val="auto"/>
              </w:rPr>
            </w:pPr>
            <w:r>
              <w:rPr>
                <w:rFonts w:ascii="Times New Roman" w:cs="Times New Roman" w:eastAsia="Times New Roman" w:hAnsi="Times New Roman"/>
                <w:sz w:val="18"/>
                <w:szCs w:val="18"/>
                <w:color w:val="auto"/>
                <w:w w:val="98"/>
              </w:rPr>
              <w:t>(0.1)</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621"/>
              <w:spacing w:after="0"/>
              <w:rPr>
                <w:sz w:val="20"/>
                <w:szCs w:val="20"/>
                <w:color w:val="auto"/>
              </w:rPr>
            </w:pPr>
            <w:r>
              <w:rPr>
                <w:rFonts w:ascii="Times New Roman" w:cs="Times New Roman" w:eastAsia="Times New Roman" w:hAnsi="Times New Roman"/>
                <w:sz w:val="18"/>
                <w:szCs w:val="18"/>
                <w:color w:val="auto"/>
                <w:w w:val="98"/>
              </w:rPr>
              <w:t>(0.4)</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3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gross profit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94.3</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94.6</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center"/>
              <w:ind w:left="602"/>
              <w:spacing w:after="0"/>
              <w:rPr>
                <w:sz w:val="20"/>
                <w:szCs w:val="20"/>
                <w:color w:val="auto"/>
              </w:rPr>
            </w:pPr>
            <w:r>
              <w:rPr>
                <w:rFonts w:ascii="Times New Roman" w:cs="Times New Roman" w:eastAsia="Times New Roman" w:hAnsi="Times New Roman"/>
                <w:sz w:val="18"/>
                <w:szCs w:val="18"/>
                <w:color w:val="auto"/>
                <w:w w:val="98"/>
              </w:rPr>
              <w:t>(0.3)</w:t>
            </w:r>
          </w:p>
        </w:tc>
        <w:tc>
          <w:tcPr>
            <w:tcW w:w="1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5"/>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282.8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278.8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center"/>
              <w:ind w:left="661"/>
              <w:spacing w:after="0"/>
              <w:rPr>
                <w:sz w:val="20"/>
                <w:szCs w:val="20"/>
                <w:color w:val="auto"/>
              </w:rPr>
            </w:pPr>
            <w:r>
              <w:rPr>
                <w:rFonts w:ascii="Times New Roman" w:cs="Times New Roman" w:eastAsia="Times New Roman" w:hAnsi="Times New Roman"/>
                <w:sz w:val="18"/>
                <w:szCs w:val="18"/>
                <w:color w:val="auto"/>
                <w:w w:val="97"/>
              </w:rPr>
              <w:t>4.0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31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Change vs. prior period</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140" w:firstLine="318"/>
        <w:spacing w:after="0" w:line="243" w:lineRule="auto"/>
        <w:rPr>
          <w:sz w:val="20"/>
          <w:szCs w:val="20"/>
          <w:color w:val="auto"/>
        </w:rPr>
      </w:pPr>
      <w:r>
        <w:rPr>
          <w:rFonts w:ascii="Times New Roman" w:cs="Times New Roman" w:eastAsia="Times New Roman" w:hAnsi="Times New Roman"/>
          <w:sz w:val="18"/>
          <w:szCs w:val="18"/>
          <w:color w:val="auto"/>
        </w:rPr>
        <w:t>Total gross profit for the three months ended September 30, 2022 decreased slightly compared with the same period of the prior year, primarily due to lower bad debt recovery, offset by increased franchise revenue from higher sales, partially offset by increased gross profit from rental operations and company restaurant operations..</w:t>
      </w:r>
    </w:p>
    <w:p>
      <w:pPr>
        <w:ind w:right="100" w:firstLine="318"/>
        <w:spacing w:after="0" w:line="248" w:lineRule="auto"/>
        <w:rPr>
          <w:sz w:val="20"/>
          <w:szCs w:val="20"/>
          <w:color w:val="auto"/>
        </w:rPr>
      </w:pPr>
      <w:r>
        <w:rPr>
          <w:rFonts w:ascii="Times New Roman" w:cs="Times New Roman" w:eastAsia="Times New Roman" w:hAnsi="Times New Roman"/>
          <w:sz w:val="18"/>
          <w:szCs w:val="18"/>
          <w:color w:val="auto"/>
        </w:rPr>
        <w:t>Total gross profit for the nine months ended September 30, 2022 increased compared with the same period of the prior year, primarily due to the increased revenue from franchise and rental operations primarily from higher sales, partially offset by higher costs of food, beverage and labor in company restaurant operations.</w:t>
      </w:r>
    </w:p>
    <w:p>
      <w:pPr>
        <w:spacing w:after="0" w:line="286"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4"/>
          </w:tcPr>
          <w:p>
            <w:pPr>
              <w:jc w:val="right"/>
              <w:ind w:right="31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228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0" w:type="dxa"/>
            <w:vAlign w:val="bottom"/>
            <w:gridSpan w:val="4"/>
          </w:tcPr>
          <w:p>
            <w:pPr>
              <w:jc w:val="right"/>
              <w:ind w:right="552"/>
              <w:spacing w:after="0" w:line="159"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1180" w:type="dxa"/>
            <w:vAlign w:val="bottom"/>
            <w:gridSpan w:val="3"/>
          </w:tcPr>
          <w:p>
            <w:pPr>
              <w:jc w:val="right"/>
              <w:ind w:right="112"/>
              <w:spacing w:after="0" w:line="159" w:lineRule="exact"/>
              <w:rPr>
                <w:sz w:val="20"/>
                <w:szCs w:val="20"/>
                <w:color w:val="auto"/>
              </w:rPr>
            </w:pPr>
            <w:r>
              <w:rPr>
                <w:rFonts w:ascii="Times New Roman" w:cs="Times New Roman" w:eastAsia="Times New Roman" w:hAnsi="Times New Roman"/>
                <w:sz w:val="16"/>
                <w:szCs w:val="16"/>
                <w:b w:val="1"/>
                <w:bCs w:val="1"/>
                <w:color w:val="auto"/>
              </w:rPr>
              <w:t>30,</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4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Franchise Operations</w:t>
            </w: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20" w:type="dxa"/>
            <w:vAlign w:val="bottom"/>
            <w:gridSpan w:val="2"/>
            <w:vMerge w:val="restart"/>
          </w:tcPr>
          <w:p>
            <w:pPr>
              <w:jc w:val="center"/>
              <w:ind w:right="220"/>
              <w:spacing w:after="0" w:line="108" w:lineRule="exact"/>
              <w:rPr>
                <w:sz w:val="20"/>
                <w:szCs w:val="20"/>
                <w:color w:val="auto"/>
              </w:rPr>
            </w:pPr>
            <w:r>
              <w:rPr>
                <w:rFonts w:ascii="Times New Roman" w:cs="Times New Roman" w:eastAsia="Times New Roman" w:hAnsi="Times New Roman"/>
                <w:sz w:val="12"/>
                <w:szCs w:val="12"/>
                <w:b w:val="1"/>
                <w:bCs w:val="1"/>
                <w:color w:val="auto"/>
              </w:rPr>
              <w:t>(Unfavorable)</w:t>
            </w:r>
          </w:p>
        </w:tc>
        <w:tc>
          <w:tcPr>
            <w:tcW w:w="26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0" w:type="dxa"/>
            <w:vAlign w:val="bottom"/>
            <w:vMerge w:val="restart"/>
          </w:tcPr>
          <w:p>
            <w:pPr>
              <w:jc w:val="right"/>
              <w:spacing w:after="0" w:line="108" w:lineRule="exact"/>
              <w:rPr>
                <w:sz w:val="20"/>
                <w:szCs w:val="20"/>
                <w:color w:val="auto"/>
              </w:rPr>
            </w:pPr>
            <w:r>
              <w:rPr>
                <w:rFonts w:ascii="Times New Roman" w:cs="Times New Roman" w:eastAsia="Times New Roman" w:hAnsi="Times New Roman"/>
                <w:sz w:val="12"/>
                <w:szCs w:val="12"/>
                <w:b w:val="1"/>
                <w:bCs w:val="1"/>
                <w:color w:val="auto"/>
              </w:rPr>
              <w:t>(Unfavorable</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412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vMerge w:val="restart"/>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vMerge w:val="restart"/>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2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840" w:type="dxa"/>
            <w:vAlign w:val="bottom"/>
            <w:vMerge w:val="restart"/>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vMerge w:val="restart"/>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tcPr>
          <w:p>
            <w:pPr>
              <w:spacing w:after="0"/>
              <w:rPr>
                <w:sz w:val="14"/>
                <w:szCs w:val="14"/>
                <w:color w:val="auto"/>
              </w:rPr>
            </w:pPr>
          </w:p>
        </w:tc>
        <w:tc>
          <w:tcPr>
            <w:tcW w:w="41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26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Borders>
              <w:top w:val="single" w:sz="8" w:color="auto"/>
            </w:tcBorders>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780" w:type="dxa"/>
            <w:vAlign w:val="bottom"/>
            <w:gridSpan w:val="8"/>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(In millions, except number of restaurants)</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Franchise Restaurants:</w:t>
            </w:r>
            <w:r>
              <w:rPr>
                <w:rFonts w:ascii="Times New Roman" w:cs="Times New Roman" w:eastAsia="Times New Roman" w:hAnsi="Times New Roman"/>
                <w:sz w:val="10"/>
                <w:szCs w:val="10"/>
                <w:color w:val="auto"/>
              </w:rPr>
              <w:t>(1)</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2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Applebee’s</w:t>
            </w: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1,619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1,604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1,623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4120" w:type="dxa"/>
            <w:vAlign w:val="bottom"/>
            <w:tcBorders>
              <w:top w:val="single" w:sz="8" w:color="CCEEFF"/>
              <w:bottom w:val="single" w:sz="8" w:color="CCEEFF"/>
            </w:tcBorders>
            <w:gridSpan w:val="2"/>
            <w:vMerge w:val="restart"/>
          </w:tcPr>
          <w:p>
            <w:pPr>
              <w:ind w:left="240"/>
              <w:spacing w:after="0"/>
              <w:rPr>
                <w:sz w:val="20"/>
                <w:szCs w:val="20"/>
                <w:color w:val="auto"/>
              </w:rPr>
            </w:pPr>
            <w:r>
              <w:rPr>
                <w:rFonts w:ascii="Times New Roman" w:cs="Times New Roman" w:eastAsia="Times New Roman" w:hAnsi="Times New Roman"/>
                <w:sz w:val="18"/>
                <w:szCs w:val="18"/>
                <w:color w:val="auto"/>
              </w:rPr>
              <w:t>IHOP</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continue"/>
          </w:tcPr>
          <w:p>
            <w:pPr>
              <w:spacing w:after="0"/>
              <w:rPr>
                <w:sz w:val="17"/>
                <w:szCs w:val="17"/>
                <w:color w:val="auto"/>
              </w:rPr>
            </w:pPr>
          </w:p>
        </w:tc>
        <w:tc>
          <w:tcPr>
            <w:tcW w:w="4120" w:type="dxa"/>
            <w:vAlign w:val="bottom"/>
            <w:gridSpan w:val="2"/>
            <w:vMerge w:val="continue"/>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33"/>
              <w:spacing w:after="0" w:line="198" w:lineRule="exact"/>
              <w:rPr>
                <w:sz w:val="20"/>
                <w:szCs w:val="20"/>
                <w:color w:val="auto"/>
              </w:rPr>
            </w:pPr>
            <w:r>
              <w:rPr>
                <w:rFonts w:ascii="Times New Roman" w:cs="Times New Roman" w:eastAsia="Times New Roman" w:hAnsi="Times New Roman"/>
                <w:sz w:val="18"/>
                <w:szCs w:val="18"/>
                <w:color w:val="auto"/>
              </w:rPr>
              <w:t>1,759</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32"/>
              <w:spacing w:after="0" w:line="198" w:lineRule="exact"/>
              <w:rPr>
                <w:sz w:val="20"/>
                <w:szCs w:val="20"/>
                <w:color w:val="auto"/>
              </w:rPr>
            </w:pPr>
            <w:r>
              <w:rPr>
                <w:rFonts w:ascii="Times New Roman" w:cs="Times New Roman" w:eastAsia="Times New Roman" w:hAnsi="Times New Roman"/>
                <w:sz w:val="18"/>
                <w:szCs w:val="18"/>
                <w:color w:val="auto"/>
              </w:rPr>
              <w:t>1,729</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33"/>
              <w:spacing w:after="0" w:line="198" w:lineRule="exact"/>
              <w:rPr>
                <w:sz w:val="20"/>
                <w:szCs w:val="20"/>
                <w:color w:val="auto"/>
              </w:rPr>
            </w:pPr>
            <w:r>
              <w:rPr>
                <w:rFonts w:ascii="Times New Roman" w:cs="Times New Roman" w:eastAsia="Times New Roman" w:hAnsi="Times New Roman"/>
                <w:sz w:val="18"/>
                <w:szCs w:val="18"/>
                <w:color w:val="auto"/>
              </w:rPr>
              <w:t>1,750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132"/>
              <w:spacing w:after="0" w:line="198" w:lineRule="exact"/>
              <w:rPr>
                <w:sz w:val="20"/>
                <w:szCs w:val="20"/>
                <w:color w:val="auto"/>
              </w:rPr>
            </w:pPr>
            <w:r>
              <w:rPr>
                <w:rFonts w:ascii="Times New Roman" w:cs="Times New Roman" w:eastAsia="Times New Roman" w:hAnsi="Times New Roman"/>
                <w:sz w:val="18"/>
                <w:szCs w:val="18"/>
                <w:color w:val="auto"/>
              </w:rPr>
              <w:t>1,724</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Franchise Revenues:</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20" w:type="dxa"/>
            <w:vAlign w:val="bottom"/>
          </w:tcPr>
          <w:p>
            <w:pPr>
              <w:spacing w:after="0"/>
              <w:rPr>
                <w:sz w:val="21"/>
                <w:szCs w:val="21"/>
                <w:color w:val="auto"/>
              </w:rPr>
            </w:pPr>
          </w:p>
        </w:tc>
        <w:tc>
          <w:tcPr>
            <w:tcW w:w="4120" w:type="dxa"/>
            <w:vAlign w:val="bottom"/>
            <w:gridSpan w:val="2"/>
            <w:vMerge w:val="continue"/>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1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Applebee’s franchise fees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43.6</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131.1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126.1</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IHOP franchise fees</w:t>
            </w:r>
          </w:p>
        </w:tc>
        <w:tc>
          <w:tcPr>
            <w:tcW w:w="240" w:type="dxa"/>
            <w:vAlign w:val="bottom"/>
          </w:tcPr>
          <w:p>
            <w:pPr>
              <w:spacing w:after="0"/>
              <w:rPr>
                <w:sz w:val="19"/>
                <w:szCs w:val="19"/>
                <w:color w:val="auto"/>
              </w:rPr>
            </w:pPr>
          </w:p>
        </w:tc>
        <w:tc>
          <w:tcPr>
            <w:tcW w:w="8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50.1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146.6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139.1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1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Advertising fees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203.9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franchise revenues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164.9</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161.2</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494.4</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469.1</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Franchise Expenses:</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1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Applebee’s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1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IHOP</w:t>
            </w:r>
          </w:p>
        </w:tc>
        <w:tc>
          <w:tcPr>
            <w:tcW w:w="240" w:type="dxa"/>
            <w:vAlign w:val="bottom"/>
          </w:tcPr>
          <w:p>
            <w:pPr>
              <w:spacing w:after="0"/>
              <w:rPr>
                <w:sz w:val="19"/>
                <w:szCs w:val="19"/>
                <w:color w:val="auto"/>
              </w:rPr>
            </w:pPr>
          </w:p>
        </w:tc>
        <w:tc>
          <w:tcPr>
            <w:tcW w:w="8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21.4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1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Advertising expenses</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203.9</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franchise expenses</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240.6</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219.9</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20" w:type="dxa"/>
            <w:vAlign w:val="bottom"/>
            <w:gridSpan w:val="2"/>
          </w:tcPr>
          <w:p>
            <w:pPr>
              <w:spacing w:after="0" w:line="205" w:lineRule="exact"/>
              <w:rPr>
                <w:sz w:val="20"/>
                <w:szCs w:val="20"/>
                <w:color w:val="auto"/>
              </w:rPr>
            </w:pPr>
            <w:r>
              <w:rPr>
                <w:rFonts w:ascii="Times New Roman" w:cs="Times New Roman" w:eastAsia="Times New Roman" w:hAnsi="Times New Roman"/>
                <w:sz w:val="18"/>
                <w:szCs w:val="18"/>
                <w:color w:val="auto"/>
              </w:rPr>
              <w:t>Franchise Gross Profit:</w:t>
            </w: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41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Applebee’s</w:t>
            </w: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128.6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412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IHOP</w:t>
            </w: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42.5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125.3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125.3</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shd w:val="clear" w:color="auto" w:fill="CCEEFF"/>
          </w:tcPr>
          <w:p>
            <w:pPr>
              <w:spacing w:after="0"/>
              <w:rPr>
                <w:sz w:val="20"/>
                <w:szCs w:val="20"/>
                <w:color w:val="auto"/>
              </w:rPr>
            </w:pPr>
          </w:p>
        </w:tc>
        <w:tc>
          <w:tcPr>
            <w:tcW w:w="41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franchise gross profit</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85.5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253.8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249.2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4120" w:type="dxa"/>
            <w:vAlign w:val="bottom"/>
            <w:gridSpan w:val="2"/>
          </w:tcPr>
          <w:p>
            <w:pPr>
              <w:spacing w:after="0" w:line="199" w:lineRule="exact"/>
              <w:rPr>
                <w:sz w:val="20"/>
                <w:szCs w:val="20"/>
                <w:color w:val="auto"/>
              </w:rPr>
            </w:pPr>
            <w:r>
              <w:rPr>
                <w:rFonts w:ascii="Times New Roman" w:cs="Times New Roman" w:eastAsia="Times New Roman" w:hAnsi="Times New Roman"/>
                <w:sz w:val="18"/>
                <w:szCs w:val="18"/>
                <w:color w:val="auto"/>
              </w:rPr>
              <w:t xml:space="preserve">Gross profit as % of franchise revenue </w:t>
            </w:r>
            <w:r>
              <w:rPr>
                <w:rFonts w:ascii="Times New Roman" w:cs="Times New Roman" w:eastAsia="Times New Roman" w:hAnsi="Times New Roman"/>
                <w:sz w:val="22"/>
                <w:szCs w:val="22"/>
                <w:color w:val="auto"/>
                <w:vertAlign w:val="superscript"/>
              </w:rPr>
              <w:t>(2)</w:t>
            </w: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51.3 %</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53.0 %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51.3 %</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53.1 %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0" w:type="dxa"/>
            <w:vAlign w:val="bottom"/>
          </w:tcPr>
          <w:p>
            <w:pPr>
              <w:spacing w:after="0"/>
              <w:rPr>
                <w:sz w:val="18"/>
                <w:szCs w:val="18"/>
                <w:color w:val="auto"/>
              </w:rPr>
            </w:pPr>
          </w:p>
        </w:tc>
        <w:tc>
          <w:tcPr>
            <w:tcW w:w="4120" w:type="dxa"/>
            <w:vAlign w:val="bottom"/>
            <w:gridSpan w:val="2"/>
          </w:tcPr>
          <w:p>
            <w:pPr>
              <w:spacing w:after="0" w:line="219" w:lineRule="exact"/>
              <w:rPr>
                <w:sz w:val="20"/>
                <w:szCs w:val="20"/>
                <w:color w:val="auto"/>
              </w:rPr>
            </w:pPr>
            <w:r>
              <w:rPr>
                <w:rFonts w:ascii="Times New Roman" w:cs="Times New Roman" w:eastAsia="Times New Roman" w:hAnsi="Times New Roman"/>
                <w:sz w:val="18"/>
                <w:szCs w:val="18"/>
                <w:color w:val="auto"/>
              </w:rPr>
              <w:t xml:space="preserve">Gross profit as % of franchise fees </w:t>
            </w:r>
            <w:r>
              <w:rPr>
                <w:rFonts w:ascii="Times New Roman" w:cs="Times New Roman" w:eastAsia="Times New Roman" w:hAnsi="Times New Roman"/>
                <w:sz w:val="22"/>
                <w:szCs w:val="22"/>
                <w:color w:val="auto"/>
                <w:vertAlign w:val="superscript"/>
              </w:rPr>
              <w:t>(2)(3)</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90.8 %</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94.5 %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91.4 %</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94.0 %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_____________________________________________________</w:t>
      </w:r>
    </w:p>
    <w:p>
      <w:pPr>
        <w:spacing w:after="0" w:line="17" w:lineRule="exact"/>
        <w:rPr>
          <w:sz w:val="20"/>
          <w:szCs w:val="20"/>
          <w:color w:val="auto"/>
        </w:rPr>
      </w:pPr>
    </w:p>
    <w:p>
      <w:pPr>
        <w:ind w:left="160" w:right="220" w:hanging="154"/>
        <w:spacing w:after="0" w:line="253" w:lineRule="auto"/>
        <w:tabs>
          <w:tab w:leader="none" w:pos="131" w:val="left"/>
        </w:tabs>
        <w:numPr>
          <w:ilvl w:val="0"/>
          <w:numId w:val="18"/>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Effective Franchise Restaurants are the weighted average number of franchise and area license restaurants open in each fiscal period, adjusted to account for restaurants open for only a portion of the period.</w:t>
      </w:r>
    </w:p>
    <w:p>
      <w:pPr>
        <w:ind w:left="140" w:hanging="134"/>
        <w:spacing w:after="0" w:line="211" w:lineRule="auto"/>
        <w:tabs>
          <w:tab w:leader="none" w:pos="140" w:val="left"/>
        </w:tabs>
        <w:numPr>
          <w:ilvl w:val="0"/>
          <w:numId w:val="1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Percentages calculated on actual amounts, not rounded amounts presented above.</w:t>
      </w:r>
    </w:p>
    <w:p>
      <w:pPr>
        <w:spacing w:after="0" w:line="4" w:lineRule="exact"/>
        <w:rPr>
          <w:rFonts w:ascii="Times New Roman" w:cs="Times New Roman" w:eastAsia="Times New Roman" w:hAnsi="Times New Roman"/>
          <w:sz w:val="17"/>
          <w:szCs w:val="17"/>
          <w:color w:val="auto"/>
          <w:vertAlign w:val="superscript"/>
        </w:rPr>
      </w:pPr>
    </w:p>
    <w:p>
      <w:pPr>
        <w:ind w:left="160" w:right="360" w:hanging="154"/>
        <w:spacing w:after="0"/>
        <w:tabs>
          <w:tab w:leader="none" w:pos="143" w:val="left"/>
        </w:tabs>
        <w:numPr>
          <w:ilvl w:val="0"/>
          <w:numId w:val="18"/>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From time to time, advertising fee revenue may be different from advertising expenses in a given accounting period. Over the long-term, advertising activity should not generate gross profit or loss.</w:t>
      </w:r>
    </w:p>
    <w:p>
      <w:pPr>
        <w:spacing w:after="0" w:line="349" w:lineRule="exact"/>
        <w:rPr>
          <w:sz w:val="20"/>
          <w:szCs w:val="20"/>
          <w:color w:val="auto"/>
        </w:rPr>
      </w:pPr>
    </w:p>
    <w:p>
      <w:pPr>
        <w:jc w:val="both"/>
        <w:ind w:right="460" w:firstLine="318"/>
        <w:spacing w:after="0" w:line="244" w:lineRule="auto"/>
        <w:rPr>
          <w:sz w:val="20"/>
          <w:szCs w:val="20"/>
          <w:color w:val="auto"/>
        </w:rPr>
      </w:pPr>
      <w:r>
        <w:rPr>
          <w:rFonts w:ascii="Times New Roman" w:cs="Times New Roman" w:eastAsia="Times New Roman" w:hAnsi="Times New Roman"/>
          <w:sz w:val="18"/>
          <w:szCs w:val="18"/>
          <w:color w:val="auto"/>
        </w:rPr>
        <w:t>Applebee’s franchise fee revenue for the three months ended September 30, 2022 decreased slightly compared with the same period of the prior year, primarily due to a decrease in the effective restaurant count offset by the favorable impact on royalties from an 3.6% increase in domestic same-restaurant sales.</w:t>
      </w:r>
    </w:p>
    <w:p>
      <w:pPr>
        <w:spacing w:after="0" w:line="203" w:lineRule="exact"/>
        <w:rPr>
          <w:sz w:val="20"/>
          <w:szCs w:val="20"/>
          <w:color w:val="auto"/>
        </w:rPr>
      </w:pPr>
    </w:p>
    <w:p>
      <w:pPr>
        <w:ind w:right="340" w:firstLine="318"/>
        <w:spacing w:after="0" w:line="244" w:lineRule="auto"/>
        <w:rPr>
          <w:sz w:val="20"/>
          <w:szCs w:val="20"/>
          <w:color w:val="auto"/>
        </w:rPr>
      </w:pPr>
      <w:r>
        <w:rPr>
          <w:rFonts w:ascii="Times New Roman" w:cs="Times New Roman" w:eastAsia="Times New Roman" w:hAnsi="Times New Roman"/>
          <w:sz w:val="18"/>
          <w:szCs w:val="18"/>
          <w:color w:val="auto"/>
        </w:rPr>
        <w:t>Applebee's franchise fee revenue for the nine months ended September 30, 2022 increased 4.0% as compared with the same period of the prior year, primarily due to the favorable impact on royalties from a 6.3% increase in domestic same-restaurant sales. Applebee's international revenues increased $1.0 million due to an improvement in sales.</w:t>
      </w:r>
    </w:p>
    <w:p>
      <w:pPr>
        <w:spacing w:after="0" w:line="203" w:lineRule="exact"/>
        <w:rPr>
          <w:sz w:val="20"/>
          <w:szCs w:val="20"/>
          <w:color w:val="auto"/>
        </w:rPr>
      </w:pPr>
    </w:p>
    <w:p>
      <w:pPr>
        <w:ind w:right="380" w:firstLine="318"/>
        <w:spacing w:after="0" w:line="258" w:lineRule="auto"/>
        <w:rPr>
          <w:sz w:val="20"/>
          <w:szCs w:val="20"/>
          <w:color w:val="auto"/>
        </w:rPr>
      </w:pPr>
      <w:r>
        <w:rPr>
          <w:rFonts w:ascii="Times New Roman" w:cs="Times New Roman" w:eastAsia="Times New Roman" w:hAnsi="Times New Roman"/>
          <w:sz w:val="18"/>
          <w:szCs w:val="18"/>
          <w:color w:val="auto"/>
        </w:rPr>
        <w:t>Applebee's franchise expenses for the three and nine months ended September 30, 2022 increased as compared with the same respective periods of the prior year, primarily due to a lower recovery of bad debt.</w:t>
      </w:r>
    </w:p>
    <w:p>
      <w:pPr>
        <w:spacing w:after="0" w:line="204" w:lineRule="exact"/>
        <w:rPr>
          <w:sz w:val="20"/>
          <w:szCs w:val="20"/>
          <w:color w:val="auto"/>
        </w:rPr>
      </w:pPr>
    </w:p>
    <w:p>
      <w:pPr>
        <w:ind w:right="160" w:firstLine="318"/>
        <w:spacing w:after="0" w:line="304" w:lineRule="auto"/>
        <w:rPr>
          <w:sz w:val="20"/>
          <w:szCs w:val="20"/>
          <w:color w:val="auto"/>
        </w:rPr>
      </w:pPr>
      <w:r>
        <w:rPr>
          <w:rFonts w:ascii="Times New Roman" w:cs="Times New Roman" w:eastAsia="Times New Roman" w:hAnsi="Times New Roman"/>
          <w:sz w:val="17"/>
          <w:szCs w:val="17"/>
          <w:color w:val="auto"/>
        </w:rPr>
        <w:t>IHOP franchise fee revenue for the three months ended September 30, 2022 increased 6.8% as compared with the same period of the prior year, primarily due to the favorable impact on royalties and pancake and waffle dry mix revenue from a 1.6% increase in domestic franchise same-restaurant sales.</w:t>
      </w:r>
    </w:p>
    <w:p>
      <w:pPr>
        <w:sectPr>
          <w:pgSz w:w="11900" w:h="16838" w:orient="portrait"/>
          <w:cols w:equalWidth="0" w:num="1">
            <w:col w:w="11340"/>
          </w:cols>
          <w:pgMar w:left="320" w:top="11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both"/>
        <w:ind w:right="200" w:firstLine="318"/>
        <w:spacing w:after="0" w:line="244" w:lineRule="auto"/>
        <w:rPr>
          <w:sz w:val="20"/>
          <w:szCs w:val="20"/>
          <w:color w:val="auto"/>
        </w:rPr>
      </w:pPr>
      <w:r>
        <w:rPr>
          <w:rFonts w:ascii="Times New Roman" w:cs="Times New Roman" w:eastAsia="Times New Roman" w:hAnsi="Times New Roman"/>
          <w:sz w:val="18"/>
          <w:szCs w:val="18"/>
          <w:color w:val="auto"/>
        </w:rPr>
        <w:t>IHOP franchise fee revenue for the nine months ended September 30, 2022 increased 5.4% as compared with the same period of the prior year, primarily due to the favorable impact on royalties and pancake and waffle dry mix revenue from a 7.2% increase in domestic same-restaurant sales, partially offset by a $2.8 million decrease in domestic termination and other franchise fees and a $1.6 million decrease in international termination fees.</w:t>
      </w:r>
    </w:p>
    <w:p>
      <w:pPr>
        <w:spacing w:after="0" w:line="203" w:lineRule="exact"/>
        <w:rPr>
          <w:sz w:val="20"/>
          <w:szCs w:val="20"/>
          <w:color w:val="auto"/>
        </w:rPr>
      </w:pPr>
    </w:p>
    <w:p>
      <w:pPr>
        <w:ind w:right="360" w:firstLine="318"/>
        <w:spacing w:after="0" w:line="244" w:lineRule="auto"/>
        <w:rPr>
          <w:sz w:val="20"/>
          <w:szCs w:val="20"/>
          <w:color w:val="auto"/>
        </w:rPr>
      </w:pPr>
      <w:r>
        <w:rPr>
          <w:rFonts w:ascii="Times New Roman" w:cs="Times New Roman" w:eastAsia="Times New Roman" w:hAnsi="Times New Roman"/>
          <w:sz w:val="18"/>
          <w:szCs w:val="18"/>
          <w:color w:val="auto"/>
        </w:rPr>
        <w:t>IHOP franchise expenses for the three and nine months ended September 30, 2022 increased as compared with the same respective periods of the prior year, primarily due to a lower recovery of bad debt expense, an increase in the cost of proprietary products (primarily pancake and waffle dry mix) and an increase in franchisor contributions to the advertising fund.</w:t>
      </w:r>
    </w:p>
    <w:p>
      <w:pPr>
        <w:spacing w:after="0" w:line="2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Advertising revenue and expense by brand for the three and nine months ended September 30, 2022 and 2021 were as follows:</w:t>
      </w:r>
    </w:p>
    <w:p>
      <w:pPr>
        <w:spacing w:after="0" w:line="118"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4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2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Three Months Ended</w:t>
            </w:r>
          </w:p>
        </w:tc>
        <w:tc>
          <w:tcPr>
            <w:tcW w:w="120" w:type="dxa"/>
            <w:vAlign w:val="bottom"/>
          </w:tcPr>
          <w:p>
            <w:pPr>
              <w:spacing w:after="0"/>
              <w:rPr>
                <w:sz w:val="16"/>
                <w:szCs w:val="16"/>
                <w:color w:val="auto"/>
              </w:rPr>
            </w:pPr>
          </w:p>
        </w:tc>
        <w:tc>
          <w:tcPr>
            <w:tcW w:w="11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Favorable</w:t>
            </w:r>
          </w:p>
        </w:tc>
        <w:tc>
          <w:tcPr>
            <w:tcW w:w="220" w:type="dxa"/>
            <w:vAlign w:val="bottom"/>
          </w:tcPr>
          <w:p>
            <w:pPr>
              <w:spacing w:after="0"/>
              <w:rPr>
                <w:sz w:val="16"/>
                <w:szCs w:val="16"/>
                <w:color w:val="auto"/>
              </w:rPr>
            </w:pPr>
          </w:p>
        </w:tc>
        <w:tc>
          <w:tcPr>
            <w:tcW w:w="194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9"/>
              </w:rPr>
              <w:t>Nine Months Ended</w:t>
            </w:r>
          </w:p>
        </w:tc>
        <w:tc>
          <w:tcPr>
            <w:tcW w:w="120" w:type="dxa"/>
            <w:vAlign w:val="bottom"/>
          </w:tcPr>
          <w:p>
            <w:pPr>
              <w:spacing w:after="0"/>
              <w:rPr>
                <w:sz w:val="16"/>
                <w:szCs w:val="16"/>
                <w:color w:val="auto"/>
              </w:rPr>
            </w:pPr>
          </w:p>
        </w:tc>
        <w:tc>
          <w:tcPr>
            <w:tcW w:w="1020" w:type="dxa"/>
            <w:vAlign w:val="bottom"/>
            <w:vMerge w:val="restart"/>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8"/>
              </w:rPr>
              <w:t>Favorable</w:t>
            </w:r>
          </w:p>
        </w:tc>
        <w:tc>
          <w:tcPr>
            <w:tcW w:w="0" w:type="dxa"/>
            <w:vAlign w:val="bottom"/>
          </w:tcPr>
          <w:p>
            <w:pPr>
              <w:spacing w:after="0"/>
              <w:rPr>
                <w:sz w:val="1"/>
                <w:szCs w:val="1"/>
                <w:color w:val="auto"/>
              </w:rPr>
            </w:pPr>
          </w:p>
        </w:tc>
      </w:tr>
      <w:tr>
        <w:trPr>
          <w:trHeight w:val="93"/>
        </w:trPr>
        <w:tc>
          <w:tcPr>
            <w:tcW w:w="4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920" w:type="dxa"/>
            <w:vAlign w:val="bottom"/>
            <w:gridSpan w:val="5"/>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20" w:type="dxa"/>
            <w:vAlign w:val="bottom"/>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940" w:type="dxa"/>
            <w:vAlign w:val="bottom"/>
            <w:gridSpan w:val="5"/>
            <w:vMerge w:val="restart"/>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9"/>
        </w:trPr>
        <w:tc>
          <w:tcPr>
            <w:tcW w:w="4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92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gridSpan w:val="2"/>
          </w:tcPr>
          <w:p>
            <w:pPr>
              <w:jc w:val="center"/>
              <w:ind w:right="220"/>
              <w:spacing w:after="0" w:line="113" w:lineRule="exact"/>
              <w:rPr>
                <w:sz w:val="20"/>
                <w:szCs w:val="20"/>
                <w:color w:val="auto"/>
              </w:rPr>
            </w:pPr>
            <w:r>
              <w:rPr>
                <w:rFonts w:ascii="Times New Roman" w:cs="Times New Roman" w:eastAsia="Times New Roman" w:hAnsi="Times New Roman"/>
                <w:sz w:val="13"/>
                <w:szCs w:val="13"/>
                <w:b w:val="1"/>
                <w:bCs w:val="1"/>
                <w:color w:val="auto"/>
              </w:rPr>
              <w:t>(Unfavorable)</w:t>
            </w:r>
          </w:p>
        </w:tc>
        <w:tc>
          <w:tcPr>
            <w:tcW w:w="220" w:type="dxa"/>
            <w:vAlign w:val="bottom"/>
          </w:tcPr>
          <w:p>
            <w:pPr>
              <w:spacing w:after="0"/>
              <w:rPr>
                <w:sz w:val="10"/>
                <w:szCs w:val="10"/>
                <w:color w:val="auto"/>
              </w:rPr>
            </w:pPr>
          </w:p>
        </w:tc>
        <w:tc>
          <w:tcPr>
            <w:tcW w:w="194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jc w:val="center"/>
              <w:ind w:right="21"/>
              <w:spacing w:after="0" w:line="113" w:lineRule="exact"/>
              <w:rPr>
                <w:sz w:val="20"/>
                <w:szCs w:val="20"/>
                <w:color w:val="auto"/>
              </w:rPr>
            </w:pPr>
            <w:r>
              <w:rPr>
                <w:rFonts w:ascii="Times New Roman" w:cs="Times New Roman" w:eastAsia="Times New Roman" w:hAnsi="Times New Roman"/>
                <w:sz w:val="13"/>
                <w:szCs w:val="13"/>
                <w:b w:val="1"/>
                <w:bCs w:val="1"/>
                <w:color w:val="auto"/>
              </w:rPr>
              <w:t>(Unfavorable)</w:t>
            </w:r>
          </w:p>
        </w:tc>
        <w:tc>
          <w:tcPr>
            <w:tcW w:w="0" w:type="dxa"/>
            <w:vAlign w:val="bottom"/>
          </w:tcPr>
          <w:p>
            <w:pPr>
              <w:spacing w:after="0"/>
              <w:rPr>
                <w:sz w:val="1"/>
                <w:szCs w:val="1"/>
                <w:color w:val="auto"/>
              </w:rPr>
            </w:pPr>
          </w:p>
        </w:tc>
      </w:tr>
      <w:tr>
        <w:trPr>
          <w:trHeight w:val="204"/>
        </w:trPr>
        <w:tc>
          <w:tcPr>
            <w:tcW w:w="434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5"/>
              </w:rPr>
              <w:t>Variance</w:t>
            </w:r>
          </w:p>
        </w:tc>
        <w:tc>
          <w:tcPr>
            <w:tcW w:w="220" w:type="dxa"/>
            <w:vAlign w:val="bottom"/>
            <w:tcBorders>
              <w:top w:val="single" w:sz="8" w:color="auto"/>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w w:val="95"/>
              </w:rPr>
              <w:t>Variance</w:t>
            </w:r>
          </w:p>
        </w:tc>
        <w:tc>
          <w:tcPr>
            <w:tcW w:w="0" w:type="dxa"/>
            <w:vAlign w:val="bottom"/>
          </w:tcPr>
          <w:p>
            <w:pPr>
              <w:spacing w:after="0"/>
              <w:rPr>
                <w:sz w:val="1"/>
                <w:szCs w:val="1"/>
                <w:color w:val="auto"/>
              </w:rPr>
            </w:pPr>
          </w:p>
        </w:tc>
      </w:tr>
      <w:tr>
        <w:trPr>
          <w:trHeight w:val="180"/>
        </w:trPr>
        <w:tc>
          <w:tcPr>
            <w:tcW w:w="4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20" w:type="dxa"/>
            <w:vAlign w:val="bottom"/>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Advertising Revenues and Expenses:</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Applebee’s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25"/>
        </w:trPr>
        <w:tc>
          <w:tcPr>
            <w:tcW w:w="4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IHOP</w:t>
            </w: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760"/>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43"/>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advertising revenues and expenses</w:t>
            </w: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ind w:left="76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6" w:lineRule="exact"/>
        <w:rPr>
          <w:sz w:val="20"/>
          <w:szCs w:val="20"/>
          <w:color w:val="auto"/>
        </w:rPr>
      </w:pPr>
    </w:p>
    <w:p>
      <w:pPr>
        <w:ind w:right="280" w:firstLine="318"/>
        <w:spacing w:after="0" w:line="236" w:lineRule="auto"/>
        <w:rPr>
          <w:sz w:val="20"/>
          <w:szCs w:val="20"/>
          <w:color w:val="auto"/>
        </w:rPr>
      </w:pPr>
      <w:r>
        <w:rPr>
          <w:rFonts w:ascii="Times New Roman" w:cs="Times New Roman" w:eastAsia="Times New Roman" w:hAnsi="Times New Roman"/>
          <w:sz w:val="18"/>
          <w:szCs w:val="18"/>
          <w:color w:val="auto"/>
        </w:rPr>
        <w:t>Applebee’s advertising revenue and expense for the three months ended September 30, 2022 increased slightly compared to the same period of the prior year, primarily due to the 3.6% increase in domestic franchise same-restaurant sales, partially offset by a decrease in effective units, and IHOP advertising revenue and expense for the three months ended September 30, 2022 increased slightly compared to the same period of the prior year, primarily due to the 1.9% increase in domestic franchise same-restaurant sales.</w:t>
      </w:r>
    </w:p>
    <w:p>
      <w:pPr>
        <w:spacing w:after="0" w:line="206" w:lineRule="exact"/>
        <w:rPr>
          <w:sz w:val="20"/>
          <w:szCs w:val="20"/>
          <w:color w:val="auto"/>
        </w:rPr>
      </w:pPr>
    </w:p>
    <w:p>
      <w:pPr>
        <w:ind w:right="300" w:firstLine="318"/>
        <w:spacing w:after="0" w:line="239" w:lineRule="auto"/>
        <w:rPr>
          <w:sz w:val="20"/>
          <w:szCs w:val="20"/>
          <w:color w:val="auto"/>
        </w:rPr>
      </w:pPr>
      <w:r>
        <w:rPr>
          <w:rFonts w:ascii="Times New Roman" w:cs="Times New Roman" w:eastAsia="Times New Roman" w:hAnsi="Times New Roman"/>
          <w:sz w:val="18"/>
          <w:szCs w:val="18"/>
          <w:color w:val="auto"/>
        </w:rPr>
        <w:t>Applebee’s advertising revenue and expense for the nine months ended September 30, 2022 increased 5.4% compared to the same period of the prior year, primarily due to the 6.3% increase in domestic franchise same-restaurant sales. IHOP advertising revenue and expense for the nine months ended September 30, 2022 increased 7.8% compared to the same period of the prior year, primarily due to the 7.3% increase in domestic franchise same-restaurant sales and the reopening of restaurants temporarily closed during the prior year period.</w:t>
      </w:r>
    </w:p>
    <w:p>
      <w:pPr>
        <w:spacing w:after="0" w:line="209" w:lineRule="exact"/>
        <w:rPr>
          <w:sz w:val="20"/>
          <w:szCs w:val="20"/>
          <w:color w:val="auto"/>
        </w:rPr>
      </w:pPr>
    </w:p>
    <w:p>
      <w:pPr>
        <w:ind w:right="420" w:firstLine="318"/>
        <w:spacing w:after="0" w:line="258" w:lineRule="auto"/>
        <w:rPr>
          <w:sz w:val="20"/>
          <w:szCs w:val="20"/>
          <w:color w:val="auto"/>
        </w:rPr>
      </w:pPr>
      <w:r>
        <w:rPr>
          <w:rFonts w:ascii="Times New Roman" w:cs="Times New Roman" w:eastAsia="Times New Roman" w:hAnsi="Times New Roman"/>
          <w:sz w:val="18"/>
          <w:szCs w:val="18"/>
          <w:color w:val="auto"/>
        </w:rPr>
        <w:t>It is our accounting policy to recognize any deficiency in advertising fee revenue compared to advertising expenditure or any recovery of a previously recognized deficiency in advertising fee revenue compared to advertising expenditure in the fourth quarter of our fiscal year.</w:t>
      </w:r>
    </w:p>
    <w:p>
      <w:pPr>
        <w:spacing w:after="0" w:line="131"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3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w w:val="96"/>
              </w:rPr>
              <w:t>Rental Operations</w:t>
            </w:r>
          </w:p>
        </w:tc>
        <w:tc>
          <w:tcPr>
            <w:tcW w:w="2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980" w:type="dxa"/>
            <w:vAlign w:val="bottom"/>
            <w:gridSpan w:val="4"/>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Favorable</w:t>
            </w:r>
          </w:p>
        </w:tc>
        <w:tc>
          <w:tcPr>
            <w:tcW w:w="2240" w:type="dxa"/>
            <w:vAlign w:val="bottom"/>
            <w:gridSpan w:val="6"/>
          </w:tcPr>
          <w:p>
            <w:pPr>
              <w:ind w:left="60"/>
              <w:spacing w:after="0"/>
              <w:rPr>
                <w:sz w:val="20"/>
                <w:szCs w:val="20"/>
                <w:color w:val="auto"/>
              </w:rPr>
            </w:pPr>
            <w:r>
              <w:rPr>
                <w:rFonts w:ascii="Times New Roman" w:cs="Times New Roman" w:eastAsia="Times New Roman" w:hAnsi="Times New Roman"/>
                <w:sz w:val="16"/>
                <w:szCs w:val="16"/>
                <w:b w:val="1"/>
                <w:bCs w:val="1"/>
                <w:color w:val="auto"/>
              </w:rPr>
              <w:t>Nine Months Ended September</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380" w:type="dxa"/>
            <w:vAlign w:val="bottom"/>
            <w:vMerge w:val="continue"/>
          </w:tcPr>
          <w:p>
            <w:pPr>
              <w:spacing w:after="0"/>
              <w:rPr>
                <w:sz w:val="8"/>
                <w:szCs w:val="8"/>
                <w:color w:val="auto"/>
              </w:rPr>
            </w:pPr>
          </w:p>
        </w:tc>
        <w:tc>
          <w:tcPr>
            <w:tcW w:w="2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980" w:type="dxa"/>
            <w:vAlign w:val="bottom"/>
            <w:gridSpan w:val="4"/>
            <w:vMerge w:val="restart"/>
          </w:tcPr>
          <w:p>
            <w:pPr>
              <w:jc w:val="right"/>
              <w:ind w:right="53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600" w:type="dxa"/>
            <w:vAlign w:val="bottom"/>
          </w:tcPr>
          <w:p>
            <w:pPr>
              <w:spacing w:after="0"/>
              <w:rPr>
                <w:sz w:val="8"/>
                <w:szCs w:val="8"/>
                <w:color w:val="auto"/>
              </w:rPr>
            </w:pPr>
          </w:p>
        </w:tc>
        <w:tc>
          <w:tcPr>
            <w:tcW w:w="480" w:type="dxa"/>
            <w:vAlign w:val="bottom"/>
            <w:gridSpan w:val="3"/>
            <w:vMerge w:val="restart"/>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30,</w:t>
            </w: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6"/>
                <w:szCs w:val="6"/>
                <w:color w:val="auto"/>
              </w:rPr>
            </w:pPr>
          </w:p>
        </w:tc>
        <w:tc>
          <w:tcPr>
            <w:tcW w:w="1380" w:type="dxa"/>
            <w:vAlign w:val="bottom"/>
            <w:tcBorders>
              <w:bottom w:val="single" w:sz="8" w:color="auto"/>
            </w:tcBorders>
            <w:vMerge w:val="continue"/>
          </w:tcPr>
          <w:p>
            <w:pPr>
              <w:spacing w:after="0"/>
              <w:rPr>
                <w:sz w:val="6"/>
                <w:szCs w:val="6"/>
                <w:color w:val="auto"/>
              </w:rPr>
            </w:pPr>
          </w:p>
        </w:tc>
        <w:tc>
          <w:tcPr>
            <w:tcW w:w="2460" w:type="dxa"/>
            <w:vAlign w:val="bottom"/>
            <w:vMerge w:val="restart"/>
          </w:tcPr>
          <w:p>
            <w:pPr>
              <w:spacing w:after="0"/>
              <w:rPr>
                <w:sz w:val="6"/>
                <w:szCs w:val="6"/>
                <w:color w:val="auto"/>
              </w:rPr>
            </w:pPr>
          </w:p>
        </w:tc>
        <w:tc>
          <w:tcPr>
            <w:tcW w:w="240" w:type="dxa"/>
            <w:vAlign w:val="bottom"/>
          </w:tcPr>
          <w:p>
            <w:pPr>
              <w:spacing w:after="0"/>
              <w:rPr>
                <w:sz w:val="6"/>
                <w:szCs w:val="6"/>
                <w:color w:val="auto"/>
              </w:rPr>
            </w:pPr>
          </w:p>
        </w:tc>
        <w:tc>
          <w:tcPr>
            <w:tcW w:w="1980" w:type="dxa"/>
            <w:vAlign w:val="bottom"/>
            <w:gridSpan w:val="4"/>
            <w:vMerge w:val="continue"/>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60" w:type="dxa"/>
            <w:vAlign w:val="bottom"/>
            <w:gridSpan w:val="2"/>
            <w:vMerge w:val="restart"/>
          </w:tcPr>
          <w:p>
            <w:pPr>
              <w:jc w:val="center"/>
              <w:ind w:right="300"/>
              <w:spacing w:after="0" w:line="113" w:lineRule="exact"/>
              <w:rPr>
                <w:sz w:val="20"/>
                <w:szCs w:val="20"/>
                <w:color w:val="auto"/>
              </w:rPr>
            </w:pPr>
            <w:r>
              <w:rPr>
                <w:rFonts w:ascii="Times New Roman" w:cs="Times New Roman" w:eastAsia="Times New Roman" w:hAnsi="Times New Roman"/>
                <w:sz w:val="13"/>
                <w:szCs w:val="13"/>
                <w:b w:val="1"/>
                <w:bCs w:val="1"/>
                <w:color w:val="auto"/>
              </w:rPr>
              <w:t>(Unfavorable)</w:t>
            </w:r>
          </w:p>
        </w:tc>
        <w:tc>
          <w:tcPr>
            <w:tcW w:w="340" w:type="dxa"/>
            <w:vAlign w:val="bottom"/>
          </w:tcPr>
          <w:p>
            <w:pPr>
              <w:spacing w:after="0"/>
              <w:rPr>
                <w:sz w:val="6"/>
                <w:szCs w:val="6"/>
                <w:color w:val="auto"/>
              </w:rPr>
            </w:pPr>
          </w:p>
        </w:tc>
        <w:tc>
          <w:tcPr>
            <w:tcW w:w="600" w:type="dxa"/>
            <w:vAlign w:val="bottom"/>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920" w:type="dxa"/>
            <w:vAlign w:val="bottom"/>
            <w:vMerge w:val="restart"/>
          </w:tcPr>
          <w:p>
            <w:pPr>
              <w:jc w:val="center"/>
              <w:spacing w:after="0" w:line="113" w:lineRule="exact"/>
              <w:rPr>
                <w:sz w:val="20"/>
                <w:szCs w:val="20"/>
                <w:color w:val="auto"/>
              </w:rPr>
            </w:pPr>
            <w:r>
              <w:rPr>
                <w:rFonts w:ascii="Times New Roman" w:cs="Times New Roman" w:eastAsia="Times New Roman" w:hAnsi="Times New Roman"/>
                <w:sz w:val="13"/>
                <w:szCs w:val="13"/>
                <w:b w:val="1"/>
                <w:bCs w:val="1"/>
                <w:color w:val="auto"/>
              </w:rPr>
              <w:t>(Unfavorable)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60" w:type="dxa"/>
            <w:vAlign w:val="bottom"/>
            <w:vMerge w:val="continue"/>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gridSpan w:val="4"/>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60" w:type="dxa"/>
            <w:vAlign w:val="bottom"/>
            <w:gridSpan w:val="2"/>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3"/>
            <w:vMerge w:val="continue"/>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5"/>
              </w:rPr>
              <w:t>Variance</w:t>
            </w:r>
          </w:p>
        </w:tc>
        <w:tc>
          <w:tcPr>
            <w:tcW w:w="34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38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revenues</w:t>
            </w: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31.3</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87.1</w:t>
            </w:r>
          </w:p>
        </w:tc>
        <w:tc>
          <w:tcPr>
            <w:tcW w:w="480" w:type="dxa"/>
            <w:vAlign w:val="bottom"/>
            <w:gridSpan w:val="3"/>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84.8</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5"/>
        </w:trPr>
        <w:tc>
          <w:tcPr>
            <w:tcW w:w="20" w:type="dxa"/>
            <w:vAlign w:val="bottom"/>
            <w:tcBorders>
              <w:bottom w:val="single" w:sz="8" w:color="CCEEFF"/>
            </w:tcBorders>
          </w:tcPr>
          <w:p>
            <w:pPr>
              <w:spacing w:after="0"/>
              <w:rPr>
                <w:sz w:val="19"/>
                <w:szCs w:val="19"/>
                <w:color w:val="auto"/>
              </w:rPr>
            </w:pPr>
          </w:p>
        </w:tc>
        <w:tc>
          <w:tcPr>
            <w:tcW w:w="38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Rental expenses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8"/>
                <w:szCs w:val="18"/>
                <w:color w:val="auto"/>
              </w:rPr>
              <w:t>24.5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820"/>
              <w:spacing w:after="0"/>
              <w:rPr>
                <w:sz w:val="20"/>
                <w:szCs w:val="20"/>
                <w:color w:val="auto"/>
              </w:rPr>
            </w:pPr>
            <w:r>
              <w:rPr>
                <w:rFonts w:ascii="Times New Roman" w:cs="Times New Roman" w:eastAsia="Times New Roman" w:hAnsi="Times New Roman"/>
                <w:sz w:val="18"/>
                <w:szCs w:val="18"/>
                <w:color w:val="auto"/>
              </w:rPr>
              <w:t>2.5</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66.0</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66.0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0"/>
                <w:szCs w:val="20"/>
                <w:color w:val="auto"/>
              </w:rPr>
            </w:pPr>
          </w:p>
        </w:tc>
        <w:tc>
          <w:tcPr>
            <w:tcW w:w="38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Rental operations gross profit</w:t>
            </w: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0.4</w:t>
            </w:r>
          </w:p>
        </w:tc>
        <w:tc>
          <w:tcPr>
            <w:tcW w:w="1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21.1</w:t>
            </w:r>
          </w:p>
        </w:tc>
        <w:tc>
          <w:tcPr>
            <w:tcW w:w="12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3840" w:type="dxa"/>
            <w:vAlign w:val="bottom"/>
            <w:gridSpan w:val="2"/>
          </w:tcPr>
          <w:p>
            <w:pPr>
              <w:spacing w:after="0" w:line="199" w:lineRule="exact"/>
              <w:rPr>
                <w:sz w:val="20"/>
                <w:szCs w:val="20"/>
                <w:color w:val="auto"/>
              </w:rPr>
            </w:pPr>
            <w:r>
              <w:rPr>
                <w:rFonts w:ascii="Times New Roman" w:cs="Times New Roman" w:eastAsia="Times New Roman" w:hAnsi="Times New Roman"/>
                <w:sz w:val="18"/>
                <w:szCs w:val="18"/>
                <w:color w:val="auto"/>
              </w:rPr>
              <w:t xml:space="preserve">Gross profit as % of revenue </w:t>
            </w:r>
            <w:r>
              <w:rPr>
                <w:rFonts w:ascii="Times New Roman" w:cs="Times New Roman" w:eastAsia="Times New Roman" w:hAnsi="Times New Roman"/>
                <w:sz w:val="22"/>
                <w:szCs w:val="22"/>
                <w:color w:val="auto"/>
                <w:vertAlign w:val="superscript"/>
              </w:rPr>
              <w:t>(1)</w:t>
            </w: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24.6 %</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198" w:lineRule="exact"/>
              <w:rPr>
                <w:sz w:val="20"/>
                <w:szCs w:val="20"/>
                <w:color w:val="auto"/>
              </w:rPr>
            </w:pPr>
            <w:r>
              <w:rPr>
                <w:rFonts w:ascii="Times New Roman" w:cs="Times New Roman" w:eastAsia="Times New Roman" w:hAnsi="Times New Roman"/>
                <w:sz w:val="18"/>
                <w:szCs w:val="18"/>
                <w:color w:val="auto"/>
              </w:rPr>
              <w:t>21.8 %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ind w:left="200"/>
              <w:spacing w:after="0" w:line="198" w:lineRule="exact"/>
              <w:rPr>
                <w:sz w:val="20"/>
                <w:szCs w:val="20"/>
                <w:color w:val="auto"/>
              </w:rPr>
            </w:pPr>
            <w:r>
              <w:rPr>
                <w:rFonts w:ascii="Times New Roman" w:cs="Times New Roman" w:eastAsia="Times New Roman" w:hAnsi="Times New Roman"/>
                <w:sz w:val="18"/>
                <w:szCs w:val="18"/>
                <w:color w:val="auto"/>
                <w:w w:val="97"/>
              </w:rPr>
              <w:t>24.2 %</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ind w:left="300"/>
              <w:spacing w:after="0" w:line="198" w:lineRule="exact"/>
              <w:rPr>
                <w:sz w:val="20"/>
                <w:szCs w:val="20"/>
                <w:color w:val="auto"/>
              </w:rPr>
            </w:pPr>
            <w:r>
              <w:rPr>
                <w:rFonts w:ascii="Times New Roman" w:cs="Times New Roman" w:eastAsia="Times New Roman" w:hAnsi="Times New Roman"/>
                <w:sz w:val="18"/>
                <w:szCs w:val="18"/>
                <w:color w:val="auto"/>
                <w:w w:val="97"/>
              </w:rPr>
              <w:t>22.1 %</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w:t>
      </w:r>
    </w:p>
    <w:p>
      <w:pPr>
        <w:spacing w:after="0" w:line="54" w:lineRule="exact"/>
        <w:rPr>
          <w:sz w:val="20"/>
          <w:szCs w:val="20"/>
          <w:color w:val="auto"/>
        </w:rPr>
      </w:pPr>
    </w:p>
    <w:p>
      <w:pPr>
        <w:ind w:left="140" w:hanging="134"/>
        <w:spacing w:after="0"/>
        <w:tabs>
          <w:tab w:leader="none" w:pos="140" w:val="left"/>
        </w:tabs>
        <w:numPr>
          <w:ilvl w:val="0"/>
          <w:numId w:val="19"/>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Percentages calculated on actual amounts, not rounded amounts presented above.</w:t>
      </w:r>
    </w:p>
    <w:p>
      <w:pPr>
        <w:spacing w:after="0" w:line="307" w:lineRule="exact"/>
        <w:rPr>
          <w:sz w:val="20"/>
          <w:szCs w:val="20"/>
          <w:color w:val="auto"/>
        </w:rPr>
      </w:pPr>
    </w:p>
    <w:p>
      <w:pPr>
        <w:ind w:right="120" w:firstLine="318"/>
        <w:spacing w:after="0" w:line="274" w:lineRule="auto"/>
        <w:rPr>
          <w:sz w:val="20"/>
          <w:szCs w:val="20"/>
          <w:color w:val="auto"/>
        </w:rPr>
      </w:pPr>
      <w:r>
        <w:rPr>
          <w:rFonts w:ascii="Times New Roman" w:cs="Times New Roman" w:eastAsia="Times New Roman" w:hAnsi="Times New Roman"/>
          <w:sz w:val="18"/>
          <w:szCs w:val="18"/>
          <w:color w:val="auto"/>
        </w:rPr>
        <w:t>Rental operations relate primarily to IHOP franchise restaurants. Rental income includes sublease revenue from operating leases and interest income from real estate leases. Rental expenses are costs of prime operating leases and interest expense on prime finance leases.</w:t>
      </w:r>
    </w:p>
    <w:p>
      <w:pPr>
        <w:spacing w:after="0" w:line="190" w:lineRule="exact"/>
        <w:rPr>
          <w:sz w:val="20"/>
          <w:szCs w:val="20"/>
          <w:color w:val="auto"/>
        </w:rPr>
      </w:pPr>
    </w:p>
    <w:p>
      <w:pPr>
        <w:ind w:right="200" w:firstLine="318"/>
        <w:spacing w:after="0" w:line="252" w:lineRule="auto"/>
        <w:rPr>
          <w:sz w:val="20"/>
          <w:szCs w:val="20"/>
          <w:color w:val="auto"/>
        </w:rPr>
      </w:pPr>
      <w:r>
        <w:rPr>
          <w:rFonts w:ascii="Times New Roman" w:cs="Times New Roman" w:eastAsia="Times New Roman" w:hAnsi="Times New Roman"/>
          <w:sz w:val="18"/>
          <w:szCs w:val="18"/>
          <w:color w:val="auto"/>
        </w:rPr>
        <w:t>Rental segment revenue for the three months ended September 30, 2022 decreased as compared to the same period of 2021, as rental revenue decreased due to the prior year $2.7 million accounting entry related to the gross presentation of certain elements of variable sublease income, such as common area maintenance payments received from franchisees and remitted to landlords, which previously were reported on a net basis, partially offset by an increase in base rent. Rental segment expenses for the three months ended September 30, 2022 decreased compared to the same period of the prior year, primarily due to the prior year $2.7 million gross-up of lease-related expenses in the third quarter.</w:t>
      </w:r>
    </w:p>
    <w:p>
      <w:pPr>
        <w:spacing w:after="0" w:line="200" w:lineRule="exact"/>
        <w:rPr>
          <w:sz w:val="20"/>
          <w:szCs w:val="20"/>
          <w:color w:val="auto"/>
        </w:rPr>
      </w:pPr>
    </w:p>
    <w:p>
      <w:pPr>
        <w:spacing w:after="0" w:line="35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140" w:firstLine="318"/>
        <w:spacing w:after="0" w:line="259" w:lineRule="auto"/>
        <w:rPr>
          <w:sz w:val="20"/>
          <w:szCs w:val="20"/>
          <w:color w:val="auto"/>
        </w:rPr>
      </w:pPr>
      <w:r>
        <w:rPr>
          <w:rFonts w:ascii="Times New Roman" w:cs="Times New Roman" w:eastAsia="Times New Roman" w:hAnsi="Times New Roman"/>
          <w:sz w:val="18"/>
          <w:szCs w:val="18"/>
          <w:color w:val="auto"/>
        </w:rPr>
        <w:t>Rental segment revenue for the nine months ended September 30, 2022 increased as compared to the same period of 2021, primarily due to a $1.7 million increase in rental income based on a percentage of franchisees' retail sales. Rental segment expenses for the nine months ended September 30, 2022 were flat as compared to the same period of 2021.</w:t>
      </w:r>
    </w:p>
    <w:p>
      <w:pPr>
        <w:spacing w:after="0" w:line="2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u w:val="single" w:color="auto"/>
          <w:color w:val="auto"/>
        </w:rPr>
        <w:t>Company Restaurant Operations</w:t>
      </w:r>
    </w:p>
    <w:p>
      <w:pPr>
        <w:spacing w:after="0" w:line="67"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4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w:t>
            </w:r>
          </w:p>
        </w:tc>
        <w:tc>
          <w:tcPr>
            <w:tcW w:w="120" w:type="dxa"/>
            <w:vAlign w:val="bottom"/>
          </w:tcPr>
          <w:p>
            <w:pPr>
              <w:spacing w:after="0"/>
              <w:rPr>
                <w:sz w:val="16"/>
                <w:szCs w:val="16"/>
                <w:color w:val="auto"/>
              </w:rPr>
            </w:pPr>
          </w:p>
        </w:tc>
        <w:tc>
          <w:tcPr>
            <w:tcW w:w="118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100" w:type="dxa"/>
            <w:vAlign w:val="bottom"/>
          </w:tcPr>
          <w:p>
            <w:pPr>
              <w:spacing w:after="0"/>
              <w:rPr>
                <w:sz w:val="16"/>
                <w:szCs w:val="16"/>
                <w:color w:val="auto"/>
              </w:rPr>
            </w:pPr>
          </w:p>
        </w:tc>
        <w:tc>
          <w:tcPr>
            <w:tcW w:w="2340" w:type="dxa"/>
            <w:vAlign w:val="bottom"/>
            <w:gridSpan w:val="6"/>
          </w:tcPr>
          <w:p>
            <w:pPr>
              <w:spacing w:after="0"/>
              <w:rPr>
                <w:sz w:val="20"/>
                <w:szCs w:val="20"/>
                <w:color w:val="auto"/>
              </w:rPr>
            </w:pPr>
            <w:r>
              <w:rPr>
                <w:rFonts w:ascii="Times New Roman" w:cs="Times New Roman" w:eastAsia="Times New Roman" w:hAnsi="Times New Roman"/>
                <w:sz w:val="16"/>
                <w:szCs w:val="16"/>
                <w:b w:val="1"/>
                <w:bCs w:val="1"/>
                <w:color w:val="auto"/>
              </w:rPr>
              <w:t>Nine Months Ended September</w:t>
            </w:r>
          </w:p>
        </w:tc>
        <w:tc>
          <w:tcPr>
            <w:tcW w:w="140" w:type="dxa"/>
            <w:vAlign w:val="bottom"/>
          </w:tcPr>
          <w:p>
            <w:pPr>
              <w:spacing w:after="0"/>
              <w:rPr>
                <w:sz w:val="16"/>
                <w:szCs w:val="16"/>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Favorable</w:t>
            </w:r>
          </w:p>
        </w:tc>
        <w:tc>
          <w:tcPr>
            <w:tcW w:w="0" w:type="dxa"/>
            <w:vAlign w:val="bottom"/>
          </w:tcPr>
          <w:p>
            <w:pPr>
              <w:spacing w:after="0"/>
              <w:rPr>
                <w:sz w:val="1"/>
                <w:szCs w:val="1"/>
                <w:color w:val="auto"/>
              </w:rPr>
            </w:pPr>
          </w:p>
        </w:tc>
      </w:tr>
      <w:tr>
        <w:trPr>
          <w:trHeight w:val="139"/>
        </w:trPr>
        <w:tc>
          <w:tcPr>
            <w:tcW w:w="3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520" w:type="dxa"/>
            <w:vAlign w:val="bottom"/>
            <w:gridSpan w:val="3"/>
          </w:tcPr>
          <w:p>
            <w:pPr>
              <w:jc w:val="right"/>
              <w:ind w:right="132"/>
              <w:spacing w:after="0" w:line="139" w:lineRule="exact"/>
              <w:rPr>
                <w:sz w:val="20"/>
                <w:szCs w:val="20"/>
                <w:color w:val="auto"/>
              </w:rPr>
            </w:pPr>
            <w:r>
              <w:rPr>
                <w:rFonts w:ascii="Times New Roman" w:cs="Times New Roman" w:eastAsia="Times New Roman" w:hAnsi="Times New Roman"/>
                <w:sz w:val="16"/>
                <w:szCs w:val="16"/>
                <w:b w:val="1"/>
                <w:bCs w:val="1"/>
                <w:color w:val="auto"/>
              </w:rPr>
              <w:t>30,</w:t>
            </w: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0" w:type="dxa"/>
            <w:vAlign w:val="bottom"/>
            <w:gridSpan w:val="3"/>
          </w:tcPr>
          <w:p>
            <w:pPr>
              <w:jc w:val="right"/>
              <w:ind w:right="112"/>
              <w:spacing w:after="0" w:line="139" w:lineRule="exact"/>
              <w:rPr>
                <w:sz w:val="20"/>
                <w:szCs w:val="20"/>
                <w:color w:val="auto"/>
              </w:rPr>
            </w:pPr>
            <w:r>
              <w:rPr>
                <w:rFonts w:ascii="Times New Roman" w:cs="Times New Roman" w:eastAsia="Times New Roman" w:hAnsi="Times New Roman"/>
                <w:sz w:val="16"/>
                <w:szCs w:val="16"/>
                <w:b w:val="1"/>
                <w:bCs w:val="1"/>
                <w:color w:val="auto"/>
                <w:w w:val="89"/>
              </w:rPr>
              <w:t>30,</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73"/>
        </w:trPr>
        <w:tc>
          <w:tcPr>
            <w:tcW w:w="3680" w:type="dxa"/>
            <w:vAlign w:val="bottom"/>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90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80" w:type="dxa"/>
            <w:vAlign w:val="bottom"/>
            <w:gridSpan w:val="2"/>
            <w:vMerge w:val="restart"/>
          </w:tcPr>
          <w:p>
            <w:pPr>
              <w:jc w:val="center"/>
              <w:ind w:right="280"/>
              <w:spacing w:after="0" w:line="126" w:lineRule="exact"/>
              <w:rPr>
                <w:sz w:val="20"/>
                <w:szCs w:val="20"/>
                <w:color w:val="auto"/>
              </w:rPr>
            </w:pPr>
            <w:r>
              <w:rPr>
                <w:rFonts w:ascii="Times New Roman" w:cs="Times New Roman" w:eastAsia="Times New Roman" w:hAnsi="Times New Roman"/>
                <w:sz w:val="14"/>
                <w:szCs w:val="14"/>
                <w:b w:val="1"/>
                <w:bCs w:val="1"/>
                <w:color w:val="auto"/>
              </w:rPr>
              <w:t>(Unfavorable)</w:t>
            </w:r>
          </w:p>
        </w:tc>
        <w:tc>
          <w:tcPr>
            <w:tcW w:w="1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920" w:type="dxa"/>
            <w:vAlign w:val="bottom"/>
            <w:vMerge w:val="restart"/>
          </w:tcPr>
          <w:p>
            <w:pPr>
              <w:jc w:val="center"/>
              <w:spacing w:after="0" w:line="126" w:lineRule="exact"/>
              <w:rPr>
                <w:sz w:val="20"/>
                <w:szCs w:val="20"/>
                <w:color w:val="auto"/>
              </w:rPr>
            </w:pPr>
            <w:r>
              <w:rPr>
                <w:rFonts w:ascii="Times New Roman" w:cs="Times New Roman" w:eastAsia="Times New Roman" w:hAnsi="Times New Roman"/>
                <w:sz w:val="14"/>
                <w:szCs w:val="14"/>
                <w:b w:val="1"/>
                <w:bCs w:val="1"/>
                <w:color w:val="auto"/>
                <w:w w:val="99"/>
              </w:rPr>
              <w:t>(Unfavorable)</w:t>
            </w:r>
          </w:p>
        </w:tc>
        <w:tc>
          <w:tcPr>
            <w:tcW w:w="0" w:type="dxa"/>
            <w:vAlign w:val="bottom"/>
          </w:tcPr>
          <w:p>
            <w:pPr>
              <w:spacing w:after="0"/>
              <w:rPr>
                <w:sz w:val="1"/>
                <w:szCs w:val="1"/>
                <w:color w:val="auto"/>
              </w:rPr>
            </w:pPr>
          </w:p>
        </w:tc>
      </w:tr>
      <w:tr>
        <w:trPr>
          <w:trHeight w:val="33"/>
        </w:trPr>
        <w:tc>
          <w:tcPr>
            <w:tcW w:w="3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vMerge w:val="restart"/>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vMerge w:val="restart"/>
          </w:tcPr>
          <w:p>
            <w:pPr>
              <w:jc w:val="right"/>
              <w:ind w:right="35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gridSpan w:val="2"/>
            <w:vMerge w:val="continue"/>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vMerge w:val="restart"/>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2022</w:t>
            </w: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vMerge w:val="restart"/>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100" w:type="dxa"/>
            <w:vAlign w:val="bottom"/>
          </w:tcPr>
          <w:p>
            <w:pPr>
              <w:spacing w:after="0"/>
              <w:rPr>
                <w:sz w:val="17"/>
                <w:szCs w:val="17"/>
                <w:color w:val="auto"/>
              </w:rPr>
            </w:pPr>
          </w:p>
        </w:tc>
        <w:tc>
          <w:tcPr>
            <w:tcW w:w="9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0" w:type="dxa"/>
            <w:vAlign w:val="bottom"/>
          </w:tcPr>
          <w:p>
            <w:pPr>
              <w:spacing w:after="0"/>
              <w:rPr>
                <w:sz w:val="1"/>
                <w:szCs w:val="1"/>
                <w:color w:val="auto"/>
              </w:rPr>
            </w:pPr>
          </w:p>
        </w:tc>
      </w:tr>
      <w:tr>
        <w:trPr>
          <w:trHeight w:val="247"/>
        </w:trPr>
        <w:tc>
          <w:tcPr>
            <w:tcW w:w="368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Effective Restaurants</w:t>
            </w:r>
          </w:p>
        </w:tc>
        <w:tc>
          <w:tcPr>
            <w:tcW w:w="1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4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69</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240" w:type="dxa"/>
            <w:vAlign w:val="bottom"/>
            <w:tcBorders>
              <w:top w:val="single" w:sz="8" w:color="CCEEFF"/>
              <w:bottom w:val="single" w:sz="8" w:color="auto"/>
            </w:tcBorders>
            <w:gridSpan w:val="4"/>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4"/>
          </w:tcPr>
          <w:p>
            <w:pPr>
              <w:jc w:val="right"/>
              <w:ind w:right="734"/>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3680" w:type="dxa"/>
            <w:vAlign w:val="bottom"/>
            <w:shd w:val="clear" w:color="auto" w:fill="CCEEFF"/>
          </w:tcPr>
          <w:p>
            <w:pPr>
              <w:ind w:left="20"/>
              <w:spacing w:after="0" w:line="231" w:lineRule="exact"/>
              <w:rPr>
                <w:sz w:val="20"/>
                <w:szCs w:val="20"/>
                <w:color w:val="auto"/>
              </w:rPr>
            </w:pPr>
            <w:r>
              <w:rPr>
                <w:rFonts w:ascii="Times New Roman" w:cs="Times New Roman" w:eastAsia="Times New Roman" w:hAnsi="Times New Roman"/>
                <w:sz w:val="18"/>
                <w:szCs w:val="18"/>
                <w:color w:val="auto"/>
              </w:rPr>
              <w:t xml:space="preserve">Applebee's Company restaurant sales </w:t>
            </w:r>
            <w:r>
              <w:rPr>
                <w:rFonts w:ascii="Times New Roman" w:cs="Times New Roman" w:eastAsia="Times New Roman" w:hAnsi="Times New Roman"/>
                <w:sz w:val="22"/>
                <w:szCs w:val="22"/>
                <w:color w:val="auto"/>
                <w:vertAlign w:val="superscript"/>
              </w:rPr>
              <w:t>(1)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520" w:type="dxa"/>
            <w:vAlign w:val="bottom"/>
            <w:gridSpan w:val="3"/>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117.2</w:t>
            </w:r>
          </w:p>
        </w:tc>
        <w:tc>
          <w:tcPr>
            <w:tcW w:w="400" w:type="dxa"/>
            <w:vAlign w:val="bottom"/>
            <w:gridSpan w:val="3"/>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109.4</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r>
        <w:trPr>
          <w:trHeight w:val="225"/>
        </w:trPr>
        <w:tc>
          <w:tcPr>
            <w:tcW w:w="3680" w:type="dxa"/>
            <w:vAlign w:val="bottom"/>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Applebee's Company restaurant expenses </w:t>
            </w:r>
            <w:r>
              <w:rPr>
                <w:rFonts w:ascii="Times New Roman" w:cs="Times New Roman" w:eastAsia="Times New Roman" w:hAnsi="Times New Roman"/>
                <w:sz w:val="22"/>
                <w:szCs w:val="22"/>
                <w:color w:val="auto"/>
                <w:vertAlign w:val="superscript"/>
              </w:rPr>
              <w:t>(1)</w:t>
            </w: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ind w:right="114"/>
              <w:spacing w:after="0"/>
              <w:rPr>
                <w:sz w:val="20"/>
                <w:szCs w:val="20"/>
                <w:color w:val="auto"/>
              </w:rPr>
            </w:pPr>
            <w:r>
              <w:rPr>
                <w:rFonts w:ascii="Times New Roman" w:cs="Times New Roman" w:eastAsia="Times New Roman" w:hAnsi="Times New Roman"/>
                <w:sz w:val="18"/>
                <w:szCs w:val="18"/>
                <w:color w:val="auto"/>
              </w:rPr>
              <w:t>111.8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101.0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25"/>
        </w:trPr>
        <w:tc>
          <w:tcPr>
            <w:tcW w:w="3680" w:type="dxa"/>
            <w:vAlign w:val="bottom"/>
            <w:shd w:val="clear" w:color="auto" w:fill="CCEEFF"/>
          </w:tcPr>
          <w:p>
            <w:pPr>
              <w:ind w:left="20"/>
              <w:spacing w:after="0" w:line="225" w:lineRule="exact"/>
              <w:rPr>
                <w:sz w:val="20"/>
                <w:szCs w:val="20"/>
                <w:color w:val="auto"/>
              </w:rPr>
            </w:pPr>
            <w:r>
              <w:rPr>
                <w:rFonts w:ascii="Times New Roman" w:cs="Times New Roman" w:eastAsia="Times New Roman" w:hAnsi="Times New Roman"/>
                <w:sz w:val="18"/>
                <w:szCs w:val="18"/>
                <w:color w:val="auto"/>
              </w:rPr>
              <w:t xml:space="preserve">IHOP restaurant expenses </w:t>
            </w:r>
            <w:r>
              <w:rPr>
                <w:rFonts w:ascii="Times New Roman" w:cs="Times New Roman" w:eastAsia="Times New Roman" w:hAnsi="Times New Roman"/>
                <w:sz w:val="22"/>
                <w:szCs w:val="22"/>
                <w:color w:val="auto"/>
                <w:vertAlign w:val="superscript"/>
              </w:rPr>
              <w:t>(2)</w:t>
            </w:r>
          </w:p>
        </w:tc>
        <w:tc>
          <w:tcPr>
            <w:tcW w:w="1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ind w:right="114"/>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0" w:type="dxa"/>
            <w:vAlign w:val="bottom"/>
          </w:tcPr>
          <w:p>
            <w:pPr>
              <w:spacing w:after="0"/>
              <w:rPr>
                <w:sz w:val="1"/>
                <w:szCs w:val="1"/>
                <w:color w:val="auto"/>
              </w:rPr>
            </w:pPr>
          </w:p>
        </w:tc>
      </w:tr>
      <w:tr>
        <w:trPr>
          <w:trHeight w:val="192"/>
        </w:trPr>
        <w:tc>
          <w:tcPr>
            <w:tcW w:w="3680" w:type="dxa"/>
            <w:vAlign w:val="bottom"/>
          </w:tcPr>
          <w:p>
            <w:pPr>
              <w:ind w:left="20"/>
              <w:spacing w:after="0" w:line="192" w:lineRule="exact"/>
              <w:rPr>
                <w:sz w:val="20"/>
                <w:szCs w:val="20"/>
                <w:color w:val="auto"/>
              </w:rPr>
            </w:pPr>
            <w:r>
              <w:rPr>
                <w:rFonts w:ascii="Times New Roman" w:cs="Times New Roman" w:eastAsia="Times New Roman" w:hAnsi="Times New Roman"/>
                <w:sz w:val="18"/>
                <w:szCs w:val="18"/>
                <w:color w:val="auto"/>
              </w:rPr>
              <w:t>Company restaurant gross profit</w:t>
            </w:r>
          </w:p>
        </w:tc>
        <w:tc>
          <w:tcPr>
            <w:tcW w:w="10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1.7</w:t>
            </w:r>
          </w:p>
        </w:tc>
        <w:tc>
          <w:tcPr>
            <w:tcW w:w="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72"/>
              <w:spacing w:after="0" w:line="192"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ind w:right="133"/>
              <w:spacing w:after="0" w:line="192" w:lineRule="exact"/>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6"/>
                <w:szCs w:val="16"/>
                <w:color w:val="auto"/>
              </w:rPr>
            </w:pPr>
          </w:p>
        </w:tc>
        <w:tc>
          <w:tcPr>
            <w:tcW w:w="12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0.3</w:t>
            </w:r>
          </w:p>
        </w:tc>
        <w:tc>
          <w:tcPr>
            <w:tcW w:w="160" w:type="dxa"/>
            <w:vAlign w:val="bottom"/>
          </w:tcPr>
          <w:p>
            <w:pPr>
              <w:spacing w:after="0"/>
              <w:rPr>
                <w:sz w:val="16"/>
                <w:szCs w:val="16"/>
                <w:color w:val="auto"/>
              </w:rPr>
            </w:pPr>
          </w:p>
        </w:tc>
        <w:tc>
          <w:tcPr>
            <w:tcW w:w="10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ind w:right="114"/>
              <w:spacing w:after="0" w:line="192" w:lineRule="exact"/>
              <w:rPr>
                <w:sz w:val="20"/>
                <w:szCs w:val="20"/>
                <w:color w:val="auto"/>
              </w:rPr>
            </w:pPr>
            <w:r>
              <w:rPr>
                <w:rFonts w:ascii="Times New Roman" w:cs="Times New Roman" w:eastAsia="Times New Roman" w:hAnsi="Times New Roman"/>
                <w:sz w:val="18"/>
                <w:szCs w:val="18"/>
                <w:color w:val="auto"/>
              </w:rPr>
              <w:t>5.4</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72"/>
              <w:spacing w:after="0" w:line="192"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ind w:right="133"/>
              <w:spacing w:after="0" w:line="192" w:lineRule="exact"/>
              <w:rPr>
                <w:sz w:val="20"/>
                <w:szCs w:val="20"/>
                <w:color w:val="auto"/>
              </w:rPr>
            </w:pPr>
            <w:r>
              <w:rPr>
                <w:rFonts w:ascii="Times New Roman" w:cs="Times New Roman" w:eastAsia="Times New Roman" w:hAnsi="Times New Roman"/>
                <w:sz w:val="18"/>
                <w:szCs w:val="18"/>
                <w:color w:val="auto"/>
              </w:rPr>
              <w:t>7.9</w:t>
            </w:r>
          </w:p>
        </w:tc>
        <w:tc>
          <w:tcPr>
            <w:tcW w:w="100" w:type="dxa"/>
            <w:vAlign w:val="bottom"/>
          </w:tcPr>
          <w:p>
            <w:pPr>
              <w:spacing w:after="0"/>
              <w:rPr>
                <w:sz w:val="16"/>
                <w:szCs w:val="16"/>
                <w:color w:val="auto"/>
              </w:rPr>
            </w:pPr>
          </w:p>
        </w:tc>
        <w:tc>
          <w:tcPr>
            <w:tcW w:w="14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line="192"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680" w:type="dxa"/>
            <w:vAlign w:val="bottom"/>
            <w:tcBorders>
              <w:bottom w:val="single" w:sz="8" w:color="CCEEFF"/>
            </w:tcBorders>
            <w:shd w:val="clear" w:color="auto" w:fill="CCEEFF"/>
          </w:tcPr>
          <w:p>
            <w:pPr>
              <w:ind w:left="20"/>
              <w:spacing w:after="0" w:line="219" w:lineRule="exact"/>
              <w:rPr>
                <w:sz w:val="20"/>
                <w:szCs w:val="20"/>
                <w:color w:val="auto"/>
              </w:rPr>
            </w:pPr>
            <w:r>
              <w:rPr>
                <w:rFonts w:ascii="Times New Roman" w:cs="Times New Roman" w:eastAsia="Times New Roman" w:hAnsi="Times New Roman"/>
                <w:sz w:val="18"/>
                <w:szCs w:val="18"/>
                <w:color w:val="auto"/>
              </w:rPr>
              <w:t xml:space="preserve">Gross profit as % of revenue </w:t>
            </w:r>
            <w:r>
              <w:rPr>
                <w:rFonts w:ascii="Times New Roman" w:cs="Times New Roman" w:eastAsia="Times New Roman" w:hAnsi="Times New Roman"/>
                <w:sz w:val="22"/>
                <w:szCs w:val="22"/>
                <w:color w:val="auto"/>
                <w:vertAlign w:val="superscript"/>
              </w:rPr>
              <w:t>(3)</w:t>
            </w:r>
          </w:p>
        </w:tc>
        <w:tc>
          <w:tcPr>
            <w:tcW w:w="1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4.5 %</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4.4 %</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_____________________________________________________</w:t>
      </w:r>
    </w:p>
    <w:p>
      <w:pPr>
        <w:spacing w:after="0" w:line="42" w:lineRule="exact"/>
        <w:rPr>
          <w:sz w:val="20"/>
          <w:szCs w:val="20"/>
          <w:color w:val="auto"/>
        </w:rPr>
      </w:pPr>
    </w:p>
    <w:p>
      <w:pPr>
        <w:ind w:left="140" w:hanging="134"/>
        <w:spacing w:after="0"/>
        <w:tabs>
          <w:tab w:leader="none" w:pos="140" w:val="left"/>
        </w:tabs>
        <w:numPr>
          <w:ilvl w:val="0"/>
          <w:numId w:val="2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Related to 69 Applebee's company-operated restaurants.</w:t>
      </w:r>
    </w:p>
    <w:p>
      <w:pPr>
        <w:spacing w:after="0" w:line="44" w:lineRule="exact"/>
        <w:rPr>
          <w:rFonts w:ascii="Times New Roman" w:cs="Times New Roman" w:eastAsia="Times New Roman" w:hAnsi="Times New Roman"/>
          <w:sz w:val="17"/>
          <w:szCs w:val="17"/>
          <w:color w:val="auto"/>
          <w:vertAlign w:val="superscript"/>
        </w:rPr>
      </w:pPr>
    </w:p>
    <w:p>
      <w:pPr>
        <w:ind w:left="140" w:hanging="134"/>
        <w:spacing w:after="0"/>
        <w:tabs>
          <w:tab w:leader="none" w:pos="140" w:val="left"/>
        </w:tabs>
        <w:numPr>
          <w:ilvl w:val="0"/>
          <w:numId w:val="2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Costs associated with IHOP restaurants in the process of being refranchised.</w:t>
      </w:r>
    </w:p>
    <w:p>
      <w:pPr>
        <w:spacing w:after="0" w:line="48" w:lineRule="exact"/>
        <w:rPr>
          <w:rFonts w:ascii="Times New Roman" w:cs="Times New Roman" w:eastAsia="Times New Roman" w:hAnsi="Times New Roman"/>
          <w:sz w:val="9"/>
          <w:szCs w:val="9"/>
          <w:color w:val="auto"/>
        </w:rPr>
      </w:pPr>
    </w:p>
    <w:p>
      <w:pPr>
        <w:ind w:left="140" w:hanging="134"/>
        <w:spacing w:after="0"/>
        <w:tabs>
          <w:tab w:leader="none" w:pos="140" w:val="left"/>
        </w:tabs>
        <w:numPr>
          <w:ilvl w:val="0"/>
          <w:numId w:val="20"/>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Calculated for Applebee's company-operated restaurants only. Percentages calculated on actual amounts, not rounded amounts presented above.</w:t>
      </w:r>
    </w:p>
    <w:p>
      <w:pPr>
        <w:spacing w:after="0" w:line="254" w:lineRule="exact"/>
        <w:rPr>
          <w:sz w:val="20"/>
          <w:szCs w:val="20"/>
          <w:color w:val="auto"/>
        </w:rPr>
      </w:pPr>
    </w:p>
    <w:p>
      <w:pPr>
        <w:ind w:right="140" w:firstLine="238"/>
        <w:spacing w:after="0" w:line="259" w:lineRule="auto"/>
        <w:rPr>
          <w:sz w:val="20"/>
          <w:szCs w:val="20"/>
          <w:color w:val="auto"/>
        </w:rPr>
      </w:pPr>
      <w:r>
        <w:rPr>
          <w:rFonts w:ascii="Times New Roman" w:cs="Times New Roman" w:eastAsia="Times New Roman" w:hAnsi="Times New Roman"/>
          <w:sz w:val="18"/>
          <w:szCs w:val="18"/>
          <w:color w:val="auto"/>
        </w:rPr>
        <w:t>Applebee's company same-restaurant sales for the three months ended September 30, 2022 increased 8.5% compared to the same period of 2021, primarily due to an increase in average check. Applebee's company same-restaurant sales for the nine months ended September 30, 2022 increased 7.1% compared to the same period of 2021 due to an increase in customer traffic and average check.</w:t>
      </w:r>
    </w:p>
    <w:p>
      <w:pPr>
        <w:spacing w:after="0" w:line="204" w:lineRule="exact"/>
        <w:rPr>
          <w:sz w:val="20"/>
          <w:szCs w:val="20"/>
          <w:color w:val="auto"/>
        </w:rPr>
      </w:pPr>
    </w:p>
    <w:p>
      <w:pPr>
        <w:ind w:right="100" w:firstLine="238"/>
        <w:spacing w:after="0" w:line="255" w:lineRule="auto"/>
        <w:rPr>
          <w:sz w:val="20"/>
          <w:szCs w:val="20"/>
          <w:color w:val="auto"/>
        </w:rPr>
      </w:pPr>
      <w:r>
        <w:rPr>
          <w:rFonts w:ascii="Times New Roman" w:cs="Times New Roman" w:eastAsia="Times New Roman" w:hAnsi="Times New Roman"/>
          <w:sz w:val="18"/>
          <w:szCs w:val="18"/>
          <w:color w:val="auto"/>
        </w:rPr>
        <w:t>The increase in customer traffic primarily was due to the favorable change in operating capacity of the restaurants during the nine months ended September 30, 2022 compared to the same period of 2021. All 69 of the Applebee's company-operated restaurants are located in South Carolina or North Carolina. Since the second week of January 2021, the 27 restaurants in South Carolina have operated without capacity limitations, while the 42 restaurants in North Carolina operated at 50% capacity until June 1, 2021, from which point those 42 restaurants also were able to operate without capacity limitations.</w:t>
      </w:r>
    </w:p>
    <w:p>
      <w:pPr>
        <w:spacing w:after="0" w:line="207" w:lineRule="exact"/>
        <w:rPr>
          <w:sz w:val="20"/>
          <w:szCs w:val="20"/>
          <w:color w:val="auto"/>
        </w:rPr>
      </w:pPr>
    </w:p>
    <w:p>
      <w:pPr>
        <w:ind w:right="400" w:firstLine="238"/>
        <w:spacing w:after="0" w:line="255" w:lineRule="auto"/>
        <w:rPr>
          <w:sz w:val="20"/>
          <w:szCs w:val="20"/>
          <w:color w:val="auto"/>
        </w:rPr>
      </w:pPr>
      <w:r>
        <w:rPr>
          <w:rFonts w:ascii="Times New Roman" w:cs="Times New Roman" w:eastAsia="Times New Roman" w:hAnsi="Times New Roman"/>
          <w:sz w:val="18"/>
          <w:szCs w:val="18"/>
          <w:color w:val="auto"/>
        </w:rPr>
        <w:t>Gross profit and gross profit as a percentage of revenue for the three months ended September 30, 2022 were favorable compared to the same period of 2021, due to increased sales, partially offset by higher food, labor and delivery costs. Gross profit and gross profit as a percentage of revenue for the nine months ended September 30, 2022 were unfavorable compared to the same period of 2021, due to higher food, labor and delivery costs, partially offset by increased sales.</w:t>
      </w:r>
    </w:p>
    <w:p>
      <w:pPr>
        <w:spacing w:after="0" w:line="207" w:lineRule="exact"/>
        <w:rPr>
          <w:sz w:val="20"/>
          <w:szCs w:val="20"/>
          <w:color w:val="auto"/>
        </w:rPr>
      </w:pPr>
    </w:p>
    <w:p>
      <w:pPr>
        <w:ind w:right="200" w:firstLine="238"/>
        <w:spacing w:after="0" w:line="259" w:lineRule="auto"/>
        <w:rPr>
          <w:sz w:val="20"/>
          <w:szCs w:val="20"/>
          <w:color w:val="auto"/>
        </w:rPr>
      </w:pPr>
      <w:r>
        <w:rPr>
          <w:rFonts w:ascii="Times New Roman" w:cs="Times New Roman" w:eastAsia="Times New Roman" w:hAnsi="Times New Roman"/>
          <w:sz w:val="18"/>
          <w:szCs w:val="18"/>
          <w:color w:val="auto"/>
        </w:rPr>
        <w:t>Company segment restaurant expenses include costs associated with reacquired IHOP restaurants in the process of being refranchised. There were no reacquired IHOP restaurants expenses during the three and nine months ended September 30, 2022 and expenses were incurred during the nine months ended September 30, 2021.</w:t>
      </w:r>
    </w:p>
    <w:p>
      <w:pPr>
        <w:spacing w:after="0" w:line="204" w:lineRule="exact"/>
        <w:rPr>
          <w:sz w:val="20"/>
          <w:szCs w:val="20"/>
          <w:color w:val="auto"/>
        </w:rPr>
      </w:pPr>
    </w:p>
    <w:p>
      <w:pPr>
        <w:ind w:right="640" w:firstLine="238"/>
        <w:spacing w:after="0" w:line="274" w:lineRule="auto"/>
        <w:rPr>
          <w:sz w:val="20"/>
          <w:szCs w:val="20"/>
          <w:color w:val="auto"/>
        </w:rPr>
      </w:pPr>
      <w:r>
        <w:rPr>
          <w:rFonts w:ascii="Times New Roman" w:cs="Times New Roman" w:eastAsia="Times New Roman" w:hAnsi="Times New Roman"/>
          <w:sz w:val="18"/>
          <w:szCs w:val="18"/>
          <w:color w:val="auto"/>
        </w:rPr>
        <w:t>On July 26, 2022, the Company entered into an asset purchase agreement for the refranchising and sale of related restaurant assets of 69 Applebee’s company-operated restaurants located in North Carolina and South Carolina. This sale closed on October 25, 2022.</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Financing Operations</w:t>
      </w:r>
    </w:p>
    <w:p>
      <w:pPr>
        <w:spacing w:after="0" w:line="246" w:lineRule="exact"/>
        <w:rPr>
          <w:sz w:val="20"/>
          <w:szCs w:val="20"/>
          <w:color w:val="auto"/>
        </w:rPr>
      </w:pPr>
    </w:p>
    <w:p>
      <w:pPr>
        <w:ind w:right="420" w:firstLine="318"/>
        <w:spacing w:after="0" w:line="274" w:lineRule="auto"/>
        <w:rPr>
          <w:sz w:val="20"/>
          <w:szCs w:val="20"/>
          <w:color w:val="auto"/>
        </w:rPr>
      </w:pPr>
      <w:r>
        <w:rPr>
          <w:rFonts w:ascii="Times New Roman" w:cs="Times New Roman" w:eastAsia="Times New Roman" w:hAnsi="Times New Roman"/>
          <w:sz w:val="18"/>
          <w:szCs w:val="18"/>
          <w:color w:val="auto"/>
        </w:rPr>
        <w:t>Financing revenues primarily consist of interest income from the financing of IHOP equipment leases and franchise fees as well as interest income on Applebee's notes receivable from franchisees. Financing expenses are the cost of taxes related to IHOP equipment leases.</w:t>
      </w:r>
    </w:p>
    <w:p>
      <w:pPr>
        <w:spacing w:after="0" w:line="190" w:lineRule="exact"/>
        <w:rPr>
          <w:sz w:val="20"/>
          <w:szCs w:val="20"/>
          <w:color w:val="auto"/>
        </w:rPr>
      </w:pPr>
    </w:p>
    <w:p>
      <w:pPr>
        <w:ind w:right="560" w:firstLine="318"/>
        <w:spacing w:after="0" w:line="274" w:lineRule="auto"/>
        <w:rPr>
          <w:sz w:val="20"/>
          <w:szCs w:val="20"/>
          <w:color w:val="auto"/>
        </w:rPr>
      </w:pPr>
      <w:r>
        <w:rPr>
          <w:rFonts w:ascii="Times New Roman" w:cs="Times New Roman" w:eastAsia="Times New Roman" w:hAnsi="Times New Roman"/>
          <w:sz w:val="18"/>
          <w:szCs w:val="18"/>
          <w:color w:val="auto"/>
        </w:rPr>
        <w:t>Financing revenue and gross profit for the three and nine months ended September 30, 2022 declined compared to the same period of the prior year, primarily because of progressive declines in interest income as note balances are repaid.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G&amp;A Expenses</w:t>
            </w:r>
          </w:p>
        </w:tc>
        <w:tc>
          <w:tcPr>
            <w:tcW w:w="120" w:type="dxa"/>
            <w:vAlign w:val="bottom"/>
          </w:tcPr>
          <w:p>
            <w:pPr>
              <w:spacing w:after="0"/>
              <w:rPr>
                <w:sz w:val="17"/>
                <w:szCs w:val="17"/>
                <w:color w:val="auto"/>
              </w:rPr>
            </w:pPr>
          </w:p>
        </w:tc>
        <w:tc>
          <w:tcPr>
            <w:tcW w:w="2700" w:type="dxa"/>
            <w:vAlign w:val="bottom"/>
            <w:gridSpan w:val="5"/>
            <w:vMerge w:val="restart"/>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20" w:type="dxa"/>
            <w:vAlign w:val="bottom"/>
          </w:tcPr>
          <w:p>
            <w:pPr>
              <w:spacing w:after="0"/>
              <w:rPr>
                <w:sz w:val="17"/>
                <w:szCs w:val="17"/>
                <w:color w:val="auto"/>
              </w:rPr>
            </w:pPr>
          </w:p>
        </w:tc>
        <w:tc>
          <w:tcPr>
            <w:tcW w:w="10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9"/>
              </w:rPr>
              <w:t>Favorable</w:t>
            </w:r>
          </w:p>
        </w:tc>
        <w:tc>
          <w:tcPr>
            <w:tcW w:w="2540" w:type="dxa"/>
            <w:vAlign w:val="bottom"/>
            <w:gridSpan w:val="6"/>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140" w:type="dxa"/>
            <w:vAlign w:val="bottom"/>
          </w:tcPr>
          <w:p>
            <w:pPr>
              <w:spacing w:after="0"/>
              <w:rPr>
                <w:sz w:val="17"/>
                <w:szCs w:val="17"/>
                <w:color w:val="auto"/>
              </w:rPr>
            </w:pPr>
          </w:p>
        </w:tc>
        <w:tc>
          <w:tcPr>
            <w:tcW w:w="960" w:type="dxa"/>
            <w:vAlign w:val="bottom"/>
            <w:vMerge w:val="restart"/>
          </w:tcPr>
          <w:p>
            <w:pPr>
              <w:jc w:val="center"/>
              <w:ind w:right="68"/>
              <w:spacing w:after="0"/>
              <w:rPr>
                <w:sz w:val="20"/>
                <w:szCs w:val="20"/>
                <w:color w:val="auto"/>
              </w:rPr>
            </w:pPr>
            <w:r>
              <w:rPr>
                <w:rFonts w:ascii="Times New Roman" w:cs="Times New Roman" w:eastAsia="Times New Roman" w:hAnsi="Times New Roman"/>
                <w:sz w:val="13"/>
                <w:szCs w:val="13"/>
                <w:b w:val="1"/>
                <w:bCs w:val="1"/>
                <w:color w:val="auto"/>
              </w:rPr>
              <w:t>Favorable</w:t>
            </w:r>
          </w:p>
        </w:tc>
        <w:tc>
          <w:tcPr>
            <w:tcW w:w="0" w:type="dxa"/>
            <w:vAlign w:val="bottom"/>
          </w:tcPr>
          <w:p>
            <w:pPr>
              <w:spacing w:after="0"/>
              <w:rPr>
                <w:sz w:val="1"/>
                <w:szCs w:val="1"/>
                <w:color w:val="auto"/>
              </w:rPr>
            </w:pPr>
          </w:p>
        </w:tc>
      </w:tr>
      <w:tr>
        <w:trPr>
          <w:trHeight w:val="99"/>
        </w:trPr>
        <w:tc>
          <w:tcPr>
            <w:tcW w:w="1160" w:type="dxa"/>
            <w:vAlign w:val="bottom"/>
            <w:tcBorders>
              <w:top w:val="single" w:sz="8" w:color="auto"/>
            </w:tcBorders>
          </w:tcPr>
          <w:p>
            <w:pPr>
              <w:spacing w:after="0"/>
              <w:rPr>
                <w:sz w:val="8"/>
                <w:szCs w:val="8"/>
                <w:color w:val="auto"/>
              </w:rPr>
            </w:pPr>
          </w:p>
        </w:tc>
        <w:tc>
          <w:tcPr>
            <w:tcW w:w="2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700" w:type="dxa"/>
            <w:vAlign w:val="bottom"/>
            <w:gridSpan w:val="5"/>
            <w:vMerge w:val="continue"/>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gridSpan w:val="2"/>
            <w:vMerge w:val="continue"/>
          </w:tcPr>
          <w:p>
            <w:pPr>
              <w:spacing w:after="0"/>
              <w:rPr>
                <w:sz w:val="8"/>
                <w:szCs w:val="8"/>
                <w:color w:val="auto"/>
              </w:rPr>
            </w:pPr>
          </w:p>
        </w:tc>
        <w:tc>
          <w:tcPr>
            <w:tcW w:w="2540" w:type="dxa"/>
            <w:vAlign w:val="bottom"/>
            <w:gridSpan w:val="6"/>
            <w:vMerge w:val="continue"/>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116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gridSpan w:val="2"/>
            <w:vMerge w:val="restart"/>
          </w:tcPr>
          <w:p>
            <w:pPr>
              <w:jc w:val="center"/>
              <w:ind w:right="240"/>
              <w:spacing w:after="0" w:line="119" w:lineRule="exact"/>
              <w:rPr>
                <w:sz w:val="20"/>
                <w:szCs w:val="20"/>
                <w:color w:val="auto"/>
              </w:rPr>
            </w:pPr>
            <w:r>
              <w:rPr>
                <w:rFonts w:ascii="Times New Roman" w:cs="Times New Roman" w:eastAsia="Times New Roman" w:hAnsi="Times New Roman"/>
                <w:sz w:val="13"/>
                <w:szCs w:val="13"/>
                <w:b w:val="1"/>
                <w:bCs w:val="1"/>
                <w:color w:val="auto"/>
              </w:rPr>
              <w:t>(Unfavorable)</w:t>
            </w:r>
          </w:p>
        </w:tc>
        <w:tc>
          <w:tcPr>
            <w:tcW w:w="30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vMerge w:val="restart"/>
          </w:tcPr>
          <w:p>
            <w:pPr>
              <w:jc w:val="center"/>
              <w:ind w:right="68"/>
              <w:spacing w:after="0" w:line="119" w:lineRule="exact"/>
              <w:rPr>
                <w:sz w:val="20"/>
                <w:szCs w:val="20"/>
                <w:color w:val="auto"/>
              </w:rPr>
            </w:pPr>
            <w:r>
              <w:rPr>
                <w:rFonts w:ascii="Times New Roman" w:cs="Times New Roman" w:eastAsia="Times New Roman" w:hAnsi="Times New Roman"/>
                <w:sz w:val="13"/>
                <w:szCs w:val="13"/>
                <w:b w:val="1"/>
                <w:bCs w:val="1"/>
                <w:color w:val="auto"/>
                <w:w w:val="99"/>
              </w:rPr>
              <w:t>(Unfavorable)</w:t>
            </w:r>
          </w:p>
        </w:tc>
        <w:tc>
          <w:tcPr>
            <w:tcW w:w="0" w:type="dxa"/>
            <w:vAlign w:val="bottom"/>
          </w:tcPr>
          <w:p>
            <w:pPr>
              <w:spacing w:after="0"/>
              <w:rPr>
                <w:sz w:val="1"/>
                <w:szCs w:val="1"/>
                <w:color w:val="auto"/>
              </w:rPr>
            </w:pPr>
          </w:p>
        </w:tc>
      </w:tr>
      <w:tr>
        <w:trPr>
          <w:trHeight w:val="46"/>
        </w:trPr>
        <w:tc>
          <w:tcPr>
            <w:tcW w:w="1160" w:type="dxa"/>
            <w:vAlign w:val="bottom"/>
          </w:tcPr>
          <w:p>
            <w:pPr>
              <w:spacing w:after="0"/>
              <w:rPr>
                <w:sz w:val="4"/>
                <w:szCs w:val="4"/>
                <w:color w:val="auto"/>
              </w:rPr>
            </w:pPr>
          </w:p>
        </w:tc>
        <w:tc>
          <w:tcPr>
            <w:tcW w:w="2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vMerge w:val="restart"/>
          </w:tcPr>
          <w:p>
            <w:pPr>
              <w:jc w:val="right"/>
              <w:ind w:right="39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vMerge w:val="restart"/>
          </w:tcPr>
          <w:p>
            <w:pPr>
              <w:jc w:val="right"/>
              <w:ind w:right="39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8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860" w:type="dxa"/>
            <w:vAlign w:val="bottom"/>
            <w:vMerge w:val="restart"/>
          </w:tcPr>
          <w:p>
            <w:pPr>
              <w:jc w:val="right"/>
              <w:ind w:right="33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vMerge w:val="restart"/>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1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8"/>
              </w:rPr>
              <w:t>Variance</w:t>
            </w: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68"/>
              <w:spacing w:after="0"/>
              <w:rPr>
                <w:sz w:val="20"/>
                <w:szCs w:val="20"/>
                <w:color w:val="auto"/>
              </w:rPr>
            </w:pPr>
            <w:r>
              <w:rPr>
                <w:rFonts w:ascii="Times New Roman" w:cs="Times New Roman" w:eastAsia="Times New Roman" w:hAnsi="Times New Roman"/>
                <w:sz w:val="13"/>
                <w:szCs w:val="13"/>
                <w:b w:val="1"/>
                <w:bCs w:val="1"/>
                <w:color w:val="auto"/>
                <w:w w:val="98"/>
              </w:rPr>
              <w:t>Variance</w:t>
            </w:r>
          </w:p>
        </w:tc>
        <w:tc>
          <w:tcPr>
            <w:tcW w:w="0" w:type="dxa"/>
            <w:vAlign w:val="bottom"/>
          </w:tcPr>
          <w:p>
            <w:pPr>
              <w:spacing w:after="0"/>
              <w:rPr>
                <w:sz w:val="1"/>
                <w:szCs w:val="1"/>
                <w:color w:val="auto"/>
              </w:rPr>
            </w:pPr>
          </w:p>
        </w:tc>
      </w:tr>
      <w:tr>
        <w:trPr>
          <w:trHeight w:val="182"/>
        </w:trPr>
        <w:tc>
          <w:tcPr>
            <w:tcW w:w="1160" w:type="dxa"/>
            <w:vAlign w:val="bottom"/>
          </w:tcPr>
          <w:p>
            <w:pPr>
              <w:spacing w:after="0"/>
              <w:rPr>
                <w:sz w:val="15"/>
                <w:szCs w:val="15"/>
                <w:color w:val="auto"/>
              </w:rPr>
            </w:pPr>
          </w:p>
        </w:tc>
        <w:tc>
          <w:tcPr>
            <w:tcW w:w="2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G&amp;A expenses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0"/>
                <w:szCs w:val="20"/>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131.9</w:t>
            </w:r>
          </w:p>
        </w:tc>
        <w:tc>
          <w:tcPr>
            <w:tcW w:w="100" w:type="dxa"/>
            <w:vAlign w:val="bottom"/>
          </w:tcPr>
          <w:p>
            <w:pPr>
              <w:spacing w:after="0"/>
              <w:rPr>
                <w:sz w:val="20"/>
                <w:szCs w:val="20"/>
                <w:color w:val="auto"/>
              </w:rPr>
            </w:pPr>
          </w:p>
        </w:tc>
        <w:tc>
          <w:tcPr>
            <w:tcW w:w="26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ind w:right="120" w:firstLine="318"/>
        <w:spacing w:after="0" w:line="255" w:lineRule="auto"/>
        <w:rPr>
          <w:sz w:val="20"/>
          <w:szCs w:val="20"/>
          <w:color w:val="auto"/>
        </w:rPr>
      </w:pPr>
      <w:r>
        <w:rPr>
          <w:rFonts w:ascii="Times New Roman" w:cs="Times New Roman" w:eastAsia="Times New Roman" w:hAnsi="Times New Roman"/>
          <w:sz w:val="18"/>
          <w:szCs w:val="18"/>
          <w:color w:val="auto"/>
        </w:rPr>
        <w:t>G&amp;A expenses for the three months ended September 30, 2022 increased 6.0% compared to the same period of the prior year, primarily due to increases in professional services, occupancy costs, software maintenance, and travel and conference expenses, partially offset by a decrease in personnel-related costs primarily related to employee bonuses. Included in total G&amp;A expenses for the three months ended September 30, 2022 was $1.8 million of expense related to company-operated restaurants, a slight increase from the same period of 2021.</w:t>
      </w:r>
    </w:p>
    <w:p>
      <w:pPr>
        <w:spacing w:after="0" w:line="207" w:lineRule="exact"/>
        <w:rPr>
          <w:sz w:val="20"/>
          <w:szCs w:val="20"/>
          <w:color w:val="auto"/>
        </w:rPr>
      </w:pPr>
    </w:p>
    <w:p>
      <w:pPr>
        <w:ind w:right="100" w:firstLine="318"/>
        <w:spacing w:after="0" w:line="255" w:lineRule="auto"/>
        <w:rPr>
          <w:sz w:val="20"/>
          <w:szCs w:val="20"/>
          <w:color w:val="auto"/>
        </w:rPr>
      </w:pPr>
      <w:r>
        <w:rPr>
          <w:rFonts w:ascii="Times New Roman" w:cs="Times New Roman" w:eastAsia="Times New Roman" w:hAnsi="Times New Roman"/>
          <w:sz w:val="18"/>
          <w:szCs w:val="18"/>
          <w:color w:val="auto"/>
        </w:rPr>
        <w:t>G&amp;A expenses for the nine months ended September 30, 2022 increased 7.4% compared to the same period of the prior year, primarily due to increases in professional services, travel and conference expenses and occupancy costs, partially offset by a decrease in personnel-related costs primarily related to employee bonuses. Included in total G&amp;A expenses for the nine months ended September 30, 2022 was $5.4 million of expense related to company-operated restaurants, an increase of $0.2 million from the same period of 2021.</w:t>
      </w:r>
    </w:p>
    <w:p>
      <w:pPr>
        <w:spacing w:after="0" w:line="200" w:lineRule="exact"/>
        <w:rPr>
          <w:sz w:val="20"/>
          <w:szCs w:val="20"/>
          <w:color w:val="auto"/>
        </w:rPr>
      </w:pPr>
    </w:p>
    <w:p>
      <w:pPr>
        <w:spacing w:after="0" w:line="249" w:lineRule="exact"/>
        <w:rPr>
          <w:sz w:val="20"/>
          <w:szCs w:val="20"/>
          <w:color w:val="auto"/>
        </w:rPr>
      </w:pPr>
    </w:p>
    <w:tbl>
      <w:tblPr>
        <w:tblLayout w:type="fixed"/>
        <w:tblInd w:w="320" w:type="dxa"/>
        <w:tblCellMar>
          <w:top w:w="0" w:type="dxa"/>
          <w:left w:w="0" w:type="dxa"/>
          <w:bottom w:w="0" w:type="dxa"/>
          <w:right w:w="0" w:type="dxa"/>
        </w:tblCellMar>
      </w:tblPr>
      <w:tr>
        <w:trPr>
          <w:trHeight w:val="227"/>
        </w:trPr>
        <w:tc>
          <w:tcPr>
            <w:tcW w:w="100" w:type="dxa"/>
            <w:vAlign w:val="bottom"/>
          </w:tcPr>
          <w:p>
            <w:pPr>
              <w:spacing w:after="0"/>
              <w:rPr>
                <w:sz w:val="19"/>
                <w:szCs w:val="19"/>
                <w:color w:val="auto"/>
              </w:rPr>
            </w:pPr>
          </w:p>
        </w:tc>
        <w:tc>
          <w:tcPr>
            <w:tcW w:w="2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Closure and Impairment Charges</w:t>
            </w:r>
          </w:p>
        </w:tc>
        <w:tc>
          <w:tcPr>
            <w:tcW w:w="1100" w:type="dxa"/>
            <w:vAlign w:val="bottom"/>
          </w:tcPr>
          <w:p>
            <w:pPr>
              <w:spacing w:after="0"/>
              <w:rPr>
                <w:sz w:val="19"/>
                <w:szCs w:val="19"/>
                <w:color w:val="auto"/>
              </w:rPr>
            </w:pPr>
          </w:p>
        </w:tc>
        <w:tc>
          <w:tcPr>
            <w:tcW w:w="2380" w:type="dxa"/>
            <w:vAlign w:val="bottom"/>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September</w:t>
            </w:r>
          </w:p>
        </w:tc>
        <w:tc>
          <w:tcPr>
            <w:tcW w:w="180" w:type="dxa"/>
            <w:vAlign w:val="bottom"/>
          </w:tcPr>
          <w:p>
            <w:pPr>
              <w:spacing w:after="0"/>
              <w:rPr>
                <w:sz w:val="19"/>
                <w:szCs w:val="19"/>
                <w:color w:val="auto"/>
              </w:rPr>
            </w:pPr>
          </w:p>
        </w:tc>
        <w:tc>
          <w:tcPr>
            <w:tcW w:w="124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Favorable</w:t>
            </w:r>
          </w:p>
        </w:tc>
        <w:tc>
          <w:tcPr>
            <w:tcW w:w="300" w:type="dxa"/>
            <w:vAlign w:val="bottom"/>
          </w:tcPr>
          <w:p>
            <w:pPr>
              <w:spacing w:after="0"/>
              <w:rPr>
                <w:sz w:val="19"/>
                <w:szCs w:val="19"/>
                <w:color w:val="auto"/>
              </w:rPr>
            </w:pPr>
          </w:p>
        </w:tc>
        <w:tc>
          <w:tcPr>
            <w:tcW w:w="1920" w:type="dxa"/>
            <w:vAlign w:val="bottom"/>
            <w:gridSpan w:val="5"/>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Nine Months Ended</w:t>
            </w:r>
          </w:p>
        </w:tc>
        <w:tc>
          <w:tcPr>
            <w:tcW w:w="180" w:type="dxa"/>
            <w:vAlign w:val="bottom"/>
          </w:tcPr>
          <w:p>
            <w:pPr>
              <w:spacing w:after="0"/>
              <w:rPr>
                <w:sz w:val="19"/>
                <w:szCs w:val="19"/>
                <w:color w:val="auto"/>
              </w:rPr>
            </w:pPr>
          </w:p>
        </w:tc>
        <w:tc>
          <w:tcPr>
            <w:tcW w:w="1080" w:type="dxa"/>
            <w:vAlign w:val="bottom"/>
            <w:vMerge w:val="restart"/>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152"/>
        </w:trPr>
        <w:tc>
          <w:tcPr>
            <w:tcW w:w="100" w:type="dxa"/>
            <w:vAlign w:val="bottom"/>
          </w:tcPr>
          <w:p>
            <w:pPr>
              <w:spacing w:after="0"/>
              <w:rPr>
                <w:sz w:val="13"/>
                <w:szCs w:val="13"/>
                <w:color w:val="auto"/>
              </w:rPr>
            </w:pPr>
          </w:p>
        </w:tc>
        <w:tc>
          <w:tcPr>
            <w:tcW w:w="25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gridSpan w:val="3"/>
          </w:tcPr>
          <w:p>
            <w:pPr>
              <w:jc w:val="right"/>
              <w:ind w:right="112"/>
              <w:spacing w:after="0" w:line="152" w:lineRule="exact"/>
              <w:rPr>
                <w:sz w:val="20"/>
                <w:szCs w:val="20"/>
                <w:color w:val="auto"/>
              </w:rPr>
            </w:pPr>
            <w:r>
              <w:rPr>
                <w:rFonts w:ascii="Times New Roman" w:cs="Times New Roman" w:eastAsia="Times New Roman" w:hAnsi="Times New Roman"/>
                <w:sz w:val="16"/>
                <w:szCs w:val="16"/>
                <w:b w:val="1"/>
                <w:bCs w:val="1"/>
                <w:color w:val="auto"/>
                <w:w w:val="99"/>
              </w:rPr>
              <w:t>30,</w:t>
            </w: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920" w:type="dxa"/>
            <w:vAlign w:val="bottom"/>
            <w:gridSpan w:val="5"/>
          </w:tcPr>
          <w:p>
            <w:pPr>
              <w:jc w:val="center"/>
              <w:ind w:right="400"/>
              <w:spacing w:after="0" w:line="152" w:lineRule="exact"/>
              <w:rPr>
                <w:sz w:val="20"/>
                <w:szCs w:val="20"/>
                <w:color w:val="auto"/>
              </w:rPr>
            </w:pPr>
            <w:r>
              <w:rPr>
                <w:rFonts w:ascii="Times New Roman" w:cs="Times New Roman" w:eastAsia="Times New Roman" w:hAnsi="Times New Roman"/>
                <w:sz w:val="16"/>
                <w:szCs w:val="16"/>
                <w:b w:val="1"/>
                <w:bCs w:val="1"/>
                <w:color w:val="auto"/>
                <w:w w:val="98"/>
              </w:rPr>
              <w:t>September 30,</w:t>
            </w:r>
          </w:p>
        </w:tc>
        <w:tc>
          <w:tcPr>
            <w:tcW w:w="18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3"/>
        </w:trPr>
        <w:tc>
          <w:tcPr>
            <w:tcW w:w="100" w:type="dxa"/>
            <w:vAlign w:val="bottom"/>
          </w:tcPr>
          <w:p>
            <w:pPr>
              <w:spacing w:after="0"/>
              <w:rPr>
                <w:sz w:val="4"/>
                <w:szCs w:val="4"/>
                <w:color w:val="auto"/>
              </w:rPr>
            </w:pPr>
          </w:p>
        </w:tc>
        <w:tc>
          <w:tcPr>
            <w:tcW w:w="25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restart"/>
          </w:tcPr>
          <w:p>
            <w:pPr>
              <w:jc w:val="center"/>
              <w:ind w:right="280"/>
              <w:spacing w:after="0" w:line="108" w:lineRule="exact"/>
              <w:rPr>
                <w:sz w:val="20"/>
                <w:szCs w:val="20"/>
                <w:color w:val="auto"/>
              </w:rPr>
            </w:pPr>
            <w:r>
              <w:rPr>
                <w:rFonts w:ascii="Times New Roman" w:cs="Times New Roman" w:eastAsia="Times New Roman" w:hAnsi="Times New Roman"/>
                <w:sz w:val="12"/>
                <w:szCs w:val="12"/>
                <w:b w:val="1"/>
                <w:bCs w:val="1"/>
                <w:color w:val="auto"/>
              </w:rPr>
              <w:t>(Unfavorable)</w:t>
            </w:r>
          </w:p>
        </w:tc>
        <w:tc>
          <w:tcPr>
            <w:tcW w:w="3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80" w:type="dxa"/>
            <w:vAlign w:val="bottom"/>
            <w:vMerge w:val="restart"/>
          </w:tcPr>
          <w:p>
            <w:pPr>
              <w:jc w:val="center"/>
              <w:ind w:right="42"/>
              <w:spacing w:after="0" w:line="108" w:lineRule="exact"/>
              <w:rPr>
                <w:sz w:val="20"/>
                <w:szCs w:val="20"/>
                <w:color w:val="auto"/>
              </w:rPr>
            </w:pPr>
            <w:r>
              <w:rPr>
                <w:rFonts w:ascii="Times New Roman" w:cs="Times New Roman" w:eastAsia="Times New Roman" w:hAnsi="Times New Roman"/>
                <w:sz w:val="12"/>
                <w:szCs w:val="12"/>
                <w:b w:val="1"/>
                <w:bCs w:val="1"/>
                <w:color w:val="auto"/>
              </w:rPr>
              <w:t>(Unfavorable)</w:t>
            </w:r>
          </w:p>
        </w:tc>
        <w:tc>
          <w:tcPr>
            <w:tcW w:w="0" w:type="dxa"/>
            <w:vAlign w:val="bottom"/>
          </w:tcPr>
          <w:p>
            <w:pPr>
              <w:spacing w:after="0"/>
              <w:rPr>
                <w:sz w:val="1"/>
                <w:szCs w:val="1"/>
                <w:color w:val="auto"/>
              </w:rPr>
            </w:pPr>
          </w:p>
        </w:tc>
      </w:tr>
      <w:tr>
        <w:trPr>
          <w:trHeight w:val="35"/>
        </w:trPr>
        <w:tc>
          <w:tcPr>
            <w:tcW w:w="10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80" w:type="dxa"/>
            <w:vAlign w:val="bottom"/>
            <w:vMerge w:val="restart"/>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vMerge w:val="restart"/>
          </w:tcPr>
          <w:p>
            <w:pPr>
              <w:jc w:val="right"/>
              <w:ind w:right="29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720" w:type="dxa"/>
            <w:vAlign w:val="bottom"/>
            <w:vMerge w:val="restart"/>
          </w:tcPr>
          <w:p>
            <w:pPr>
              <w:jc w:val="right"/>
              <w:ind w:right="25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60" w:type="dxa"/>
            <w:vAlign w:val="bottom"/>
            <w:vMerge w:val="restart"/>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8"/>
        </w:trPr>
        <w:tc>
          <w:tcPr>
            <w:tcW w:w="1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5"/>
              </w:rPr>
              <w:t>Variance</w:t>
            </w:r>
          </w:p>
        </w:tc>
        <w:tc>
          <w:tcPr>
            <w:tcW w:w="3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37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Closure charges</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420" w:type="dxa"/>
            <w:vAlign w:val="bottom"/>
            <w:gridSpan w:val="3"/>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center"/>
              <w:ind w:left="374"/>
              <w:spacing w:after="0"/>
              <w:rPr>
                <w:sz w:val="20"/>
                <w:szCs w:val="20"/>
                <w:color w:val="auto"/>
              </w:rPr>
            </w:pPr>
            <w:r>
              <w:rPr>
                <w:rFonts w:ascii="Times New Roman" w:cs="Times New Roman" w:eastAsia="Times New Roman" w:hAnsi="Times New Roman"/>
                <w:sz w:val="18"/>
                <w:szCs w:val="18"/>
                <w:color w:val="auto"/>
                <w:w w:val="97"/>
              </w:rPr>
              <w:t>0.4</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5"/>
        </w:trPr>
        <w:tc>
          <w:tcPr>
            <w:tcW w:w="374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8"/>
                <w:szCs w:val="18"/>
                <w:color w:val="auto"/>
              </w:rPr>
              <w:t>Long-lived tangible asset impairment</w:t>
            </w: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center"/>
              <w:ind w:left="374"/>
              <w:spacing w:after="0"/>
              <w:rPr>
                <w:sz w:val="20"/>
                <w:szCs w:val="20"/>
                <w:color w:val="auto"/>
              </w:rPr>
            </w:pPr>
            <w:r>
              <w:rPr>
                <w:rFonts w:ascii="Times New Roman" w:cs="Times New Roman" w:eastAsia="Times New Roman" w:hAnsi="Times New Roman"/>
                <w:sz w:val="18"/>
                <w:szCs w:val="18"/>
                <w:color w:val="auto"/>
                <w:w w:val="98"/>
              </w:rPr>
              <w:t>(0.0)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0" w:type="dxa"/>
            <w:vAlign w:val="bottom"/>
          </w:tcPr>
          <w:p>
            <w:pPr>
              <w:spacing w:after="0"/>
              <w:rPr>
                <w:sz w:val="1"/>
                <w:szCs w:val="1"/>
                <w:color w:val="auto"/>
              </w:rPr>
            </w:pPr>
          </w:p>
        </w:tc>
      </w:tr>
      <w:tr>
        <w:trPr>
          <w:trHeight w:val="243"/>
        </w:trPr>
        <w:tc>
          <w:tcPr>
            <w:tcW w:w="374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closure and impairment charges</w:t>
            </w:r>
          </w:p>
        </w:tc>
        <w:tc>
          <w:tcPr>
            <w:tcW w:w="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center"/>
              <w:ind w:left="374"/>
              <w:spacing w:after="0"/>
              <w:rPr>
                <w:sz w:val="20"/>
                <w:szCs w:val="20"/>
                <w:color w:val="auto"/>
              </w:rPr>
            </w:pPr>
            <w:r>
              <w:rPr>
                <w:rFonts w:ascii="Times New Roman" w:cs="Times New Roman" w:eastAsia="Times New Roman" w:hAnsi="Times New Roman"/>
                <w:sz w:val="18"/>
                <w:szCs w:val="18"/>
                <w:color w:val="auto"/>
                <w:w w:val="97"/>
              </w:rPr>
              <w:t>0.4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5" w:lineRule="exact"/>
        <w:rPr>
          <w:sz w:val="20"/>
          <w:szCs w:val="20"/>
          <w:color w:val="auto"/>
        </w:rPr>
      </w:pPr>
    </w:p>
    <w:p>
      <w:pPr>
        <w:ind w:right="440" w:firstLine="318"/>
        <w:spacing w:after="0" w:line="232" w:lineRule="auto"/>
        <w:rPr>
          <w:sz w:val="20"/>
          <w:szCs w:val="20"/>
          <w:color w:val="auto"/>
        </w:rPr>
      </w:pPr>
      <w:r>
        <w:rPr>
          <w:rFonts w:ascii="Times New Roman" w:cs="Times New Roman" w:eastAsia="Times New Roman" w:hAnsi="Times New Roman"/>
          <w:sz w:val="18"/>
          <w:szCs w:val="18"/>
          <w:color w:val="auto"/>
        </w:rPr>
        <w:t>The closure charges for the three and nine months ended September 30, 2022 were approximately 30 and 35 IHOP restaurants, respectively, and were primarily related to the revisions to existing closure reserves, including accretion. The closure charges for the three and nine months ended September 30, 2021 were approximately 50 and 55 IHOP restaurants, respectively, and were primarily related to the establishment of, or revisions to existing closure reserves, including accretion.</w:t>
      </w:r>
    </w:p>
    <w:p>
      <w:pPr>
        <w:spacing w:after="0" w:line="207" w:lineRule="exact"/>
        <w:rPr>
          <w:sz w:val="20"/>
          <w:szCs w:val="20"/>
          <w:color w:val="auto"/>
        </w:rPr>
      </w:pPr>
    </w:p>
    <w:p>
      <w:pPr>
        <w:ind w:right="140" w:firstLine="318"/>
        <w:spacing w:after="0" w:line="275" w:lineRule="auto"/>
        <w:rPr>
          <w:sz w:val="20"/>
          <w:szCs w:val="20"/>
          <w:color w:val="auto"/>
        </w:rPr>
      </w:pPr>
      <w:r>
        <w:rPr>
          <w:rFonts w:ascii="Times New Roman" w:cs="Times New Roman" w:eastAsia="Times New Roman" w:hAnsi="Times New Roman"/>
          <w:sz w:val="18"/>
          <w:szCs w:val="18"/>
          <w:color w:val="auto"/>
        </w:rPr>
        <w:t>Long-lived tangible asset impairment charges for the three and nine months ended September 30, 2022 related to the Applebee's company-operated restaurants and the impairment of land and buildings for two IHOP restaurants located on sites owned by us. Long-lived tangible asset impairment charges for the nine months ended September 30, 2021 related to four IHOP franchisee-operated restaurants.</w:t>
      </w:r>
    </w:p>
    <w:p>
      <w:pPr>
        <w:spacing w:after="0" w:line="200" w:lineRule="exact"/>
        <w:rPr>
          <w:sz w:val="20"/>
          <w:szCs w:val="20"/>
          <w:color w:val="auto"/>
        </w:rPr>
      </w:pPr>
    </w:p>
    <w:p>
      <w:pPr>
        <w:spacing w:after="0" w:line="274"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4040" w:type="dxa"/>
            <w:vAlign w:val="bottom"/>
            <w:gridSpan w:val="3"/>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Other Income and Expense Items</w:t>
            </w:r>
          </w:p>
        </w:tc>
        <w:tc>
          <w:tcPr>
            <w:tcW w:w="2400" w:type="dxa"/>
            <w:vAlign w:val="bottom"/>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September</w:t>
            </w:r>
          </w:p>
        </w:tc>
        <w:tc>
          <w:tcPr>
            <w:tcW w:w="160" w:type="dxa"/>
            <w:vAlign w:val="bottom"/>
          </w:tcPr>
          <w:p>
            <w:pPr>
              <w:spacing w:after="0"/>
              <w:rPr>
                <w:sz w:val="16"/>
                <w:szCs w:val="16"/>
                <w:color w:val="auto"/>
              </w:rPr>
            </w:pPr>
          </w:p>
        </w:tc>
        <w:tc>
          <w:tcPr>
            <w:tcW w:w="11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Favorable</w:t>
            </w:r>
          </w:p>
        </w:tc>
        <w:tc>
          <w:tcPr>
            <w:tcW w:w="300" w:type="dxa"/>
            <w:vAlign w:val="bottom"/>
          </w:tcPr>
          <w:p>
            <w:pPr>
              <w:spacing w:after="0"/>
              <w:rPr>
                <w:sz w:val="16"/>
                <w:szCs w:val="16"/>
                <w:color w:val="auto"/>
              </w:rPr>
            </w:pPr>
          </w:p>
        </w:tc>
        <w:tc>
          <w:tcPr>
            <w:tcW w:w="1820" w:type="dxa"/>
            <w:vAlign w:val="bottom"/>
            <w:gridSpan w:val="3"/>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260" w:type="dxa"/>
            <w:vAlign w:val="bottom"/>
          </w:tcPr>
          <w:p>
            <w:pPr>
              <w:spacing w:after="0"/>
              <w:rPr>
                <w:sz w:val="16"/>
                <w:szCs w:val="16"/>
                <w:color w:val="auto"/>
              </w:rPr>
            </w:pPr>
          </w:p>
        </w:tc>
        <w:tc>
          <w:tcPr>
            <w:tcW w:w="860" w:type="dxa"/>
            <w:vAlign w:val="bottom"/>
            <w:vMerge w:val="restart"/>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165"/>
        </w:trPr>
        <w:tc>
          <w:tcPr>
            <w:tcW w:w="4040" w:type="dxa"/>
            <w:vAlign w:val="bottom"/>
            <w:gridSpan w:val="3"/>
            <w:vMerge w:val="continue"/>
          </w:tcPr>
          <w:p>
            <w:pPr>
              <w:spacing w:after="0"/>
              <w:rPr>
                <w:sz w:val="14"/>
                <w:szCs w:val="14"/>
                <w:color w:val="auto"/>
              </w:rPr>
            </w:pPr>
          </w:p>
        </w:tc>
        <w:tc>
          <w:tcPr>
            <w:tcW w:w="7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gridSpan w:val="3"/>
          </w:tcPr>
          <w:p>
            <w:pPr>
              <w:jc w:val="right"/>
              <w:ind w:right="112"/>
              <w:spacing w:after="0" w:line="159" w:lineRule="exact"/>
              <w:rPr>
                <w:sz w:val="20"/>
                <w:szCs w:val="20"/>
                <w:color w:val="auto"/>
              </w:rPr>
            </w:pPr>
            <w:r>
              <w:rPr>
                <w:rFonts w:ascii="Times New Roman" w:cs="Times New Roman" w:eastAsia="Times New Roman" w:hAnsi="Times New Roman"/>
                <w:sz w:val="16"/>
                <w:szCs w:val="16"/>
                <w:b w:val="1"/>
                <w:bCs w:val="1"/>
                <w:color w:val="auto"/>
                <w:w w:val="99"/>
              </w:rPr>
              <w:t>30,</w:t>
            </w: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820" w:type="dxa"/>
            <w:vAlign w:val="bottom"/>
            <w:gridSpan w:val="3"/>
          </w:tcPr>
          <w:p>
            <w:pPr>
              <w:jc w:val="right"/>
              <w:ind w:right="493"/>
              <w:spacing w:after="0" w:line="159"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00" w:type="dxa"/>
            <w:vAlign w:val="bottom"/>
          </w:tcPr>
          <w:p>
            <w:pPr>
              <w:spacing w:after="0"/>
              <w:rPr>
                <w:sz w:val="2"/>
                <w:szCs w:val="2"/>
                <w:color w:val="auto"/>
              </w:rPr>
            </w:pPr>
          </w:p>
        </w:tc>
        <w:tc>
          <w:tcPr>
            <w:tcW w:w="2520" w:type="dxa"/>
            <w:vAlign w:val="bottom"/>
            <w:tcBorders>
              <w:top w:val="single" w:sz="8" w:color="auto"/>
            </w:tcBorders>
          </w:tcPr>
          <w:p>
            <w:pPr>
              <w:spacing w:after="0"/>
              <w:rPr>
                <w:sz w:val="2"/>
                <w:szCs w:val="2"/>
                <w:color w:val="auto"/>
              </w:rPr>
            </w:pPr>
          </w:p>
        </w:tc>
        <w:tc>
          <w:tcPr>
            <w:tcW w:w="142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gridSpan w:val="2"/>
            <w:vMerge w:val="restart"/>
          </w:tcPr>
          <w:p>
            <w:pPr>
              <w:jc w:val="center"/>
              <w:ind w:right="260"/>
              <w:spacing w:after="0" w:line="82" w:lineRule="exact"/>
              <w:rPr>
                <w:sz w:val="20"/>
                <w:szCs w:val="20"/>
                <w:color w:val="auto"/>
              </w:rPr>
            </w:pPr>
            <w:r>
              <w:rPr>
                <w:rFonts w:ascii="Times New Roman" w:cs="Times New Roman" w:eastAsia="Times New Roman" w:hAnsi="Times New Roman"/>
                <w:sz w:val="9"/>
                <w:szCs w:val="9"/>
                <w:b w:val="1"/>
                <w:bCs w:val="1"/>
                <w:color w:val="auto"/>
              </w:rPr>
              <w:t>(Unfavorable)</w:t>
            </w:r>
          </w:p>
        </w:tc>
        <w:tc>
          <w:tcPr>
            <w:tcW w:w="3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vMerge w:val="restart"/>
          </w:tcPr>
          <w:p>
            <w:pPr>
              <w:jc w:val="right"/>
              <w:spacing w:after="0" w:line="82" w:lineRule="exact"/>
              <w:rPr>
                <w:sz w:val="20"/>
                <w:szCs w:val="20"/>
                <w:color w:val="auto"/>
              </w:rPr>
            </w:pPr>
            <w:r>
              <w:rPr>
                <w:rFonts w:ascii="Times New Roman" w:cs="Times New Roman" w:eastAsia="Times New Roman" w:hAnsi="Times New Roman"/>
                <w:sz w:val="9"/>
                <w:szCs w:val="9"/>
                <w:b w:val="1"/>
                <w:bCs w:val="1"/>
                <w:color w:val="auto"/>
              </w:rPr>
              <w:t>(Unfavorable</w:t>
            </w:r>
          </w:p>
        </w:tc>
        <w:tc>
          <w:tcPr>
            <w:tcW w:w="0" w:type="dxa"/>
            <w:vAlign w:val="bottom"/>
          </w:tcPr>
          <w:p>
            <w:pPr>
              <w:spacing w:after="0"/>
              <w:rPr>
                <w:sz w:val="1"/>
                <w:szCs w:val="1"/>
                <w:color w:val="auto"/>
              </w:rPr>
            </w:pPr>
          </w:p>
        </w:tc>
      </w:tr>
      <w:tr>
        <w:trPr>
          <w:trHeight w:val="35"/>
        </w:trPr>
        <w:tc>
          <w:tcPr>
            <w:tcW w:w="100" w:type="dxa"/>
            <w:vAlign w:val="bottom"/>
          </w:tcPr>
          <w:p>
            <w:pPr>
              <w:spacing w:after="0"/>
              <w:rPr>
                <w:sz w:val="3"/>
                <w:szCs w:val="3"/>
                <w:color w:val="auto"/>
              </w:rPr>
            </w:pPr>
          </w:p>
        </w:tc>
        <w:tc>
          <w:tcPr>
            <w:tcW w:w="25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vMerge w:val="restart"/>
          </w:tcPr>
          <w:p>
            <w:pPr>
              <w:jc w:val="right"/>
              <w:ind w:right="293"/>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800" w:type="dxa"/>
            <w:vAlign w:val="bottom"/>
            <w:vMerge w:val="restart"/>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2022</w:t>
            </w:r>
          </w:p>
        </w:tc>
        <w:tc>
          <w:tcPr>
            <w:tcW w:w="260" w:type="dxa"/>
            <w:vAlign w:val="bottom"/>
          </w:tcPr>
          <w:p>
            <w:pPr>
              <w:spacing w:after="0"/>
              <w:rPr>
                <w:sz w:val="3"/>
                <w:szCs w:val="3"/>
                <w:color w:val="auto"/>
              </w:rPr>
            </w:pPr>
          </w:p>
        </w:tc>
        <w:tc>
          <w:tcPr>
            <w:tcW w:w="760" w:type="dxa"/>
            <w:vAlign w:val="bottom"/>
            <w:vMerge w:val="restart"/>
          </w:tcPr>
          <w:p>
            <w:pPr>
              <w:jc w:val="right"/>
              <w:ind w:right="233"/>
              <w:spacing w:after="0"/>
              <w:rPr>
                <w:sz w:val="20"/>
                <w:szCs w:val="20"/>
                <w:color w:val="auto"/>
              </w:rPr>
            </w:pPr>
            <w:r>
              <w:rPr>
                <w:rFonts w:ascii="Times New Roman" w:cs="Times New Roman" w:eastAsia="Times New Roman" w:hAnsi="Times New Roman"/>
                <w:sz w:val="16"/>
                <w:szCs w:val="16"/>
                <w:b w:val="1"/>
                <w:bCs w:val="1"/>
                <w:color w:val="auto"/>
              </w:rPr>
              <w:t>2021</w:t>
            </w:r>
          </w:p>
        </w:tc>
        <w:tc>
          <w:tcPr>
            <w:tcW w:w="260" w:type="dxa"/>
            <w:vAlign w:val="bottom"/>
          </w:tcPr>
          <w:p>
            <w:pPr>
              <w:spacing w:after="0"/>
              <w:rPr>
                <w:sz w:val="3"/>
                <w:szCs w:val="3"/>
                <w:color w:val="auto"/>
              </w:rPr>
            </w:pPr>
          </w:p>
        </w:tc>
        <w:tc>
          <w:tcPr>
            <w:tcW w:w="86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4"/>
        </w:trPr>
        <w:tc>
          <w:tcPr>
            <w:tcW w:w="1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5"/>
              </w:rPr>
              <w:t>Variance</w:t>
            </w: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0" w:type="dxa"/>
            <w:vAlign w:val="bottom"/>
          </w:tcPr>
          <w:p>
            <w:pPr>
              <w:spacing w:after="0"/>
              <w:rPr>
                <w:sz w:val="1"/>
                <w:szCs w:val="1"/>
                <w:color w:val="auto"/>
              </w:rPr>
            </w:pPr>
          </w:p>
        </w:tc>
      </w:tr>
      <w:tr>
        <w:trPr>
          <w:trHeight w:val="188"/>
        </w:trPr>
        <w:tc>
          <w:tcPr>
            <w:tcW w:w="1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4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Interest expense, net</w:t>
            </w:r>
          </w:p>
        </w:tc>
        <w:tc>
          <w:tcPr>
            <w:tcW w:w="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15.3</w:t>
            </w:r>
          </w:p>
        </w:tc>
        <w:tc>
          <w:tcPr>
            <w:tcW w:w="420" w:type="dxa"/>
            <w:vAlign w:val="bottom"/>
            <w:gridSpan w:val="3"/>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center"/>
              <w:ind w:left="622"/>
              <w:spacing w:after="0"/>
              <w:rPr>
                <w:sz w:val="20"/>
                <w:szCs w:val="20"/>
                <w:color w:val="auto"/>
              </w:rPr>
            </w:pPr>
            <w:r>
              <w:rPr>
                <w:rFonts w:ascii="Times New Roman" w:cs="Times New Roman" w:eastAsia="Times New Roman" w:hAnsi="Times New Roman"/>
                <w:sz w:val="18"/>
                <w:szCs w:val="18"/>
                <w:color w:val="auto"/>
                <w:w w:val="97"/>
              </w:rPr>
              <w:t>0.4</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46.2</w:t>
            </w:r>
          </w:p>
        </w:tc>
        <w:tc>
          <w:tcPr>
            <w:tcW w:w="2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5"/>
        </w:trPr>
        <w:tc>
          <w:tcPr>
            <w:tcW w:w="404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72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center"/>
              <w:ind w:left="622"/>
              <w:spacing w:after="0"/>
              <w:rPr>
                <w:sz w:val="20"/>
                <w:szCs w:val="20"/>
                <w:color w:val="auto"/>
              </w:rPr>
            </w:pPr>
            <w:r>
              <w:rPr>
                <w:rFonts w:ascii="Times New Roman" w:cs="Times New Roman" w:eastAsia="Times New Roman" w:hAnsi="Times New Roman"/>
                <w:sz w:val="18"/>
                <w:szCs w:val="18"/>
                <w:color w:val="auto"/>
                <w:w w:val="97"/>
              </w:rPr>
              <w:t>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8"/>
                <w:szCs w:val="18"/>
                <w:color w:val="auto"/>
              </w:rPr>
              <w:t>8.0</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25"/>
        </w:trPr>
        <w:tc>
          <w:tcPr>
            <w:tcW w:w="404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720" w:type="dxa"/>
            <w:vAlign w:val="bottom"/>
            <w:shd w:val="clear" w:color="auto" w:fill="CCEEFF"/>
          </w:tcPr>
          <w:p>
            <w:pPr>
              <w:spacing w:after="0"/>
              <w:rPr>
                <w:sz w:val="19"/>
                <w:szCs w:val="19"/>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center"/>
              <w:ind w:left="602"/>
              <w:spacing w:after="0"/>
              <w:rPr>
                <w:sz w:val="20"/>
                <w:szCs w:val="20"/>
                <w:color w:val="auto"/>
              </w:rPr>
            </w:pPr>
            <w:r>
              <w:rPr>
                <w:rFonts w:ascii="Times New Roman" w:cs="Times New Roman" w:eastAsia="Times New Roman" w:hAnsi="Times New Roman"/>
                <w:sz w:val="18"/>
                <w:szCs w:val="18"/>
                <w:color w:val="auto"/>
                <w:w w:val="92"/>
              </w:rPr>
              <w:t>(1.2)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5"/>
        </w:trPr>
        <w:tc>
          <w:tcPr>
            <w:tcW w:w="4040" w:type="dxa"/>
            <w:vAlign w:val="bottom"/>
            <w:tcBorders>
              <w:bottom w:val="single" w:sz="8" w:color="CCEEFF"/>
            </w:tcBorders>
            <w:gridSpan w:val="3"/>
          </w:tcPr>
          <w:p>
            <w:pPr>
              <w:ind w:left="100"/>
              <w:spacing w:after="0"/>
              <w:rPr>
                <w:sz w:val="20"/>
                <w:szCs w:val="20"/>
                <w:color w:val="auto"/>
              </w:rPr>
            </w:pPr>
            <w:r>
              <w:rPr>
                <w:rFonts w:ascii="Times New Roman" w:cs="Times New Roman" w:eastAsia="Times New Roman" w:hAnsi="Times New Roman"/>
                <w:sz w:val="18"/>
                <w:szCs w:val="18"/>
                <w:color w:val="auto"/>
              </w:rPr>
              <w:t>(Gain) loss on disposition of assets</w:t>
            </w:r>
          </w:p>
        </w:tc>
        <w:tc>
          <w:tcPr>
            <w:tcW w:w="7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(1.5)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left="622"/>
              <w:spacing w:after="0"/>
              <w:rPr>
                <w:sz w:val="20"/>
                <w:szCs w:val="20"/>
                <w:color w:val="auto"/>
              </w:rPr>
            </w:pPr>
            <w:r>
              <w:rPr>
                <w:rFonts w:ascii="Times New Roman" w:cs="Times New Roman" w:eastAsia="Times New Roman" w:hAnsi="Times New Roman"/>
                <w:sz w:val="18"/>
                <w:szCs w:val="18"/>
                <w:color w:val="auto"/>
                <w:w w:val="97"/>
              </w:rPr>
              <w:t>2.8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100" w:type="dxa"/>
            <w:vAlign w:val="bottom"/>
            <w:tcBorders>
              <w:bottom w:val="single" w:sz="8" w:color="CCEEFF"/>
            </w:tcBorders>
            <w:shd w:val="clear" w:color="auto" w:fill="CCEEFF"/>
          </w:tcPr>
          <w:p>
            <w:pPr>
              <w:spacing w:after="0"/>
              <w:rPr>
                <w:sz w:val="20"/>
                <w:szCs w:val="20"/>
                <w:color w:val="auto"/>
              </w:rPr>
            </w:pPr>
          </w:p>
        </w:tc>
        <w:tc>
          <w:tcPr>
            <w:tcW w:w="3940" w:type="dxa"/>
            <w:vAlign w:val="bottom"/>
            <w:tcBorders>
              <w:bottom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72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20.8</w:t>
            </w:r>
          </w:p>
        </w:tc>
        <w:tc>
          <w:tcPr>
            <w:tcW w:w="60" w:type="dxa"/>
            <w:vAlign w:val="bottom"/>
            <w:tcBorders>
              <w:bottom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center"/>
              <w:ind w:left="602"/>
              <w:spacing w:after="0"/>
              <w:rPr>
                <w:sz w:val="20"/>
                <w:szCs w:val="20"/>
                <w:color w:val="auto"/>
              </w:rPr>
            </w:pPr>
            <w:r>
              <w:rPr>
                <w:rFonts w:ascii="Times New Roman" w:cs="Times New Roman" w:eastAsia="Times New Roman" w:hAnsi="Times New Roman"/>
                <w:sz w:val="18"/>
                <w:szCs w:val="18"/>
                <w:color w:val="auto"/>
                <w:w w:val="92"/>
              </w:rPr>
              <w:t>(2.0)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52.4</w:t>
            </w:r>
          </w:p>
        </w:tc>
        <w:tc>
          <w:tcPr>
            <w:tcW w:w="2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25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Interest expense, net</w:t>
      </w:r>
    </w:p>
    <w:p>
      <w:pPr>
        <w:spacing w:after="0" w:line="244" w:lineRule="exact"/>
        <w:rPr>
          <w:sz w:val="20"/>
          <w:szCs w:val="20"/>
          <w:color w:val="auto"/>
        </w:rPr>
      </w:pPr>
    </w:p>
    <w:p>
      <w:pPr>
        <w:ind w:right="560" w:firstLine="318"/>
        <w:spacing w:after="0" w:line="255" w:lineRule="auto"/>
        <w:rPr>
          <w:sz w:val="20"/>
          <w:szCs w:val="20"/>
          <w:color w:val="auto"/>
        </w:rPr>
      </w:pPr>
      <w:r>
        <w:rPr>
          <w:rFonts w:ascii="Times New Roman" w:cs="Times New Roman" w:eastAsia="Times New Roman" w:hAnsi="Times New Roman"/>
          <w:sz w:val="18"/>
          <w:szCs w:val="18"/>
          <w:color w:val="auto"/>
        </w:rPr>
        <w:t>Interest expense, net for the three months ended September 30, 2022 increased compared to the same period of 2021, due to an increase in interest expense on the Credit Facility (as defined below), as we borrowed $100 million during the three months ended September 30, 2022, as compared to no outstanding balance during the same period of 2021. Interest expense, net for the nine months ended September 30, 2022 declined compared to the same period of 2021, due to a decrease in interest</w:t>
      </w:r>
    </w:p>
    <w:p>
      <w:pPr>
        <w:sectPr>
          <w:pgSz w:w="11900" w:h="16838" w:orient="portrait"/>
          <w:cols w:equalWidth="0" w:num="1">
            <w:col w:w="11340"/>
          </w:cols>
          <w:pgMar w:left="320" w:top="118" w:right="23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2545"/>
                    </a:xfrm>
                    <a:prstGeom prst="rect">
                      <a:avLst/>
                    </a:prstGeom>
                    <a:noFill/>
                  </pic:spPr>
                </pic:pic>
              </a:graphicData>
            </a:graphic>
          </wp:anchor>
        </w:drawing>
      </w:r>
    </w:p>
    <w:p>
      <w:pPr>
        <w:sectPr>
          <w:pgSz w:w="11900" w:h="16838" w:orient="portrait"/>
          <w:cols w:equalWidth="0" w:num="1">
            <w:col w:w="11340"/>
          </w:cols>
          <w:pgMar w:left="320" w:top="118" w:right="23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18"/>
          <w:szCs w:val="18"/>
          <w:color w:val="auto"/>
        </w:rPr>
        <w:t xml:space="preserve">expense on our Credit Facility. We had $100 million outstanding under our Credit Facility during the nine months ended September 30, 2022 for approximately seven weeks, whereas we had $220 million outstanding for approximately nine weeks during the nine months ended September 30, 2021. See </w:t>
      </w:r>
      <w:r>
        <w:rPr>
          <w:rFonts w:ascii="Times New Roman" w:cs="Times New Roman" w:eastAsia="Times New Roman" w:hAnsi="Times New Roman"/>
          <w:sz w:val="18"/>
          <w:szCs w:val="18"/>
          <w:i w:val="1"/>
          <w:iCs w:val="1"/>
          <w:color w:val="auto"/>
        </w:rPr>
        <w:t xml:space="preserve">“Liquidity and Capital Resources” </w:t>
      </w:r>
      <w:r>
        <w:rPr>
          <w:rFonts w:ascii="Times New Roman" w:cs="Times New Roman" w:eastAsia="Times New Roman" w:hAnsi="Times New Roman"/>
          <w:sz w:val="18"/>
          <w:szCs w:val="18"/>
          <w:color w:val="auto"/>
        </w:rPr>
        <w:t>for additional discussion related to our Credit Facility.</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Loss on extinguishment of debt</w:t>
      </w:r>
    </w:p>
    <w:p>
      <w:pPr>
        <w:spacing w:after="0" w:line="230" w:lineRule="exact"/>
        <w:rPr>
          <w:sz w:val="20"/>
          <w:szCs w:val="20"/>
          <w:color w:val="auto"/>
        </w:rPr>
      </w:pPr>
    </w:p>
    <w:p>
      <w:pPr>
        <w:ind w:right="180" w:firstLine="318"/>
        <w:spacing w:after="0" w:line="237" w:lineRule="auto"/>
        <w:rPr>
          <w:sz w:val="20"/>
          <w:szCs w:val="20"/>
          <w:color w:val="auto"/>
        </w:rPr>
      </w:pPr>
      <w:r>
        <w:rPr>
          <w:rFonts w:ascii="Times New Roman" w:cs="Times New Roman" w:eastAsia="Times New Roman" w:hAnsi="Times New Roman"/>
          <w:sz w:val="18"/>
          <w:szCs w:val="18"/>
          <w:color w:val="auto"/>
        </w:rPr>
        <w:t>On August 12, 2022, the Company established a new revolving financing facility and the debt financing costs related to the previous credit facility were expensed for the three and nine months ended September 30, 2022. For additional details, please refer to Note 7, Long-Term Debt, in the Notes to Consolidated Financial Statements.</w:t>
      </w:r>
    </w:p>
    <w:p>
      <w:pPr>
        <w:spacing w:after="0" w:line="2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(Gain) loss on disposition of assets</w:t>
      </w:r>
    </w:p>
    <w:p>
      <w:pPr>
        <w:spacing w:after="0" w:line="230" w:lineRule="exact"/>
        <w:rPr>
          <w:sz w:val="20"/>
          <w:szCs w:val="20"/>
          <w:color w:val="auto"/>
        </w:rPr>
      </w:pPr>
    </w:p>
    <w:p>
      <w:pPr>
        <w:ind w:right="80" w:firstLine="318"/>
        <w:spacing w:after="0" w:line="234" w:lineRule="auto"/>
        <w:rPr>
          <w:sz w:val="20"/>
          <w:szCs w:val="20"/>
          <w:color w:val="auto"/>
        </w:rPr>
      </w:pPr>
      <w:r>
        <w:rPr>
          <w:rFonts w:ascii="Times New Roman" w:cs="Times New Roman" w:eastAsia="Times New Roman" w:hAnsi="Times New Roman"/>
          <w:sz w:val="18"/>
          <w:szCs w:val="18"/>
          <w:color w:val="auto"/>
        </w:rPr>
        <w:t>The gain on disposition of assets for the three months ended September 30, 2022 related to the sale of land and building for one IHOP restaurant located on site owned by us and the release of a financing obligation property. The gain on disposition of assets for the nine months ended September 30, 2022 primarily related to the sale of land and buildings for three IHOP restaurants located on sites owned by us, the release of a financing obligation property and the termination of an IHOP restaurant lease. The loss on disposition of assets during the three and nine months ended September 30, 2021 primarily related to disposition of capitalized software no longer in use.</w:t>
      </w: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Taxes</w:t>
            </w:r>
          </w:p>
        </w:tc>
        <w:tc>
          <w:tcPr>
            <w:tcW w:w="120" w:type="dxa"/>
            <w:vAlign w:val="bottom"/>
          </w:tcPr>
          <w:p>
            <w:pPr>
              <w:spacing w:after="0"/>
              <w:rPr>
                <w:sz w:val="17"/>
                <w:szCs w:val="17"/>
                <w:color w:val="auto"/>
              </w:rPr>
            </w:pPr>
          </w:p>
        </w:tc>
        <w:tc>
          <w:tcPr>
            <w:tcW w:w="2600" w:type="dxa"/>
            <w:vAlign w:val="bottom"/>
            <w:gridSpan w:val="3"/>
            <w:vMerge w:val="restart"/>
          </w:tcPr>
          <w:p>
            <w:pPr>
              <w:jc w:val="right"/>
              <w:ind w:right="34"/>
              <w:spacing w:after="0"/>
              <w:rPr>
                <w:sz w:val="20"/>
                <w:szCs w:val="20"/>
                <w:color w:val="auto"/>
              </w:rPr>
            </w:pPr>
            <w:r>
              <w:rPr>
                <w:rFonts w:ascii="Times New Roman" w:cs="Times New Roman" w:eastAsia="Times New Roman" w:hAnsi="Times New Roman"/>
                <w:sz w:val="16"/>
                <w:szCs w:val="16"/>
                <w:b w:val="1"/>
                <w:bCs w:val="1"/>
                <w:color w:val="auto"/>
                <w:w w:val="99"/>
              </w:rPr>
              <w:t>Three Months Ended September 30,</w:t>
            </w:r>
          </w:p>
        </w:tc>
        <w:tc>
          <w:tcPr>
            <w:tcW w:w="280" w:type="dxa"/>
            <w:vAlign w:val="bottom"/>
          </w:tcPr>
          <w:p>
            <w:pPr>
              <w:spacing w:after="0"/>
              <w:rPr>
                <w:sz w:val="17"/>
                <w:szCs w:val="17"/>
                <w:color w:val="auto"/>
              </w:rPr>
            </w:pPr>
          </w:p>
        </w:tc>
        <w:tc>
          <w:tcPr>
            <w:tcW w:w="1280" w:type="dxa"/>
            <w:vAlign w:val="bottom"/>
            <w:vMerge w:val="restart"/>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w w:val="98"/>
              </w:rPr>
              <w:t>Favorable</w:t>
            </w:r>
          </w:p>
        </w:tc>
        <w:tc>
          <w:tcPr>
            <w:tcW w:w="100" w:type="dxa"/>
            <w:vAlign w:val="bottom"/>
          </w:tcPr>
          <w:p>
            <w:pPr>
              <w:spacing w:after="0"/>
              <w:rPr>
                <w:sz w:val="17"/>
                <w:szCs w:val="17"/>
                <w:color w:val="auto"/>
              </w:rPr>
            </w:pPr>
          </w:p>
        </w:tc>
        <w:tc>
          <w:tcPr>
            <w:tcW w:w="24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80" w:type="dxa"/>
            <w:vAlign w:val="bottom"/>
          </w:tcPr>
          <w:p>
            <w:pPr>
              <w:spacing w:after="0"/>
              <w:rPr>
                <w:sz w:val="17"/>
                <w:szCs w:val="17"/>
                <w:color w:val="auto"/>
              </w:rPr>
            </w:pPr>
          </w:p>
        </w:tc>
        <w:tc>
          <w:tcPr>
            <w:tcW w:w="1160" w:type="dxa"/>
            <w:vAlign w:val="bottom"/>
            <w:vMerge w:val="restart"/>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Favorable</w:t>
            </w: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40" w:type="dxa"/>
            <w:vAlign w:val="bottom"/>
            <w:tcBorders>
              <w:top w:val="single" w:sz="8" w:color="auto"/>
            </w:tcBorders>
          </w:tcPr>
          <w:p>
            <w:pPr>
              <w:spacing w:after="0"/>
              <w:rPr>
                <w:sz w:val="4"/>
                <w:szCs w:val="4"/>
                <w:color w:val="auto"/>
              </w:rPr>
            </w:pPr>
          </w:p>
        </w:tc>
        <w:tc>
          <w:tcPr>
            <w:tcW w:w="18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0" w:type="dxa"/>
            <w:vAlign w:val="bottom"/>
            <w:gridSpan w:val="3"/>
            <w:vMerge w:val="continue"/>
          </w:tcPr>
          <w:p>
            <w:pPr>
              <w:spacing w:after="0"/>
              <w:rPr>
                <w:sz w:val="4"/>
                <w:szCs w:val="4"/>
                <w:color w:val="auto"/>
              </w:rPr>
            </w:pPr>
          </w:p>
        </w:tc>
        <w:tc>
          <w:tcPr>
            <w:tcW w:w="280" w:type="dxa"/>
            <w:vAlign w:val="bottom"/>
          </w:tcPr>
          <w:p>
            <w:pPr>
              <w:spacing w:after="0"/>
              <w:rPr>
                <w:sz w:val="4"/>
                <w:szCs w:val="4"/>
                <w:color w:val="auto"/>
              </w:rPr>
            </w:pPr>
          </w:p>
        </w:tc>
        <w:tc>
          <w:tcPr>
            <w:tcW w:w="12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480" w:type="dxa"/>
            <w:vAlign w:val="bottom"/>
            <w:gridSpan w:val="3"/>
            <w:vMerge w:val="continue"/>
          </w:tcPr>
          <w:p>
            <w:pPr>
              <w:spacing w:after="0"/>
              <w:rPr>
                <w:sz w:val="4"/>
                <w:szCs w:val="4"/>
                <w:color w:val="auto"/>
              </w:rPr>
            </w:pPr>
          </w:p>
        </w:tc>
        <w:tc>
          <w:tcPr>
            <w:tcW w:w="280" w:type="dxa"/>
            <w:vAlign w:val="bottom"/>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600" w:type="dxa"/>
            <w:vAlign w:val="bottom"/>
            <w:tcBorders>
              <w:bottom w:val="single" w:sz="8" w:color="auto"/>
            </w:tcBorders>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1280" w:type="dxa"/>
            <w:vAlign w:val="bottom"/>
          </w:tcPr>
          <w:p>
            <w:pPr>
              <w:jc w:val="center"/>
              <w:ind w:right="203"/>
              <w:spacing w:after="0" w:line="115" w:lineRule="exact"/>
              <w:rPr>
                <w:sz w:val="20"/>
                <w:szCs w:val="20"/>
                <w:color w:val="auto"/>
              </w:rPr>
            </w:pPr>
            <w:r>
              <w:rPr>
                <w:rFonts w:ascii="Times New Roman" w:cs="Times New Roman" w:eastAsia="Times New Roman" w:hAnsi="Times New Roman"/>
                <w:sz w:val="13"/>
                <w:szCs w:val="13"/>
                <w:b w:val="1"/>
                <w:bCs w:val="1"/>
                <w:color w:val="auto"/>
              </w:rPr>
              <w:t>(Unfavorable)</w:t>
            </w:r>
          </w:p>
        </w:tc>
        <w:tc>
          <w:tcPr>
            <w:tcW w:w="100" w:type="dxa"/>
            <w:vAlign w:val="bottom"/>
            <w:tcBorders>
              <w:bottom w:val="single" w:sz="8" w:color="auto"/>
            </w:tcBorders>
          </w:tcPr>
          <w:p>
            <w:pPr>
              <w:spacing w:after="0"/>
              <w:rPr>
                <w:sz w:val="9"/>
                <w:szCs w:val="9"/>
                <w:color w:val="auto"/>
              </w:rPr>
            </w:pPr>
          </w:p>
        </w:tc>
        <w:tc>
          <w:tcPr>
            <w:tcW w:w="2480" w:type="dxa"/>
            <w:vAlign w:val="bottom"/>
            <w:tcBorders>
              <w:bottom w:val="single" w:sz="8" w:color="auto"/>
            </w:tcBorders>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1160" w:type="dxa"/>
            <w:vAlign w:val="bottom"/>
          </w:tcPr>
          <w:p>
            <w:pPr>
              <w:jc w:val="center"/>
              <w:ind w:right="101"/>
              <w:spacing w:after="0" w:line="115" w:lineRule="exact"/>
              <w:rPr>
                <w:sz w:val="20"/>
                <w:szCs w:val="20"/>
                <w:color w:val="auto"/>
              </w:rPr>
            </w:pPr>
            <w:r>
              <w:rPr>
                <w:rFonts w:ascii="Times New Roman" w:cs="Times New Roman" w:eastAsia="Times New Roman" w:hAnsi="Times New Roman"/>
                <w:sz w:val="13"/>
                <w:szCs w:val="13"/>
                <w:b w:val="1"/>
                <w:bCs w:val="1"/>
                <w:color w:val="auto"/>
              </w:rPr>
              <w:t>(Unfavorable)</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3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203"/>
              <w:spacing w:after="0"/>
              <w:rPr>
                <w:sz w:val="20"/>
                <w:szCs w:val="20"/>
                <w:color w:val="auto"/>
              </w:rPr>
            </w:pPr>
            <w:r>
              <w:rPr>
                <w:rFonts w:ascii="Times New Roman" w:cs="Times New Roman" w:eastAsia="Times New Roman" w:hAnsi="Times New Roman"/>
                <w:sz w:val="14"/>
                <w:szCs w:val="14"/>
                <w:b w:val="1"/>
                <w:bCs w:val="1"/>
                <w:color w:val="auto"/>
                <w:w w:val="95"/>
              </w:rPr>
              <w:t>Variance</w:t>
            </w:r>
          </w:p>
        </w:tc>
        <w:tc>
          <w:tcPr>
            <w:tcW w:w="1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2022</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6"/>
                <w:szCs w:val="16"/>
                <w:b w:val="1"/>
                <w:bCs w:val="1"/>
                <w:color w:val="auto"/>
              </w:rPr>
              <w:t>2021</w:t>
            </w:r>
          </w:p>
        </w:tc>
        <w:tc>
          <w:tcPr>
            <w:tcW w:w="2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9"/>
              </w:rPr>
              <w:t>Variance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20" w:type="dxa"/>
            <w:vAlign w:val="bottom"/>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28.7</w:t>
            </w:r>
          </w:p>
        </w:tc>
        <w:tc>
          <w:tcPr>
            <w:tcW w:w="34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30.8</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95.4</w:t>
            </w:r>
          </w:p>
        </w:tc>
        <w:tc>
          <w:tcPr>
            <w:tcW w:w="32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93.4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95"/>
              <w:spacing w:after="0"/>
              <w:rPr>
                <w:sz w:val="20"/>
                <w:szCs w:val="20"/>
                <w:color w:val="auto"/>
              </w:rPr>
            </w:pPr>
            <w:r>
              <w:rPr>
                <w:rFonts w:ascii="Times New Roman" w:cs="Times New Roman" w:eastAsia="Times New Roman" w:hAnsi="Times New Roman"/>
                <w:sz w:val="18"/>
                <w:szCs w:val="18"/>
                <w:color w:val="auto"/>
              </w:rPr>
              <w:t>7.8</w:t>
            </w:r>
          </w:p>
        </w:tc>
        <w:tc>
          <w:tcPr>
            <w:tcW w:w="34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7.7</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25.7</w:t>
            </w:r>
          </w:p>
        </w:tc>
        <w:tc>
          <w:tcPr>
            <w:tcW w:w="32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15.4</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(10.3)</w:t>
            </w:r>
          </w:p>
        </w:tc>
        <w:tc>
          <w:tcPr>
            <w:tcW w:w="0" w:type="dxa"/>
            <w:vAlign w:val="bottom"/>
          </w:tcPr>
          <w:p>
            <w:pPr>
              <w:spacing w:after="0"/>
              <w:rPr>
                <w:sz w:val="1"/>
                <w:szCs w:val="1"/>
                <w:color w:val="auto"/>
              </w:rPr>
            </w:pPr>
          </w:p>
        </w:tc>
      </w:tr>
      <w:tr>
        <w:trPr>
          <w:trHeight w:val="225"/>
        </w:trPr>
        <w:tc>
          <w:tcPr>
            <w:tcW w:w="20" w:type="dxa"/>
            <w:vAlign w:val="bottom"/>
            <w:shd w:val="clear" w:color="auto" w:fill="CCEEFF"/>
          </w:tcPr>
          <w:p>
            <w:pPr>
              <w:spacing w:after="0"/>
              <w:rPr>
                <w:sz w:val="19"/>
                <w:szCs w:val="19"/>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tax rate</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27.1 %</w:t>
            </w:r>
          </w:p>
        </w:tc>
        <w:tc>
          <w:tcPr>
            <w:tcW w:w="3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24.9 %</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124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26.9 %</w:t>
            </w: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w w:val="97"/>
              </w:rPr>
              <w:t>16.4 %</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w w:val="99"/>
              </w:rPr>
              <w:t>(10.5)%</w:t>
            </w:r>
          </w:p>
        </w:tc>
        <w:tc>
          <w:tcPr>
            <w:tcW w:w="0" w:type="dxa"/>
            <w:vAlign w:val="bottom"/>
          </w:tcPr>
          <w:p>
            <w:pPr>
              <w:spacing w:after="0"/>
              <w:rPr>
                <w:sz w:val="1"/>
                <w:szCs w:val="1"/>
                <w:color w:val="auto"/>
              </w:rPr>
            </w:pPr>
          </w:p>
        </w:tc>
      </w:tr>
    </w:tbl>
    <w:p>
      <w:pPr>
        <w:spacing w:after="0" w:line="233" w:lineRule="exact"/>
        <w:rPr>
          <w:sz w:val="20"/>
          <w:szCs w:val="20"/>
          <w:color w:val="auto"/>
        </w:rPr>
      </w:pPr>
    </w:p>
    <w:p>
      <w:pPr>
        <w:jc w:val="both"/>
        <w:ind w:firstLine="358"/>
        <w:spacing w:after="0" w:line="259" w:lineRule="auto"/>
        <w:rPr>
          <w:sz w:val="20"/>
          <w:szCs w:val="20"/>
          <w:color w:val="auto"/>
        </w:rPr>
      </w:pPr>
      <w:r>
        <w:rPr>
          <w:rFonts w:ascii="Times New Roman" w:cs="Times New Roman" w:eastAsia="Times New Roman" w:hAnsi="Times New Roman"/>
          <w:sz w:val="18"/>
          <w:szCs w:val="18"/>
          <w:color w:val="auto"/>
        </w:rPr>
        <w:t xml:space="preserve">Our income tax provision will vary from period to period in our normal course of business for two reasons: a change in income before income taxes and a change in the effective tax rate. Changes in our income before income taxes were addressed in the preceding sections of </w:t>
      </w:r>
      <w:r>
        <w:rPr>
          <w:rFonts w:ascii="Times New Roman" w:cs="Times New Roman" w:eastAsia="Times New Roman" w:hAnsi="Times New Roman"/>
          <w:sz w:val="18"/>
          <w:szCs w:val="18"/>
          <w:i w:val="1"/>
          <w:iCs w:val="1"/>
          <w:color w:val="auto"/>
        </w:rPr>
        <w:t>“Consolidated Results of Operations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Comparison of the Three and Nine Months Ended September 30, 2022 and 2021.”</w:t>
      </w:r>
    </w:p>
    <w:p>
      <w:pPr>
        <w:spacing w:after="0" w:line="125" w:lineRule="exact"/>
        <w:rPr>
          <w:sz w:val="20"/>
          <w:szCs w:val="20"/>
          <w:color w:val="auto"/>
        </w:rPr>
      </w:pPr>
    </w:p>
    <w:p>
      <w:pPr>
        <w:ind w:right="20" w:firstLine="358"/>
        <w:spacing w:after="0" w:line="236" w:lineRule="auto"/>
        <w:rPr>
          <w:sz w:val="20"/>
          <w:szCs w:val="20"/>
          <w:color w:val="auto"/>
        </w:rPr>
      </w:pPr>
      <w:r>
        <w:rPr>
          <w:rFonts w:ascii="Times New Roman" w:cs="Times New Roman" w:eastAsia="Times New Roman" w:hAnsi="Times New Roman"/>
          <w:sz w:val="18"/>
          <w:szCs w:val="18"/>
          <w:color w:val="auto"/>
        </w:rPr>
        <w:t>Our effective tax rate for the three months ended September 30, 2022 was higher than the rate of the prior comparable period, primarily due to the decrease of income before income taxes in the third quarter of 2022. Our effective tax rate for the nine months ended September 30, 2022 was also higher than the rate of the prior comparable period, primarily due to the recognition of excess tax benefits on stock-based compensation related to the departure of our previous chief executive officer in the first quarter of 2021.</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6" w:lineRule="exact"/>
        <w:rPr>
          <w:sz w:val="20"/>
          <w:szCs w:val="20"/>
          <w:color w:val="auto"/>
        </w:rPr>
      </w:pPr>
    </w:p>
    <w:p>
      <w:pPr>
        <w:ind w:right="140" w:firstLine="362"/>
        <w:spacing w:after="0" w:line="252" w:lineRule="auto"/>
        <w:rPr>
          <w:sz w:val="20"/>
          <w:szCs w:val="20"/>
          <w:color w:val="auto"/>
        </w:rPr>
      </w:pPr>
      <w:r>
        <w:rPr>
          <w:rFonts w:ascii="Times New Roman" w:cs="Times New Roman" w:eastAsia="Times New Roman" w:hAnsi="Times New Roman"/>
          <w:sz w:val="18"/>
          <w:szCs w:val="18"/>
          <w:color w:val="auto"/>
        </w:rPr>
        <w:t>On June 5, 2019, Applebee’s Funding LLC and IHOP Funding LLC (the “Co-Issuers”), each a special purpose, wholly-owned indirect subsidiary of the Company, issued two tranches of fixed rate senior secured notes, the Series 2019-1 4.194% Fixed Rate Senior Secured Notes, Class A-2-I (“Class A-2-I Notes”) in an initial aggregate principal amount of $700 million and the Series 2019-1 4.723% Fixed Rate Senior Secured Notes, Class A-2-II (“Class A-2-II Notes”) in an initial aggregate principal amount of $600 million (the “Class A-2-II Notes” and, together with the Class A-2-I Notes, the “2019 Class A-2 Notes”). The 2019 Class A-2 Notes were issued pursuant to an offering exempt from registration under the Securities Act of 1933, as amended.</w:t>
      </w:r>
    </w:p>
    <w:p>
      <w:pPr>
        <w:spacing w:after="0" w:line="212" w:lineRule="exact"/>
        <w:rPr>
          <w:sz w:val="20"/>
          <w:szCs w:val="20"/>
          <w:color w:val="auto"/>
        </w:rPr>
      </w:pPr>
    </w:p>
    <w:p>
      <w:pPr>
        <w:ind w:firstLine="318"/>
        <w:spacing w:after="0" w:line="252" w:lineRule="auto"/>
        <w:rPr>
          <w:sz w:val="20"/>
          <w:szCs w:val="20"/>
          <w:color w:val="auto"/>
        </w:rPr>
      </w:pPr>
      <w:r>
        <w:rPr>
          <w:rFonts w:ascii="Times New Roman" w:cs="Times New Roman" w:eastAsia="Times New Roman" w:hAnsi="Times New Roman"/>
          <w:sz w:val="18"/>
          <w:szCs w:val="18"/>
          <w:color w:val="auto"/>
        </w:rPr>
        <w:t>On August 12, 2022, the Co-Issuers established a new revolving financing facility, the 2022-1 Variable Funding Notes, Class A-1 (the “Credit Facility”) that allows for drawings up to $325 million of variable funding notes on a revolving basis and the issuance of letters of credit. The Credit Facility and the 2019 Class A-2 Notes are referred to collectively herein as the “Notes.” The Notes were issued in securitization transactions pursuant to which substantially all the domestic revenue-generating assets and domestic intellectual property held by the Co-Issuers and certain other special-purpose, wholly-owned indirect subsidiaries of the Company (the “Guarantors”) were pledged as collateral to secure the Notes.</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40" w:firstLine="318"/>
        <w:spacing w:after="0" w:line="276" w:lineRule="auto"/>
        <w:rPr>
          <w:sz w:val="20"/>
          <w:szCs w:val="20"/>
          <w:color w:val="auto"/>
        </w:rPr>
      </w:pPr>
      <w:r>
        <w:rPr>
          <w:rFonts w:ascii="Times New Roman" w:cs="Times New Roman" w:eastAsia="Times New Roman" w:hAnsi="Times New Roman"/>
          <w:sz w:val="17"/>
          <w:szCs w:val="17"/>
          <w:color w:val="auto"/>
        </w:rPr>
        <w:t>While the 2019 Class A-2 Notes are outstanding, payment of principal and interest is required to be made on the 2019 Class A-2 Notes on a quarterly basis. The quarterly principal payment totaling $3.25 million on the 2019 Class A-2 Notes may be suspended when the leverage ratio for the Company and its subsidiaries is less than or equal to 5.25x. The leverage ratio is not a maintenance covenant and exceeding the leverage ratio of 5.25x does not violate any</w:t>
      </w:r>
    </w:p>
    <w:p>
      <w:pPr>
        <w:spacing w:after="0" w:line="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18"/>
          <w:szCs w:val="18"/>
          <w:color w:val="auto"/>
        </w:rPr>
        <w:t>covenant related to the Notes. The complete definitions of all calculation elements of the leverage ratio are contained in the Base Indenture, dated as of September 30, 2014, and amended and restated as of June 5, 2019 (the “Base Indenture”), as supplemented by the related Series 2019-1 Supplement to the Base Indenture, dated June 5, 2019 (the “Series 2019-1 Supplement”), among the Co-Issuers and Citibank, N.A., as the trustee (in such capacity, the “Trustee”) and securities intermediary and the related Series 2022-1 Supplement to the Base Indenture, dated August 12, 2022 (“Series 2022-1 Supplement”), among the Co-Issuers and Citibank, N.A., as Trustee and securities intermediary (the Base Indenture, Series 2019-1 Supplement and Series 2022-1 Supplement, collectively, the “Indenture”). In general, the leverage ratio is our indebtedness (as defined in the Indenture) divided by adjusted EBITDA (as defined in the Indenture) for the four preceding quarterly periods.</w:t>
      </w:r>
    </w:p>
    <w:p>
      <w:pPr>
        <w:spacing w:after="0" w:line="21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September 30, 2022, our leverage ratio was 3.90x. As a result, quarterly principal payments on the 2019 Class A-2 Notes are not required.</w:t>
      </w:r>
    </w:p>
    <w:p>
      <w:pPr>
        <w:spacing w:after="0" w:line="244" w:lineRule="exact"/>
        <w:rPr>
          <w:sz w:val="20"/>
          <w:szCs w:val="20"/>
          <w:color w:val="auto"/>
        </w:rPr>
      </w:pPr>
    </w:p>
    <w:p>
      <w:pPr>
        <w:ind w:right="60" w:firstLine="318"/>
        <w:spacing w:after="0" w:line="250" w:lineRule="auto"/>
        <w:rPr>
          <w:sz w:val="20"/>
          <w:szCs w:val="20"/>
          <w:color w:val="auto"/>
        </w:rPr>
      </w:pPr>
      <w:r>
        <w:rPr>
          <w:rFonts w:ascii="Times New Roman" w:cs="Times New Roman" w:eastAsia="Times New Roman" w:hAnsi="Times New Roman"/>
          <w:sz w:val="18"/>
          <w:szCs w:val="18"/>
          <w:color w:val="auto"/>
        </w:rPr>
        <w:t>We may voluntarily repay the 2019 Class A-2 Notes at any time; however, if we repay the 2019 Class A-2 Notes prior to certain dates, we would be required to pay make-whole premiums. As of September 30, 2022, the make-whole premium associated with voluntary prepayment of the Class A-2-I Notes was zero and will remain as such. As of September 30, 2022, the make-whole premium associated with voluntary prepayment of the Class A-2-II Notes was approximately $0.5 million; this amount declines progressively each quarter to zero in June 2024. We would also be subject to a make-whole premium in the event of a mandatory prepayment required following a Rapid Amortization Event or certain asset dispositions. The mandatory make-whole premium requirements are considered derivatives embedded in the Notes that must be bifurcated for separate valuation. We estimated the fair value of these derivatives to be immaterial as of September 30, 2022, based on the probability-weighted discounted cash flows associated with either event.</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Covenants and Restrictions</w:t>
      </w:r>
    </w:p>
    <w:p>
      <w:pPr>
        <w:spacing w:after="0" w:line="87" w:lineRule="exact"/>
        <w:rPr>
          <w:sz w:val="20"/>
          <w:szCs w:val="20"/>
          <w:color w:val="auto"/>
        </w:rPr>
      </w:pPr>
    </w:p>
    <w:p>
      <w:pPr>
        <w:ind w:right="40" w:firstLine="318"/>
        <w:spacing w:after="0" w:line="248" w:lineRule="auto"/>
        <w:rPr>
          <w:sz w:val="20"/>
          <w:szCs w:val="20"/>
          <w:color w:val="auto"/>
        </w:rPr>
      </w:pPr>
      <w:r>
        <w:rPr>
          <w:rFonts w:ascii="Times New Roman" w:cs="Times New Roman" w:eastAsia="Times New Roman" w:hAnsi="Times New Roman"/>
          <w:sz w:val="18"/>
          <w:szCs w:val="18"/>
          <w:color w:val="auto"/>
        </w:rPr>
        <w:t>The Notes are subject to a series of covenants and restrictions customary for transactions of this type, including: (i) that the Co-Issuers maintain specified reserve accounts to be used to make required payments in respect of the Notes; (ii) provisions relating to optional and mandatory prepayments, and the related payment of specified amounts, including specified call redemption premiums in the case of Class A-2 Notes under certain circumstances; (iii) certain indemnification payments in the event, among other things, the transfers of the assets pledged as collateral for the Notes are in stated ways defective or ineffective; and (iv) covenants relating to recordkeeping, access to information and similar matters. The Notes are subject to customary rapid amortization events provided for in the Indenture, including events tied to failure of the Securitization Entities (as defined in the Indenture) to maintain the stated debt service coverage ratio (“DSCR”), the sum of domestic retail sales for all restaurants being below certain levels on certain measurement dates, certain manager termination events, certain events of default and the failure to repay or refinance the Class A-2 Notes on the anticipated repayment dates. The Notes are also subject to certain customary events of default, including events relating to non-payment of required interest, principal or other amounts due on or with respect to the Notes, failure of the Securitization Entities to maintain the stated DSCR, failure to comply with covenants within certain time frames, certain bankruptcy events, breaches of specified representations and warranties and certain judgments.</w:t>
      </w:r>
    </w:p>
    <w:p>
      <w:pPr>
        <w:spacing w:after="0" w:line="218" w:lineRule="exact"/>
        <w:rPr>
          <w:sz w:val="20"/>
          <w:szCs w:val="20"/>
          <w:color w:val="auto"/>
        </w:rPr>
      </w:pPr>
    </w:p>
    <w:p>
      <w:pPr>
        <w:ind w:firstLine="238"/>
        <w:spacing w:after="0" w:line="250" w:lineRule="auto"/>
        <w:rPr>
          <w:sz w:val="20"/>
          <w:szCs w:val="20"/>
          <w:color w:val="auto"/>
        </w:rPr>
      </w:pPr>
      <w:r>
        <w:rPr>
          <w:rFonts w:ascii="Times New Roman" w:cs="Times New Roman" w:eastAsia="Times New Roman" w:hAnsi="Times New Roman"/>
          <w:sz w:val="18"/>
          <w:szCs w:val="18"/>
          <w:color w:val="auto"/>
        </w:rPr>
        <w:t>In general, the DSCR ratio is Net Cash Flow (as defined in the Indenture) for the four quarters preceding the calculation date divided by the total debt service payments (as defined in the Indenture) of the preceding four quarters. The complete definitions of the DSCR and all calculation elements are contained in the Indenture. Failure to maintain a prescribed DSCR can trigger a Cash Flow Sweeping Event, A Rapid Amortization Event, a Manager Termination Event or a Default Event as described below. In a Cash Flow Sweeping Event, the Trustee is required to retain 50% of excess Cash Flow (as defined in the Indenture) in a restricted account. In a Rapid Amortization Event, all excess Cash Flow is retained and used to retire principal amounts of debt. In a Manager Termination Event, we may be replaced as manager of the assets securitized under the Indenture. In a Default Event, the outstanding principal amount and any accrued but unpaid interest can be called to become immediately due and payable. Key DSCRs are as follows:</w:t>
      </w:r>
    </w:p>
    <w:p>
      <w:pPr>
        <w:spacing w:after="0" w:line="213" w:lineRule="exact"/>
        <w:rPr>
          <w:sz w:val="20"/>
          <w:szCs w:val="20"/>
          <w:color w:val="auto"/>
        </w:rPr>
      </w:pPr>
    </w:p>
    <w:p>
      <w:pPr>
        <w:ind w:left="1280" w:hanging="320"/>
        <w:spacing w:after="0"/>
        <w:tabs>
          <w:tab w:leader="none" w:pos="1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DSCR less than 1.75x - Cash Flow Sweeping Event</w:t>
      </w:r>
    </w:p>
    <w:p>
      <w:pPr>
        <w:spacing w:after="0" w:line="24"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DSCR less than 1.20x - Rapid Amortization Event</w:t>
      </w:r>
    </w:p>
    <w:p>
      <w:pPr>
        <w:spacing w:after="0" w:line="5"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Interest-only DSCR less than 1.20x - Manager Termination Event</w:t>
      </w:r>
    </w:p>
    <w:p>
      <w:pPr>
        <w:spacing w:after="0" w:line="5" w:lineRule="exact"/>
        <w:rPr>
          <w:rFonts w:ascii="Times New Roman" w:cs="Times New Roman" w:eastAsia="Times New Roman" w:hAnsi="Times New Roman"/>
          <w:sz w:val="18"/>
          <w:szCs w:val="18"/>
          <w:color w:val="auto"/>
        </w:rPr>
      </w:pPr>
    </w:p>
    <w:p>
      <w:pPr>
        <w:ind w:left="1280" w:hanging="320"/>
        <w:spacing w:after="0"/>
        <w:tabs>
          <w:tab w:leader="none" w:pos="1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Interest-only DSCR less than 1.10x - Default Event</w:t>
      </w: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DSCR for the reporting period ended September 30, 2022 was approximately 4.15x.</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Use of Credit Facilities</w:t>
      </w:r>
    </w:p>
    <w:p>
      <w:pPr>
        <w:spacing w:after="0" w:line="246" w:lineRule="exact"/>
        <w:rPr>
          <w:sz w:val="20"/>
          <w:szCs w:val="20"/>
          <w:color w:val="auto"/>
        </w:rPr>
      </w:pPr>
    </w:p>
    <w:p>
      <w:pPr>
        <w:jc w:val="both"/>
        <w:ind w:right="280" w:firstLine="318"/>
        <w:spacing w:after="0" w:line="259" w:lineRule="auto"/>
        <w:rPr>
          <w:sz w:val="20"/>
          <w:szCs w:val="20"/>
          <w:color w:val="auto"/>
        </w:rPr>
      </w:pPr>
      <w:r>
        <w:rPr>
          <w:rFonts w:ascii="Times New Roman" w:cs="Times New Roman" w:eastAsia="Times New Roman" w:hAnsi="Times New Roman"/>
          <w:sz w:val="18"/>
          <w:szCs w:val="18"/>
          <w:color w:val="auto"/>
        </w:rPr>
        <w:t>In August 2022, the Co-Issuers drew down a total of $100.0 million from the Credit Facility, all of which was outstanding at September 30, 2022. The amount of $3.4 million was pledged against the Credit Facility at September 30, 2022 for outstanding letters of credit, leaving $221.6 million available for borrowing. The letters of credit are used primarily to satisfy insurance-related collateral requirements.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Allocation</w:t>
      </w:r>
    </w:p>
    <w:p>
      <w:pPr>
        <w:spacing w:after="0" w:line="248" w:lineRule="exact"/>
        <w:rPr>
          <w:sz w:val="20"/>
          <w:szCs w:val="20"/>
          <w:color w:val="auto"/>
        </w:rPr>
      </w:pPr>
    </w:p>
    <w:p>
      <w:pPr>
        <w:ind w:right="180" w:firstLine="318"/>
        <w:spacing w:after="0" w:line="274" w:lineRule="auto"/>
        <w:rPr>
          <w:sz w:val="20"/>
          <w:szCs w:val="20"/>
          <w:color w:val="auto"/>
        </w:rPr>
      </w:pPr>
      <w:r>
        <w:rPr>
          <w:rFonts w:ascii="Times New Roman" w:cs="Times New Roman" w:eastAsia="Times New Roman" w:hAnsi="Times New Roman"/>
          <w:sz w:val="17"/>
          <w:szCs w:val="17"/>
          <w:color w:val="auto"/>
        </w:rPr>
        <w:t>To maintain financial flexibility in light of the COVID-19 pandemic, we suspended our repurchasing of common stock and the declaration of dividends on our common stock after the first quarter of 2020. After evaluating repurchases of common stock and dividend payments on common stock within the context of our overall capital allocation strategy, giving consideration to our current and forecast earnings, financial condition, cash requirements and other factors, we resumed repurchasing our common stock and the declaration of dividends on our common stock in the fourth quarter of 2021.</w:t>
      </w:r>
    </w:p>
    <w:p>
      <w:pPr>
        <w:spacing w:after="0" w:line="194" w:lineRule="exact"/>
        <w:rPr>
          <w:sz w:val="20"/>
          <w:szCs w:val="20"/>
          <w:color w:val="auto"/>
        </w:rPr>
      </w:pPr>
    </w:p>
    <w:p>
      <w:pPr>
        <w:ind w:firstLine="318"/>
        <w:spacing w:after="0" w:line="255" w:lineRule="auto"/>
        <w:rPr>
          <w:sz w:val="20"/>
          <w:szCs w:val="20"/>
          <w:color w:val="auto"/>
        </w:rPr>
      </w:pPr>
      <w:r>
        <w:rPr>
          <w:rFonts w:ascii="Times New Roman" w:cs="Times New Roman" w:eastAsia="Times New Roman" w:hAnsi="Times New Roman"/>
          <w:sz w:val="18"/>
          <w:szCs w:val="18"/>
          <w:color w:val="auto"/>
        </w:rPr>
        <w:t>In February 2019, our Board of Directors approved a stock repurchase program authorizing the repurchase up to $200 million of our common stock (the “2019 Repurchase Program”) on an opportunistic basis from time to time in the open market or in privately negotiated transactions based on business, market, applicable legal requirements and other considerations. The 2019 Repurchase Program, as approved by the Board of Directors, does not require the repurchase of a specific number of shares and can be terminated at any time.</w:t>
      </w:r>
    </w:p>
    <w:p>
      <w:pPr>
        <w:spacing w:after="0" w:line="207"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Additionally, on February 17, 2022, our Board of Directors authorized a new share repurchase program, effective April 1, 2022, of up to $250 million (the “2022 Repurchase Program”).</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Stock Repurchases</w:t>
      </w:r>
    </w:p>
    <w:p>
      <w:pPr>
        <w:spacing w:after="0" w:line="230" w:lineRule="exact"/>
        <w:rPr>
          <w:sz w:val="20"/>
          <w:szCs w:val="20"/>
          <w:color w:val="auto"/>
        </w:rPr>
      </w:pPr>
    </w:p>
    <w:p>
      <w:pPr>
        <w:ind w:right="40" w:firstLine="318"/>
        <w:spacing w:after="0" w:line="245" w:lineRule="auto"/>
        <w:rPr>
          <w:sz w:val="20"/>
          <w:szCs w:val="20"/>
          <w:color w:val="auto"/>
        </w:rPr>
      </w:pPr>
      <w:r>
        <w:rPr>
          <w:rFonts w:ascii="Times New Roman" w:cs="Times New Roman" w:eastAsia="Times New Roman" w:hAnsi="Times New Roman"/>
          <w:sz w:val="18"/>
          <w:szCs w:val="18"/>
          <w:color w:val="auto"/>
        </w:rPr>
        <w:t>During the three and nine months ended September 30, 2022, we repurchased 140,997 and 1,642,097 shares of common stock at a cost of $9.5 million and $113.6 million, respectively. The amounts for the three months ended September 30, 2022 relate to the 2022 Repurchase Program. For the nine months ended September 30, 2022, 588,108 shares of common stock at a cost of $41.4 million relate to the 2019 Repurchase Program and 1,053,989 shares of common stock at a cost of $72.1 million relate to the 2022 Repurchase Program. We did not repurchase any shares of common stock during the three and nine months ended September 30, 2021.</w:t>
      </w:r>
    </w:p>
    <w:p>
      <w:pPr>
        <w:spacing w:after="0" w:line="202" w:lineRule="exact"/>
        <w:rPr>
          <w:sz w:val="20"/>
          <w:szCs w:val="20"/>
          <w:color w:val="auto"/>
        </w:rPr>
      </w:pPr>
    </w:p>
    <w:p>
      <w:pPr>
        <w:ind w:right="260" w:firstLine="318"/>
        <w:spacing w:after="0" w:line="252" w:lineRule="auto"/>
        <w:rPr>
          <w:sz w:val="20"/>
          <w:szCs w:val="20"/>
          <w:color w:val="auto"/>
        </w:rPr>
      </w:pPr>
      <w:r>
        <w:rPr>
          <w:rFonts w:ascii="Times New Roman" w:cs="Times New Roman" w:eastAsia="Times New Roman" w:hAnsi="Times New Roman"/>
          <w:sz w:val="18"/>
          <w:szCs w:val="18"/>
          <w:color w:val="auto"/>
        </w:rPr>
        <w:t>From time to time, we may also repurchase shares owned and tendered by employees to satisfy tax withholding obligations on the vesting of restricted stock awards. Shares are deemed purchased at the closing price of our common stock on the vesting date. See Part II, Item 2, of this Quarterly Report for detail on this stock repurchase activity during the nine months ended September 30, 2022.</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Dividends</w:t>
      </w:r>
    </w:p>
    <w:p>
      <w:pPr>
        <w:spacing w:after="0" w:line="19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Dividends declared and paid per share for the three and nine months ended September 30, 2022 and 2021 were as follows:</w:t>
      </w:r>
    </w:p>
    <w:p>
      <w:pPr>
        <w:spacing w:after="0" w:line="286" w:lineRule="exact"/>
        <w:rPr>
          <w:sz w:val="20"/>
          <w:szCs w:val="20"/>
          <w:color w:val="auto"/>
        </w:rPr>
      </w:pPr>
    </w:p>
    <w:tbl>
      <w:tblPr>
        <w:tblLayout w:type="fixed"/>
        <w:tblInd w:w="320" w:type="dxa"/>
        <w:tblCellMar>
          <w:top w:w="0" w:type="dxa"/>
          <w:left w:w="0" w:type="dxa"/>
          <w:bottom w:w="0" w:type="dxa"/>
          <w:right w:w="0" w:type="dxa"/>
        </w:tblCellMar>
      </w:tblPr>
      <w:tr>
        <w:trPr>
          <w:trHeight w:val="212"/>
        </w:trPr>
        <w:tc>
          <w:tcPr>
            <w:tcW w:w="5220" w:type="dxa"/>
            <w:vAlign w:val="bottom"/>
          </w:tcPr>
          <w:p>
            <w:pPr>
              <w:spacing w:after="0"/>
              <w:rPr>
                <w:sz w:val="18"/>
                <w:szCs w:val="18"/>
                <w:color w:val="auto"/>
              </w:rPr>
            </w:pPr>
          </w:p>
        </w:tc>
        <w:tc>
          <w:tcPr>
            <w:tcW w:w="2900" w:type="dxa"/>
            <w:vAlign w:val="bottom"/>
            <w:gridSpan w:val="6"/>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52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07"/>
        </w:trPr>
        <w:tc>
          <w:tcPr>
            <w:tcW w:w="5220" w:type="dxa"/>
            <w:vAlign w:val="bottom"/>
            <w:tcBorders>
              <w:bottom w:val="single" w:sz="8" w:color="CCEEFF"/>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46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CCEEFF"/>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8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60" w:type="dxa"/>
            <w:vAlign w:val="bottom"/>
            <w:tcBorders>
              <w:top w:val="single" w:sz="8" w:color="auto"/>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880" w:type="dxa"/>
            <w:vAlign w:val="bottom"/>
            <w:tcBorders>
              <w:top w:val="single" w:sz="8" w:color="auto"/>
              <w:bottom w:val="single" w:sz="8" w:color="auto"/>
            </w:tcBorders>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22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declared per common share</w:t>
            </w:r>
          </w:p>
        </w:tc>
        <w:tc>
          <w:tcPr>
            <w:tcW w:w="92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6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1"/>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Dividends paid per common share</w:t>
            </w:r>
          </w:p>
        </w:tc>
        <w:tc>
          <w:tcPr>
            <w:tcW w:w="920" w:type="dxa"/>
            <w:vAlign w:val="bottom"/>
          </w:tcPr>
          <w:p>
            <w:pPr>
              <w:jc w:val="right"/>
              <w:ind w:right="71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20"/>
                <w:szCs w:val="20"/>
                <w:color w:val="auto"/>
              </w:rPr>
            </w:pPr>
          </w:p>
        </w:tc>
        <w:tc>
          <w:tcPr>
            <w:tcW w:w="30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60" w:type="dxa"/>
            <w:vAlign w:val="bottom"/>
          </w:tcPr>
          <w:p>
            <w:pPr>
              <w:spacing w:after="0"/>
              <w:rPr>
                <w:sz w:val="20"/>
                <w:szCs w:val="20"/>
                <w:color w:val="auto"/>
              </w:rPr>
            </w:pPr>
          </w:p>
        </w:tc>
        <w:tc>
          <w:tcPr>
            <w:tcW w:w="26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94" w:lineRule="exact"/>
        <w:rPr>
          <w:sz w:val="20"/>
          <w:szCs w:val="20"/>
          <w:color w:val="auto"/>
        </w:rPr>
      </w:pPr>
    </w:p>
    <w:p>
      <w:pPr>
        <w:ind w:right="2340" w:firstLine="318"/>
        <w:spacing w:after="0" w:line="274" w:lineRule="auto"/>
        <w:rPr>
          <w:sz w:val="20"/>
          <w:szCs w:val="20"/>
          <w:color w:val="auto"/>
        </w:rPr>
      </w:pPr>
      <w:r>
        <w:rPr>
          <w:rFonts w:ascii="Times New Roman" w:cs="Times New Roman" w:eastAsia="Times New Roman" w:hAnsi="Times New Roman"/>
          <w:sz w:val="18"/>
          <w:szCs w:val="18"/>
          <w:color w:val="auto"/>
        </w:rPr>
        <w:t>On October 28, 2021, our Board of Directors declared a fourth quarter 2021 cash dividend of $0.40 per share of common stock, paid on January 7, 2022 to the stockholders of record as of the close of business on December 17, 2021.</w:t>
      </w:r>
    </w:p>
    <w:p>
      <w:pPr>
        <w:spacing w:after="0" w:line="190" w:lineRule="exact"/>
        <w:rPr>
          <w:sz w:val="20"/>
          <w:szCs w:val="20"/>
          <w:color w:val="auto"/>
        </w:rPr>
      </w:pPr>
    </w:p>
    <w:p>
      <w:pPr>
        <w:ind w:right="3080" w:firstLine="318"/>
        <w:spacing w:after="0" w:line="304" w:lineRule="auto"/>
        <w:rPr>
          <w:sz w:val="20"/>
          <w:szCs w:val="20"/>
          <w:color w:val="auto"/>
        </w:rPr>
      </w:pPr>
      <w:r>
        <w:rPr>
          <w:rFonts w:ascii="Times New Roman" w:cs="Times New Roman" w:eastAsia="Times New Roman" w:hAnsi="Times New Roman"/>
          <w:sz w:val="17"/>
          <w:szCs w:val="17"/>
          <w:color w:val="auto"/>
        </w:rPr>
        <w:t>On February 17, 2022, our Board of Directors declared a first quarter 2022 cash dividend of $0.46 per share of common stock, paid on April 1, 2022 to the stockholders of record as of the close of business on March 21, 2022.</w:t>
      </w:r>
    </w:p>
    <w:p>
      <w:pPr>
        <w:spacing w:after="0" w:line="167" w:lineRule="exact"/>
        <w:rPr>
          <w:sz w:val="20"/>
          <w:szCs w:val="20"/>
          <w:color w:val="auto"/>
        </w:rPr>
      </w:pPr>
    </w:p>
    <w:p>
      <w:pPr>
        <w:ind w:right="3180" w:firstLine="318"/>
        <w:spacing w:after="0" w:line="304" w:lineRule="auto"/>
        <w:rPr>
          <w:sz w:val="20"/>
          <w:szCs w:val="20"/>
          <w:color w:val="auto"/>
        </w:rPr>
      </w:pPr>
      <w:r>
        <w:rPr>
          <w:rFonts w:ascii="Times New Roman" w:cs="Times New Roman" w:eastAsia="Times New Roman" w:hAnsi="Times New Roman"/>
          <w:sz w:val="17"/>
          <w:szCs w:val="17"/>
          <w:color w:val="auto"/>
        </w:rPr>
        <w:t>On May 12, 2022, our Board of Directors declared a second quarter 2022 cash dividend of $0.51 per share of common stock, paid on July 8, 2022 to the stockholders of record as of the close of business on June 20, 2022.</w:t>
      </w:r>
    </w:p>
    <w:p>
      <w:pPr>
        <w:spacing w:after="0" w:line="167" w:lineRule="exact"/>
        <w:rPr>
          <w:sz w:val="20"/>
          <w:szCs w:val="20"/>
          <w:color w:val="auto"/>
        </w:rPr>
      </w:pPr>
    </w:p>
    <w:p>
      <w:pPr>
        <w:ind w:right="2420" w:firstLine="318"/>
        <w:spacing w:after="0" w:line="288" w:lineRule="auto"/>
        <w:rPr>
          <w:sz w:val="20"/>
          <w:szCs w:val="20"/>
          <w:color w:val="auto"/>
        </w:rPr>
      </w:pPr>
      <w:r>
        <w:rPr>
          <w:rFonts w:ascii="Times New Roman" w:cs="Times New Roman" w:eastAsia="Times New Roman" w:hAnsi="Times New Roman"/>
          <w:sz w:val="17"/>
          <w:szCs w:val="17"/>
          <w:color w:val="auto"/>
        </w:rPr>
        <w:t>On September 9, 2022, our Board of Directors declared a third quarter 2022 cash dividend of $0.51 per share of common stock, paid on September 30, 2022 to the stockholders of record as of the close of business on September 20, 2022.</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summary, our cash flows for the nine months ended September 30, 2022 and September 30, 2021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100" w:type="dxa"/>
            <w:vAlign w:val="bottom"/>
          </w:tcPr>
          <w:p>
            <w:pPr>
              <w:spacing w:after="0"/>
              <w:rPr>
                <w:sz w:val="18"/>
                <w:szCs w:val="18"/>
                <w:color w:val="auto"/>
              </w:rPr>
            </w:pPr>
          </w:p>
        </w:tc>
        <w:tc>
          <w:tcPr>
            <w:tcW w:w="2840" w:type="dxa"/>
            <w:vAlign w:val="bottom"/>
            <w:gridSpan w:val="6"/>
          </w:tcPr>
          <w:p>
            <w:pPr>
              <w:ind w:left="1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9"/>
        </w:trPr>
        <w:tc>
          <w:tcPr>
            <w:tcW w:w="7100" w:type="dxa"/>
            <w:vAlign w:val="bottom"/>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Variance</w:t>
            </w:r>
          </w:p>
        </w:tc>
      </w:tr>
      <w:tr>
        <w:trPr>
          <w:trHeight w:val="187"/>
        </w:trPr>
        <w:tc>
          <w:tcPr>
            <w:tcW w:w="7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2"/>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8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r>
      <w:tr>
        <w:trPr>
          <w:trHeight w:val="225"/>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8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25"/>
        </w:trPr>
        <w:tc>
          <w:tcPr>
            <w:tcW w:w="7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r>
      <w:tr>
        <w:trPr>
          <w:trHeight w:val="218"/>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8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69.7</w:t>
            </w:r>
          </w:p>
        </w:tc>
      </w:tr>
      <w:tr>
        <w:trPr>
          <w:trHeight w:val="20"/>
        </w:trPr>
        <w:tc>
          <w:tcPr>
            <w:tcW w:w="7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Operating Activities</w:t>
      </w:r>
    </w:p>
    <w:p>
      <w:pPr>
        <w:spacing w:after="0" w:line="244" w:lineRule="exact"/>
        <w:rPr>
          <w:sz w:val="20"/>
          <w:szCs w:val="20"/>
          <w:color w:val="auto"/>
        </w:rPr>
      </w:pPr>
    </w:p>
    <w:p>
      <w:pPr>
        <w:ind w:firstLine="318"/>
        <w:spacing w:after="0" w:line="267" w:lineRule="auto"/>
        <w:rPr>
          <w:sz w:val="20"/>
          <w:szCs w:val="20"/>
          <w:color w:val="auto"/>
        </w:rPr>
      </w:pPr>
      <w:r>
        <w:rPr>
          <w:rFonts w:ascii="Times New Roman" w:cs="Times New Roman" w:eastAsia="Times New Roman" w:hAnsi="Times New Roman"/>
          <w:sz w:val="17"/>
          <w:szCs w:val="17"/>
          <w:color w:val="auto"/>
        </w:rPr>
        <w:t>Cash provided by operating activities decreased $82.1 million during the nine months ended September 30, 2022 compared to the same period of 2021. Our net income plus the non-cash reconciling items shown in our statements of cash flows (primarily depreciation, closure and impairment charges, stock-based compensation and deferred taxes) decreased $6.1 million from 2021. This was primarily due to an increase in G&amp;A expenses and the recognition of excess tax benefits on stock-based compensation in 2021 that did not recur in 2022, each of which was discussed in preceding sections of the MD&amp;A, partially offset by an increase in gross profit. Net changes in working capital used cash of $41.6 million during the nine months ended September 30, 2022 compared to providing cash of $34.4 million during the same period of the prior year, an unfavorable change of $76.0 million. The unfavorable change in working capital was primarily due to an increase in payments for corporate bonuses and other employee compensation and the timing of marketing and other disbursements.</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Investing Activities</w:t>
      </w:r>
    </w:p>
    <w:p>
      <w:pPr>
        <w:spacing w:after="0" w:line="204" w:lineRule="exact"/>
        <w:rPr>
          <w:sz w:val="20"/>
          <w:szCs w:val="20"/>
          <w:color w:val="auto"/>
        </w:rPr>
      </w:pPr>
    </w:p>
    <w:p>
      <w:pPr>
        <w:ind w:right="20" w:firstLine="318"/>
        <w:spacing w:after="0" w:line="239" w:lineRule="auto"/>
        <w:rPr>
          <w:sz w:val="20"/>
          <w:szCs w:val="20"/>
          <w:color w:val="auto"/>
        </w:rPr>
      </w:pPr>
      <w:r>
        <w:rPr>
          <w:rFonts w:ascii="Times New Roman" w:cs="Times New Roman" w:eastAsia="Times New Roman" w:hAnsi="Times New Roman"/>
          <w:sz w:val="18"/>
          <w:szCs w:val="18"/>
          <w:color w:val="auto"/>
        </w:rPr>
        <w:t>Investing activities used net cash of $3.4 million for the nine months ended September 30, 2022 compared to investing activities provided net cash of $7.5 million for the nine months ended September 30, 2021, an unfavorable change of $10.9 million. The variance of $10.9 million in investing activities was primarily related to an increase in capital expenditures of $11.6 million, partially offset by an increase in proceeds from the sale of property and equipment of $3.0 million.</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Financing Activities</w:t>
      </w:r>
    </w:p>
    <w:p>
      <w:pPr>
        <w:spacing w:after="0" w:line="217" w:lineRule="exact"/>
        <w:rPr>
          <w:sz w:val="20"/>
          <w:szCs w:val="20"/>
          <w:color w:val="auto"/>
        </w:rPr>
      </w:pPr>
    </w:p>
    <w:p>
      <w:pPr>
        <w:ind w:right="60" w:firstLine="318"/>
        <w:spacing w:after="0" w:line="252" w:lineRule="auto"/>
        <w:rPr>
          <w:sz w:val="20"/>
          <w:szCs w:val="20"/>
          <w:color w:val="auto"/>
        </w:rPr>
      </w:pPr>
      <w:r>
        <w:rPr>
          <w:rFonts w:ascii="Times New Roman" w:cs="Times New Roman" w:eastAsia="Times New Roman" w:hAnsi="Times New Roman"/>
          <w:sz w:val="18"/>
          <w:szCs w:val="18"/>
          <w:color w:val="auto"/>
        </w:rPr>
        <w:t>Financing activities used net cash of $61.2 million for the nine months ended September 30, 2022. We repurchased common stock in the amount of $113.9 million, paid dividends of $30.8 million, made payments on finance lease obligations of $7.0 million and payment on debt issuance costs of $6.3 million, which was partially offset by proceeds from our Credit Facility of $100.0 million. The decrease in cash used by financing activities was due to a $220 million repayment on our Previous Credit Facility in 2021 that did not recur in 2022, partially offset by proceeds from our Credit Facility in 2022, the resumption of dividend repurchases and dividend payments in 2022 that had been suspended in 2021.</w:t>
      </w:r>
    </w:p>
    <w:p>
      <w:pPr>
        <w:spacing w:after="0" w:line="21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2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total cash balances as of September 30, 2022 and December 31, 2021 were as follows:</w:t>
      </w:r>
    </w:p>
    <w:p>
      <w:pPr>
        <w:spacing w:after="0" w:line="39" w:lineRule="exact"/>
        <w:rPr>
          <w:sz w:val="20"/>
          <w:szCs w:val="20"/>
          <w:color w:val="auto"/>
        </w:rPr>
      </w:pPr>
    </w:p>
    <w:tbl>
      <w:tblPr>
        <w:tblLayout w:type="fixed"/>
        <w:tblInd w:w="320" w:type="dxa"/>
        <w:tblCellMar>
          <w:top w:w="0" w:type="dxa"/>
          <w:left w:w="0" w:type="dxa"/>
          <w:bottom w:w="0" w:type="dxa"/>
          <w:right w:w="0" w:type="dxa"/>
        </w:tblCellMar>
      </w:tblPr>
      <w:tr>
        <w:trPr>
          <w:trHeight w:val="186"/>
        </w:trPr>
        <w:tc>
          <w:tcPr>
            <w:tcW w:w="6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200" w:type="dxa"/>
            <w:vAlign w:val="bottom"/>
          </w:tcPr>
          <w:p>
            <w:pPr>
              <w:spacing w:after="0"/>
              <w:rPr>
                <w:sz w:val="16"/>
                <w:szCs w:val="16"/>
                <w:color w:val="auto"/>
              </w:rPr>
            </w:pPr>
          </w:p>
        </w:tc>
        <w:tc>
          <w:tcPr>
            <w:tcW w:w="156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4"/>
        </w:trPr>
        <w:tc>
          <w:tcPr>
            <w:tcW w:w="66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4"/>
          </w:tcPr>
          <w:p>
            <w:pPr>
              <w:spacing w:after="0"/>
              <w:rPr>
                <w:sz w:val="2"/>
                <w:szCs w:val="2"/>
                <w:color w:val="auto"/>
              </w:rPr>
            </w:pPr>
          </w:p>
        </w:tc>
      </w:tr>
      <w:tr>
        <w:trPr>
          <w:trHeight w:val="186"/>
        </w:trPr>
        <w:tc>
          <w:tcPr>
            <w:tcW w:w="6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0" w:type="dxa"/>
            <w:vAlign w:val="bottom"/>
            <w:gridSpan w:val="4"/>
          </w:tcPr>
          <w:p>
            <w:pPr>
              <w:jc w:val="right"/>
              <w:ind w:right="1335"/>
              <w:spacing w:after="0"/>
              <w:rPr>
                <w:sz w:val="20"/>
                <w:szCs w:val="20"/>
                <w:color w:val="auto"/>
              </w:rPr>
            </w:pPr>
            <w:r>
              <w:rPr>
                <w:rFonts w:ascii="Times New Roman" w:cs="Times New Roman" w:eastAsia="Times New Roman" w:hAnsi="Times New Roman"/>
                <w:sz w:val="14"/>
                <w:szCs w:val="14"/>
                <w:b w:val="1"/>
                <w:bCs w:val="1"/>
                <w:color w:val="auto"/>
              </w:rPr>
              <w:t>(In millions)</w:t>
            </w:r>
          </w:p>
        </w:tc>
      </w:tr>
      <w:tr>
        <w:trPr>
          <w:trHeight w:val="232"/>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361.4</w:t>
            </w:r>
          </w:p>
        </w:tc>
      </w:tr>
      <w:tr>
        <w:trPr>
          <w:trHeight w:val="225"/>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 current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r>
      <w:tr>
        <w:trPr>
          <w:trHeight w:val="225"/>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cash, non-current</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19"/>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425.3</w:t>
            </w:r>
          </w:p>
        </w:tc>
      </w:tr>
      <w:tr>
        <w:trPr>
          <w:trHeight w:val="20"/>
        </w:trPr>
        <w:tc>
          <w:tcPr>
            <w:tcW w:w="6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right="200" w:firstLine="318"/>
        <w:spacing w:after="0" w:line="255" w:lineRule="auto"/>
        <w:rPr>
          <w:sz w:val="20"/>
          <w:szCs w:val="20"/>
          <w:color w:val="auto"/>
        </w:rPr>
      </w:pPr>
      <w:r>
        <w:rPr>
          <w:rFonts w:ascii="Times New Roman" w:cs="Times New Roman" w:eastAsia="Times New Roman" w:hAnsi="Times New Roman"/>
          <w:sz w:val="18"/>
          <w:szCs w:val="18"/>
          <w:color w:val="auto"/>
        </w:rPr>
        <w:t>Cash and cash equivalents include $74.0 million and $101.5 million of cash held for gift card programs and advertising funds as of September 30, 2022 and December 31, 2021, respectively. The decrease in cash and cash equivalents between September 30, 2022 and December 31, 2021 was primarily due to payments to repurchase common stock, dividend payments, additions to property and equipment and other payments including employee bonuses and advertising.</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right="280" w:firstLine="318"/>
        <w:spacing w:after="0" w:line="274" w:lineRule="auto"/>
        <w:rPr>
          <w:sz w:val="20"/>
          <w:szCs w:val="20"/>
          <w:color w:val="auto"/>
        </w:rPr>
      </w:pPr>
      <w:r>
        <w:rPr>
          <w:rFonts w:ascii="Times New Roman" w:cs="Times New Roman" w:eastAsia="Times New Roman" w:hAnsi="Times New Roman"/>
          <w:sz w:val="18"/>
          <w:szCs w:val="18"/>
          <w:color w:val="auto"/>
        </w:rPr>
        <w:t>We believe that our unrestricted cash and cash equivalents on hand, cash flow from operations, and the $221.6 million of borrowing capacity available under our Credit Facility will provide us with adequate liquidity for at least the next twelve months.</w:t>
      </w:r>
    </w:p>
    <w:p>
      <w:pPr>
        <w:spacing w:after="0" w:line="200" w:lineRule="exact"/>
        <w:rPr>
          <w:sz w:val="20"/>
          <w:szCs w:val="20"/>
          <w:color w:val="auto"/>
        </w:rPr>
      </w:pPr>
    </w:p>
    <w:p>
      <w:pPr>
        <w:spacing w:after="0" w:line="22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Adjusted Free Cash Flow</w:t>
      </w:r>
    </w:p>
    <w:p>
      <w:pPr>
        <w:spacing w:after="0" w:line="248" w:lineRule="exact"/>
        <w:rPr>
          <w:sz w:val="20"/>
          <w:szCs w:val="20"/>
          <w:color w:val="auto"/>
        </w:rPr>
      </w:pPr>
    </w:p>
    <w:p>
      <w:pPr>
        <w:ind w:right="180" w:firstLine="318"/>
        <w:spacing w:after="0" w:line="255" w:lineRule="auto"/>
        <w:rPr>
          <w:sz w:val="20"/>
          <w:szCs w:val="20"/>
          <w:color w:val="auto"/>
        </w:rPr>
      </w:pPr>
      <w:r>
        <w:rPr>
          <w:rFonts w:ascii="Times New Roman" w:cs="Times New Roman" w:eastAsia="Times New Roman" w:hAnsi="Times New Roman"/>
          <w:sz w:val="18"/>
          <w:szCs w:val="18"/>
          <w:color w:val="auto"/>
        </w:rPr>
        <w:t>We define “adjusted free cash flow” for a given period as cash provided by operating activities, plus receipts from notes and equipment contract receivables, less additions to property and equipment. Management uses this liquidity measure in its periodic assessment of, among other things, payment of cash dividends on common stock and repurchases of common stock and we believe it is important for investors to have the same measure used by management for that purpose. Adjusted free cash flow does not represent residual cash flow available for discretionary purposes.</w:t>
      </w:r>
    </w:p>
    <w:p>
      <w:pPr>
        <w:spacing w:after="0" w:line="207" w:lineRule="exact"/>
        <w:rPr>
          <w:sz w:val="20"/>
          <w:szCs w:val="20"/>
          <w:color w:val="auto"/>
        </w:rPr>
      </w:pPr>
    </w:p>
    <w:p>
      <w:pPr>
        <w:jc w:val="both"/>
        <w:ind w:firstLine="318"/>
        <w:spacing w:after="0" w:line="255" w:lineRule="auto"/>
        <w:rPr>
          <w:sz w:val="20"/>
          <w:szCs w:val="20"/>
          <w:color w:val="auto"/>
        </w:rPr>
      </w:pPr>
      <w:r>
        <w:rPr>
          <w:rFonts w:ascii="Times New Roman" w:cs="Times New Roman" w:eastAsia="Times New Roman" w:hAnsi="Times New Roman"/>
          <w:sz w:val="18"/>
          <w:szCs w:val="18"/>
          <w:color w:val="auto"/>
        </w:rPr>
        <w:t>Adjusted free cash flow is a non-U.S. GAAP measure. This non-U.S. GAAP measure is not defined in the same manner by all companies and may not be comparable to other similarly titled measures of other companies. Non-U.S. GAAP measures should be considered in addition to, and not as a substitute for, the U.S. GAAP information contained within our financial statements. Reconciliation of the cash provided by operating activities to adjusted (negative) free cash flow is as follows:</w:t>
      </w:r>
    </w:p>
    <w:p>
      <w:pPr>
        <w:spacing w:after="0" w:line="249" w:lineRule="exact"/>
        <w:rPr>
          <w:sz w:val="20"/>
          <w:szCs w:val="20"/>
          <w:color w:val="auto"/>
        </w:rPr>
      </w:pPr>
    </w:p>
    <w:tbl>
      <w:tblPr>
        <w:tblLayout w:type="fixed"/>
        <w:tblInd w:w="400" w:type="dxa"/>
        <w:tblCellMar>
          <w:top w:w="0" w:type="dxa"/>
          <w:left w:w="0" w:type="dxa"/>
          <w:bottom w:w="0" w:type="dxa"/>
          <w:right w:w="0" w:type="dxa"/>
        </w:tblCellMar>
      </w:tblPr>
      <w:tr>
        <w:trPr>
          <w:trHeight w:val="212"/>
        </w:trPr>
        <w:tc>
          <w:tcPr>
            <w:tcW w:w="6180" w:type="dxa"/>
            <w:vAlign w:val="bottom"/>
          </w:tcPr>
          <w:p>
            <w:pPr>
              <w:spacing w:after="0"/>
              <w:rPr>
                <w:sz w:val="18"/>
                <w:szCs w:val="18"/>
                <w:color w:val="auto"/>
              </w:rPr>
            </w:pPr>
          </w:p>
        </w:tc>
        <w:tc>
          <w:tcPr>
            <w:tcW w:w="3280" w:type="dxa"/>
            <w:vAlign w:val="bottom"/>
            <w:gridSpan w:val="6"/>
          </w:tcPr>
          <w:p>
            <w:pPr>
              <w:ind w:left="4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07"/>
        </w:trPr>
        <w:tc>
          <w:tcPr>
            <w:tcW w:w="618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520" w:type="dxa"/>
            <w:vAlign w:val="bottom"/>
            <w:tcBorders>
              <w:top w:val="single" w:sz="8" w:color="auto"/>
              <w:bottom w:val="single" w:sz="8" w:color="auto"/>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1340" w:type="dxa"/>
            <w:vAlign w:val="bottom"/>
            <w:tcBorders>
              <w:top w:val="single" w:sz="8" w:color="auto"/>
              <w:bottom w:val="single" w:sz="8" w:color="auto"/>
            </w:tcBorders>
          </w:tcPr>
          <w:p>
            <w:pPr>
              <w:jc w:val="right"/>
              <w:ind w:right="5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Variance</w:t>
            </w:r>
          </w:p>
        </w:tc>
      </w:tr>
      <w:tr>
        <w:trPr>
          <w:trHeight w:val="187"/>
        </w:trPr>
        <w:tc>
          <w:tcPr>
            <w:tcW w:w="6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32"/>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provided by operating activities</w:t>
            </w:r>
          </w:p>
        </w:tc>
        <w:tc>
          <w:tcPr>
            <w:tcW w:w="1000" w:type="dxa"/>
            <w:vAlign w:val="bottom"/>
            <w:shd w:val="clear" w:color="auto" w:fill="CCEEFF"/>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r>
      <w:tr>
        <w:trPr>
          <w:trHeight w:val="225"/>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Receipts from notes and equipment contracts receivable</w:t>
            </w:r>
          </w:p>
        </w:tc>
        <w:tc>
          <w:tcPr>
            <w:tcW w:w="10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5"/>
        </w:trPr>
        <w:tc>
          <w:tcPr>
            <w:tcW w:w="6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Additions to property and equipment</w:t>
            </w:r>
          </w:p>
        </w:tc>
        <w:tc>
          <w:tcPr>
            <w:tcW w:w="100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r>
      <w:tr>
        <w:trPr>
          <w:trHeight w:val="219"/>
        </w:trPr>
        <w:tc>
          <w:tcPr>
            <w:tcW w:w="6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Adjusted free cash flow</w:t>
            </w:r>
          </w:p>
        </w:tc>
        <w:tc>
          <w:tcPr>
            <w:tcW w:w="1000" w:type="dxa"/>
            <w:vAlign w:val="bottom"/>
            <w:tcBorders>
              <w:bottom w:val="single" w:sz="8" w:color="auto"/>
            </w:tcBorders>
          </w:tcPr>
          <w:p>
            <w:pPr>
              <w:jc w:val="right"/>
              <w:ind w:right="816"/>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w:t>
            </w:r>
          </w:p>
        </w:tc>
      </w:tr>
      <w:tr>
        <w:trPr>
          <w:trHeight w:val="20"/>
        </w:trPr>
        <w:tc>
          <w:tcPr>
            <w:tcW w:w="6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313" w:lineRule="exact"/>
        <w:rPr>
          <w:sz w:val="20"/>
          <w:szCs w:val="20"/>
          <w:color w:val="auto"/>
        </w:rPr>
      </w:pPr>
    </w:p>
    <w:p>
      <w:pPr>
        <w:ind w:firstLine="318"/>
        <w:spacing w:after="0" w:line="274" w:lineRule="auto"/>
        <w:rPr>
          <w:sz w:val="20"/>
          <w:szCs w:val="20"/>
          <w:color w:val="auto"/>
        </w:rPr>
      </w:pPr>
      <w:r>
        <w:rPr>
          <w:rFonts w:ascii="Times New Roman" w:cs="Times New Roman" w:eastAsia="Times New Roman" w:hAnsi="Times New Roman"/>
          <w:sz w:val="18"/>
          <w:szCs w:val="18"/>
          <w:color w:val="auto"/>
        </w:rPr>
        <w:t>Adjusted free cash flow for the nine months ended September 30, 2022 declined compared to the same period of the prior year due to the decrease in cash flows provided by operating activities and the increase in capital expenditures, each of which was discussed in preceding sections of this MD&amp;A.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There were no material changes to the contractual obligations as disclosed in our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19" w:lineRule="exact"/>
        <w:rPr>
          <w:sz w:val="20"/>
          <w:szCs w:val="20"/>
          <w:color w:val="auto"/>
        </w:rPr>
      </w:pPr>
    </w:p>
    <w:p>
      <w:pPr>
        <w:ind w:firstLine="318"/>
        <w:spacing w:after="0" w:line="251"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U.S. GAAP requires us to make estimates and assumptions affecting the reported amounts of assets and liabilities at the date of the financial statements and the reported amounts of net revenues and expenses in the reporting period. We base our estimates and assumptions on current facts, historical experience and various other factors that we believe to be reasonable under the circumstances, the results of which form the basis for making judgments about the carrying values of assets and liabilities and the accrual of costs and expenses that are not readily apparent from other sources. We continually review the estimates and underlying assumptions to ensure they are appropriate for the circumstances. Accounting assumptions and estimates are inherently uncertain and actual results may differ materially from our estimates.</w:t>
      </w:r>
    </w:p>
    <w:p>
      <w:pPr>
        <w:spacing w:after="0" w:line="185" w:lineRule="exact"/>
        <w:rPr>
          <w:sz w:val="20"/>
          <w:szCs w:val="20"/>
          <w:color w:val="auto"/>
        </w:rPr>
      </w:pPr>
    </w:p>
    <w:p>
      <w:pPr>
        <w:ind w:right="180" w:firstLine="318"/>
        <w:spacing w:after="0" w:line="259" w:lineRule="auto"/>
        <w:rPr>
          <w:sz w:val="20"/>
          <w:szCs w:val="20"/>
          <w:color w:val="auto"/>
        </w:rPr>
      </w:pPr>
      <w:r>
        <w:rPr>
          <w:rFonts w:ascii="Times New Roman" w:cs="Times New Roman" w:eastAsia="Times New Roman" w:hAnsi="Times New Roman"/>
          <w:sz w:val="18"/>
          <w:szCs w:val="18"/>
          <w:color w:val="auto"/>
        </w:rPr>
        <w:t>A summary of our critical accounting estimates is included in Management’s Discussion and Analysis of Financial Condition and Results of Operations contained in our Annual Report on Form 10-K for the year ended December 31, 2021. During the nine months ended September 30, 2022, there were no significant changes in our critical accounting policies or in our critical accounting estimates.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There were no material changes from the information contained in the Company’s Annual Report on Form 10-K for the year ended December 31, 2021.</w:t>
      </w: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19" w:lineRule="exact"/>
        <w:rPr>
          <w:sz w:val="20"/>
          <w:szCs w:val="20"/>
          <w:color w:val="auto"/>
        </w:rPr>
      </w:pPr>
    </w:p>
    <w:p>
      <w:pPr>
        <w:ind w:right="140" w:firstLine="318"/>
        <w:spacing w:after="0" w:line="252" w:lineRule="auto"/>
        <w:rPr>
          <w:sz w:val="20"/>
          <w:szCs w:val="20"/>
          <w:color w:val="auto"/>
        </w:rPr>
      </w:pPr>
      <w:r>
        <w:rPr>
          <w:rFonts w:ascii="Times New Roman" w:cs="Times New Roman" w:eastAsia="Times New Roman" w:hAnsi="Times New Roman"/>
          <w:sz w:val="18"/>
          <w:szCs w:val="18"/>
          <w:color w:val="auto"/>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Based on such evaluation, the Company’s Chief Executive Officer and Chief Financial Officer have concluded that, as of the end of such period, the Company’s disclosure controls and procedures are effective at the reasonable assurance level.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19" w:lineRule="exact"/>
        <w:rPr>
          <w:sz w:val="20"/>
          <w:szCs w:val="20"/>
          <w:color w:val="auto"/>
        </w:rPr>
      </w:pPr>
    </w:p>
    <w:p>
      <w:pPr>
        <w:ind w:firstLine="318"/>
        <w:spacing w:after="0" w:line="259" w:lineRule="auto"/>
        <w:rPr>
          <w:sz w:val="20"/>
          <w:szCs w:val="20"/>
          <w:color w:val="auto"/>
        </w:rPr>
      </w:pPr>
      <w:r>
        <w:rPr>
          <w:rFonts w:ascii="Times New Roman" w:cs="Times New Roman" w:eastAsia="Times New Roman" w:hAnsi="Times New Roman"/>
          <w:sz w:val="18"/>
          <w:szCs w:val="18"/>
          <w:color w:val="auto"/>
        </w:rPr>
        <w:t>There have been no changes in the Company’s internal control over financial reporting (as such term is defined in Rules 13a-15(f) and 15d-15(f) under the Exchange Act) during the fiscal quarter to which this report relates that have materially affected, or are reasonably likely to materially affect, the Company’s internal control over financial reporting.</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19" w:lineRule="exact"/>
        <w:rPr>
          <w:sz w:val="20"/>
          <w:szCs w:val="20"/>
          <w:color w:val="auto"/>
        </w:rPr>
      </w:pPr>
    </w:p>
    <w:p>
      <w:pPr>
        <w:ind w:right="120" w:firstLine="318"/>
        <w:spacing w:after="0" w:line="250" w:lineRule="auto"/>
        <w:rPr>
          <w:sz w:val="20"/>
          <w:szCs w:val="20"/>
          <w:color w:val="auto"/>
        </w:rPr>
      </w:pPr>
      <w:r>
        <w:rPr>
          <w:rFonts w:ascii="Times New Roman" w:cs="Times New Roman" w:eastAsia="Times New Roman" w:hAnsi="Times New Roman"/>
          <w:sz w:val="18"/>
          <w:szCs w:val="18"/>
          <w:color w:val="auto"/>
        </w:rPr>
        <w:t>We are subject to various lawsuits, administrative proceedings, audits and claims arising in the ordinary course of business. Some of these lawsuits purport to be class actions and/or seek substantial damages. We are required to record an accrual for litigation loss contingencies that are both probable and reasonably estimable. Legal fees and expenses associated with the defense of all of our litigation are expensed as such fees and expenses are incurred. Management regularly assesses our insurance deductibles, analyzes litigation information with our attorneys and evaluates our loss experience in connection with pending legal proceedings. While we do not presently believe that any of the legal proceedings to which we are currently a party will ultimately have a material adverse impact on us, there can be no assurance that we will prevail in all the proceedings we are party to, or that we will not incur material losses from them.</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46" w:lineRule="exact"/>
        <w:rPr>
          <w:sz w:val="20"/>
          <w:szCs w:val="20"/>
          <w:color w:val="auto"/>
        </w:rPr>
      </w:pPr>
    </w:p>
    <w:p>
      <w:pPr>
        <w:ind w:right="2300" w:firstLine="359"/>
        <w:spacing w:after="0" w:line="274" w:lineRule="auto"/>
        <w:rPr>
          <w:sz w:val="20"/>
          <w:szCs w:val="20"/>
          <w:color w:val="auto"/>
        </w:rPr>
      </w:pPr>
      <w:r>
        <w:rPr>
          <w:rFonts w:ascii="Times New Roman" w:cs="Times New Roman" w:eastAsia="Times New Roman" w:hAnsi="Times New Roman"/>
          <w:sz w:val="18"/>
          <w:szCs w:val="18"/>
          <w:color w:val="auto"/>
        </w:rPr>
        <w:t>There are no material changes from the risk factors set forth under Item 1A of Part I of the Company’s Annual Report on Form 10-K for the fiscal year ended December 31, 2021.</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15875</wp:posOffset>
            </wp:positionV>
            <wp:extent cx="710120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01205" cy="825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p>
      <w:pPr>
        <w:spacing w:after="0" w:line="1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58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80" w:type="dxa"/>
            <w:vAlign w:val="bottom"/>
          </w:tcPr>
          <w:p>
            <w:pPr>
              <w:jc w:val="center"/>
              <w:ind w:left="209"/>
              <w:spacing w:after="0"/>
              <w:rPr>
                <w:sz w:val="20"/>
                <w:szCs w:val="20"/>
                <w:color w:val="auto"/>
              </w:rPr>
            </w:pPr>
            <w:r>
              <w:rPr>
                <w:rFonts w:ascii="Times New Roman" w:cs="Times New Roman" w:eastAsia="Times New Roman" w:hAnsi="Times New Roman"/>
                <w:sz w:val="14"/>
                <w:szCs w:val="14"/>
                <w:b w:val="1"/>
                <w:bCs w:val="1"/>
                <w:color w:val="auto"/>
                <w:w w:val="97"/>
              </w:rPr>
              <w:t>Total number of</w:t>
            </w:r>
          </w:p>
        </w:tc>
        <w:tc>
          <w:tcPr>
            <w:tcW w:w="0" w:type="dxa"/>
            <w:vAlign w:val="bottom"/>
          </w:tcPr>
          <w:p>
            <w:pPr>
              <w:spacing w:after="0"/>
              <w:rPr>
                <w:sz w:val="1"/>
                <w:szCs w:val="1"/>
                <w:color w:val="auto"/>
              </w:rPr>
            </w:pPr>
          </w:p>
        </w:tc>
      </w:tr>
      <w:tr>
        <w:trPr>
          <w:trHeight w:val="144"/>
        </w:trPr>
        <w:tc>
          <w:tcPr>
            <w:tcW w:w="2580" w:type="dxa"/>
            <w:vAlign w:val="bottom"/>
          </w:tcPr>
          <w:p>
            <w:pPr>
              <w:spacing w:after="0"/>
              <w:rPr>
                <w:sz w:val="12"/>
                <w:szCs w:val="12"/>
                <w:color w:val="auto"/>
              </w:rPr>
            </w:pPr>
          </w:p>
        </w:tc>
        <w:tc>
          <w:tcPr>
            <w:tcW w:w="3440" w:type="dxa"/>
            <w:vAlign w:val="bottom"/>
            <w:vMerge w:val="restart"/>
          </w:tcPr>
          <w:p>
            <w:pPr>
              <w:jc w:val="center"/>
              <w:ind w:left="1789"/>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price</w:t>
            </w:r>
          </w:p>
        </w:tc>
        <w:tc>
          <w:tcPr>
            <w:tcW w:w="1480" w:type="dxa"/>
            <w:vAlign w:val="bottom"/>
          </w:tcPr>
          <w:p>
            <w:pPr>
              <w:jc w:val="center"/>
              <w:ind w:left="209"/>
              <w:spacing w:after="0" w:line="144"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0" w:type="dxa"/>
            <w:vAlign w:val="bottom"/>
          </w:tcPr>
          <w:p>
            <w:pPr>
              <w:spacing w:after="0"/>
              <w:rPr>
                <w:sz w:val="1"/>
                <w:szCs w:val="1"/>
                <w:color w:val="auto"/>
              </w:rPr>
            </w:pPr>
          </w:p>
        </w:tc>
      </w:tr>
      <w:tr>
        <w:trPr>
          <w:trHeight w:val="134"/>
        </w:trPr>
        <w:tc>
          <w:tcPr>
            <w:tcW w:w="2580" w:type="dxa"/>
            <w:vAlign w:val="bottom"/>
          </w:tcPr>
          <w:p>
            <w:pPr>
              <w:spacing w:after="0"/>
              <w:rPr>
                <w:sz w:val="11"/>
                <w:szCs w:val="11"/>
                <w:color w:val="auto"/>
              </w:rPr>
            </w:pPr>
          </w:p>
        </w:tc>
        <w:tc>
          <w:tcPr>
            <w:tcW w:w="344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1480" w:type="dxa"/>
            <w:vAlign w:val="bottom"/>
          </w:tcPr>
          <w:p>
            <w:pPr>
              <w:jc w:val="center"/>
              <w:ind w:left="209"/>
              <w:spacing w:after="0" w:line="135" w:lineRule="exact"/>
              <w:rPr>
                <w:sz w:val="20"/>
                <w:szCs w:val="20"/>
                <w:color w:val="auto"/>
              </w:rPr>
            </w:pPr>
            <w:r>
              <w:rPr>
                <w:rFonts w:ascii="Times New Roman" w:cs="Times New Roman" w:eastAsia="Times New Roman" w:hAnsi="Times New Roman"/>
                <w:sz w:val="14"/>
                <w:szCs w:val="14"/>
                <w:b w:val="1"/>
                <w:bCs w:val="1"/>
                <w:color w:val="auto"/>
                <w:w w:val="99"/>
              </w:rPr>
              <w:t>part of publicly</w:t>
            </w:r>
          </w:p>
        </w:tc>
        <w:tc>
          <w:tcPr>
            <w:tcW w:w="0" w:type="dxa"/>
            <w:vAlign w:val="bottom"/>
          </w:tcPr>
          <w:p>
            <w:pPr>
              <w:spacing w:after="0"/>
              <w:rPr>
                <w:sz w:val="1"/>
                <w:szCs w:val="1"/>
                <w:color w:val="auto"/>
              </w:rPr>
            </w:pPr>
          </w:p>
        </w:tc>
      </w:tr>
      <w:tr>
        <w:trPr>
          <w:trHeight w:val="144"/>
        </w:trPr>
        <w:tc>
          <w:tcPr>
            <w:tcW w:w="25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3440" w:type="dxa"/>
            <w:vAlign w:val="bottom"/>
          </w:tcPr>
          <w:p>
            <w:pPr>
              <w:jc w:val="center"/>
              <w:ind w:left="1789"/>
              <w:spacing w:after="0" w:line="144" w:lineRule="exact"/>
              <w:rPr>
                <w:sz w:val="20"/>
                <w:szCs w:val="20"/>
                <w:color w:val="auto"/>
              </w:rPr>
            </w:pPr>
            <w:r>
              <w:rPr>
                <w:rFonts w:ascii="Times New Roman" w:cs="Times New Roman" w:eastAsia="Times New Roman" w:hAnsi="Times New Roman"/>
                <w:sz w:val="14"/>
                <w:szCs w:val="14"/>
                <w:b w:val="1"/>
                <w:bCs w:val="1"/>
                <w:color w:val="auto"/>
                <w:w w:val="99"/>
              </w:rPr>
              <w:t>shares</w:t>
            </w:r>
          </w:p>
        </w:tc>
        <w:tc>
          <w:tcPr>
            <w:tcW w:w="142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paid per</w:t>
            </w:r>
          </w:p>
        </w:tc>
        <w:tc>
          <w:tcPr>
            <w:tcW w:w="1480" w:type="dxa"/>
            <w:vAlign w:val="bottom"/>
          </w:tcPr>
          <w:p>
            <w:pPr>
              <w:jc w:val="center"/>
              <w:ind w:left="209"/>
              <w:spacing w:after="0" w:line="144"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0" w:type="dxa"/>
            <w:vAlign w:val="bottom"/>
          </w:tcPr>
          <w:p>
            <w:pPr>
              <w:spacing w:after="0"/>
              <w:rPr>
                <w:sz w:val="1"/>
                <w:szCs w:val="1"/>
                <w:color w:val="auto"/>
              </w:rPr>
            </w:pPr>
          </w:p>
        </w:tc>
      </w:tr>
      <w:tr>
        <w:trPr>
          <w:trHeight w:val="188"/>
        </w:trPr>
        <w:tc>
          <w:tcPr>
            <w:tcW w:w="2580" w:type="dxa"/>
            <w:vAlign w:val="bottom"/>
            <w:vMerge w:val="continue"/>
          </w:tcPr>
          <w:p>
            <w:pPr>
              <w:spacing w:after="0"/>
              <w:rPr>
                <w:sz w:val="16"/>
                <w:szCs w:val="16"/>
                <w:color w:val="auto"/>
              </w:rPr>
            </w:pPr>
          </w:p>
        </w:tc>
        <w:tc>
          <w:tcPr>
            <w:tcW w:w="3440" w:type="dxa"/>
            <w:vAlign w:val="bottom"/>
          </w:tcPr>
          <w:p>
            <w:pPr>
              <w:jc w:val="center"/>
              <w:ind w:left="1789"/>
              <w:spacing w:after="0"/>
              <w:rPr>
                <w:sz w:val="20"/>
                <w:szCs w:val="20"/>
                <w:color w:val="auto"/>
              </w:rPr>
            </w:pPr>
            <w:r>
              <w:rPr>
                <w:rFonts w:ascii="Times New Roman" w:cs="Times New Roman" w:eastAsia="Times New Roman" w:hAnsi="Times New Roman"/>
                <w:sz w:val="14"/>
                <w:szCs w:val="14"/>
                <w:b w:val="1"/>
                <w:bCs w:val="1"/>
                <w:color w:val="auto"/>
                <w:w w:val="99"/>
              </w:rPr>
              <w:t>purchased (a)</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share</w:t>
            </w:r>
          </w:p>
        </w:tc>
        <w:tc>
          <w:tcPr>
            <w:tcW w:w="1480" w:type="dxa"/>
            <w:vAlign w:val="bottom"/>
          </w:tcPr>
          <w:p>
            <w:pPr>
              <w:jc w:val="center"/>
              <w:ind w:left="209"/>
              <w:spacing w:after="0"/>
              <w:rPr>
                <w:sz w:val="20"/>
                <w:szCs w:val="20"/>
                <w:color w:val="auto"/>
              </w:rPr>
            </w:pPr>
            <w:r>
              <w:rPr>
                <w:rFonts w:ascii="Times New Roman" w:cs="Times New Roman" w:eastAsia="Times New Roman" w:hAnsi="Times New Roman"/>
                <w:sz w:val="14"/>
                <w:szCs w:val="14"/>
                <w:b w:val="1"/>
                <w:bCs w:val="1"/>
                <w:color w:val="auto"/>
              </w:rPr>
              <w:t>programs (b)</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p>
      <w:pPr>
        <w:jc w:val="center"/>
        <w:ind w:right="120"/>
        <w:spacing w:after="0" w:line="201" w:lineRule="auto"/>
        <w:rPr>
          <w:sz w:val="20"/>
          <w:szCs w:val="20"/>
          <w:color w:val="auto"/>
        </w:rPr>
      </w:pPr>
      <w:r>
        <w:rPr>
          <w:rFonts w:ascii="Times New Roman" w:cs="Times New Roman" w:eastAsia="Times New Roman" w:hAnsi="Times New Roman"/>
          <w:sz w:val="14"/>
          <w:szCs w:val="14"/>
          <w:b w:val="1"/>
          <w:bCs w:val="1"/>
          <w:color w:val="auto"/>
        </w:rPr>
        <w:t>shares that may yet be</w:t>
      </w:r>
    </w:p>
    <w:p>
      <w:pPr>
        <w:jc w:val="center"/>
        <w:ind w:right="120"/>
        <w:spacing w:after="0" w:line="217" w:lineRule="auto"/>
        <w:rPr>
          <w:sz w:val="20"/>
          <w:szCs w:val="20"/>
          <w:color w:val="auto"/>
        </w:rPr>
      </w:pPr>
      <w:r>
        <w:rPr>
          <w:rFonts w:ascii="Times New Roman" w:cs="Times New Roman" w:eastAsia="Times New Roman" w:hAnsi="Times New Roman"/>
          <w:sz w:val="14"/>
          <w:szCs w:val="14"/>
          <w:b w:val="1"/>
          <w:bCs w:val="1"/>
          <w:color w:val="auto"/>
        </w:rPr>
        <w:t>purchased under the</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4"/>
          <w:szCs w:val="14"/>
          <w:b w:val="1"/>
          <w:bCs w:val="1"/>
          <w:color w:val="auto"/>
        </w:rPr>
        <w:t>plans or programs (b)</w:t>
      </w:r>
    </w:p>
    <w:p>
      <w:pPr>
        <w:spacing w:after="0" w:line="21" w:lineRule="exact"/>
        <w:rPr>
          <w:sz w:val="20"/>
          <w:szCs w:val="20"/>
          <w:color w:val="auto"/>
        </w:rPr>
      </w:pPr>
    </w:p>
    <w:p>
      <w:pPr>
        <w:sectPr>
          <w:pgSz w:w="11900" w:h="16838" w:orient="portrait"/>
          <w:cols w:equalWidth="0" w:num="2">
            <w:col w:w="8940" w:space="440"/>
            <w:col w:w="1820"/>
          </w:cols>
          <w:pgMar w:left="320" w:top="118" w:right="379" w:bottom="1440" w:gutter="0" w:footer="0" w:header="0"/>
          <w:type w:val="continuous"/>
        </w:sectPr>
      </w:pPr>
    </w:p>
    <w:tbl>
      <w:tblPr>
        <w:tblLayout w:type="fixed"/>
        <w:tblInd w:w="20" w:type="dxa"/>
        <w:tblCellMar>
          <w:top w:w="0" w:type="dxa"/>
          <w:left w:w="0" w:type="dxa"/>
          <w:bottom w:w="0" w:type="dxa"/>
          <w:right w:w="0" w:type="dxa"/>
        </w:tblCellMar>
      </w:tblPr>
      <w:tr>
        <w:trPr>
          <w:trHeight w:val="224"/>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July 4, 2022 - July 31, 2022</w:t>
            </w: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143,031</w:t>
            </w:r>
          </w:p>
        </w:tc>
        <w:tc>
          <w:tcPr>
            <w:tcW w:w="120" w:type="dxa"/>
            <w:vAlign w:val="bottom"/>
          </w:tcPr>
          <w:p>
            <w:pPr>
              <w:spacing w:after="0"/>
              <w:rPr>
                <w:sz w:val="19"/>
                <w:szCs w:val="19"/>
                <w:color w:val="auto"/>
              </w:rPr>
            </w:pPr>
          </w:p>
        </w:tc>
        <w:tc>
          <w:tcPr>
            <w:tcW w:w="460" w:type="dxa"/>
            <w:vAlign w:val="bottom"/>
            <w:tcBorders>
              <w:top w:val="single" w:sz="8" w:color="auto"/>
            </w:tcBorders>
          </w:tcPr>
          <w:p>
            <w:pPr>
              <w:jc w:val="right"/>
              <w:ind w:right="2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67.51</w:t>
            </w:r>
          </w:p>
        </w:tc>
        <w:tc>
          <w:tcPr>
            <w:tcW w:w="100" w:type="dxa"/>
            <w:vAlign w:val="bottom"/>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140,997</w:t>
            </w:r>
          </w:p>
        </w:tc>
        <w:tc>
          <w:tcPr>
            <w:tcW w:w="100" w:type="dxa"/>
            <w:vAlign w:val="bottom"/>
          </w:tcPr>
          <w:p>
            <w:pPr>
              <w:spacing w:after="0"/>
              <w:rPr>
                <w:sz w:val="19"/>
                <w:szCs w:val="19"/>
                <w:color w:val="auto"/>
              </w:rPr>
            </w:pPr>
          </w:p>
        </w:tc>
        <w:tc>
          <w:tcPr>
            <w:tcW w:w="540" w:type="dxa"/>
            <w:vAlign w:val="bottom"/>
            <w:tcBorders>
              <w:top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177,872,000</w:t>
            </w:r>
          </w:p>
        </w:tc>
      </w:tr>
      <w:tr>
        <w:trPr>
          <w:trHeight w:val="225"/>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August 1, 2022 - August 28, 2022</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76.36</w:t>
            </w:r>
          </w:p>
        </w:tc>
        <w:tc>
          <w:tcPr>
            <w:tcW w:w="10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177,872,000</w:t>
            </w:r>
          </w:p>
        </w:tc>
      </w:tr>
      <w:tr>
        <w:trPr>
          <w:trHeight w:val="230"/>
        </w:trPr>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August 29, 2022 - October 2, 2022</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73.07</w:t>
            </w:r>
          </w:p>
        </w:tc>
        <w:tc>
          <w:tcPr>
            <w:tcW w:w="100" w:type="dxa"/>
            <w:vAlign w:val="bottom"/>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gridSpan w:val="2"/>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177,872,000</w:t>
            </w:r>
          </w:p>
        </w:tc>
      </w:tr>
      <w:tr>
        <w:trPr>
          <w:trHeight w:val="218"/>
        </w:trPr>
        <w:tc>
          <w:tcPr>
            <w:tcW w:w="4480" w:type="dxa"/>
            <w:vAlign w:val="bottom"/>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144,549</w:t>
            </w:r>
          </w:p>
        </w:tc>
        <w:tc>
          <w:tcPr>
            <w:tcW w:w="580" w:type="dxa"/>
            <w:vAlign w:val="bottom"/>
            <w:gridSpan w:val="2"/>
          </w:tcPr>
          <w:p>
            <w:pPr>
              <w:jc w:val="right"/>
              <w:ind w:right="272"/>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67.58</w:t>
            </w:r>
          </w:p>
        </w:tc>
        <w:tc>
          <w:tcPr>
            <w:tcW w:w="100" w:type="dxa"/>
            <w:vAlign w:val="bottom"/>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140,997</w:t>
            </w:r>
          </w:p>
        </w:tc>
        <w:tc>
          <w:tcPr>
            <w:tcW w:w="640" w:type="dxa"/>
            <w:vAlign w:val="bottom"/>
            <w:gridSpan w:val="2"/>
          </w:tcPr>
          <w:p>
            <w:pPr>
              <w:jc w:val="right"/>
              <w:ind w:right="332"/>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177,872,000</w:t>
            </w:r>
          </w:p>
        </w:tc>
      </w:tr>
      <w:tr>
        <w:trPr>
          <w:trHeight w:val="20"/>
        </w:trPr>
        <w:tc>
          <w:tcPr>
            <w:tcW w:w="448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92" w:lineRule="exact"/>
        <w:rPr>
          <w:sz w:val="20"/>
          <w:szCs w:val="20"/>
          <w:color w:val="auto"/>
        </w:rPr>
      </w:pPr>
    </w:p>
    <w:p>
      <w:pPr>
        <w:ind w:left="240" w:right="60" w:hanging="234"/>
        <w:spacing w:after="0" w:line="263" w:lineRule="auto"/>
        <w:tabs>
          <w:tab w:leader="none" w:pos="157" w:val="left"/>
        </w:tabs>
        <w:numPr>
          <w:ilvl w:val="0"/>
          <w:numId w:val="2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4"/>
          <w:szCs w:val="14"/>
          <w:color w:val="auto"/>
        </w:rPr>
        <w:t>Total number of shares purchased include 2,034 shares owned and tendered by employees at an average price of $66.52 per share during the fiscal month ended July 31, 2022, and 679 shares owned and tendered by employees at an average price of $76.36 per share during the fiscal month ended August 28, 2022, and 839 shares owned and tendered by employees at an average price of $73.07 per share during the fiscal month ended October 2, 2022 to satisfy tax withholding obligations arising upon vesting of restricted stock awards. Shares so surrendered by the participants are repurchased by the Company pursuant to the terms of the plan and the applicable individual award agreements under which the shares were issued and not pursuant to publicly announced repurchase authorizations.</w:t>
      </w:r>
    </w:p>
    <w:p>
      <w:pPr>
        <w:spacing w:after="0" w:line="1" w:lineRule="exact"/>
        <w:rPr>
          <w:rFonts w:ascii="Times New Roman" w:cs="Times New Roman" w:eastAsia="Times New Roman" w:hAnsi="Times New Roman"/>
          <w:sz w:val="20"/>
          <w:szCs w:val="20"/>
          <w:color w:val="auto"/>
          <w:vertAlign w:val="superscript"/>
        </w:rPr>
      </w:pPr>
    </w:p>
    <w:p>
      <w:pPr>
        <w:ind w:left="240" w:hanging="234"/>
        <w:spacing w:after="0" w:line="211" w:lineRule="auto"/>
        <w:tabs>
          <w:tab w:leader="none" w:pos="254" w:val="left"/>
        </w:tabs>
        <w:numPr>
          <w:ilvl w:val="0"/>
          <w:numId w:val="2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6"/>
          <w:szCs w:val="16"/>
          <w:color w:val="auto"/>
        </w:rPr>
        <w:t>In February 2019, the Company’s Board of Directors approved the 2019 Repurchase Program authorizing the Company to repurchase up to $200 million of the Company's common stock. On February 17, 2022, the Board of Directors authorized a new share repurchase program, effective April 1, 2022, of up to $250 million. In connection with the approval of the 2022 Repurchase Program, the 2019 Repurchase Program terminated effective April 1, 2022. The 2022 Repurchase Program, as approved by the Board of Directors, does not require the repurchase of a specific number of shares and can be terminated at any time.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7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1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42"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9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3.1</w:t>
            </w:r>
          </w:p>
        </w:tc>
        <w:tc>
          <w:tcPr>
            <w:tcW w:w="9620" w:type="dxa"/>
            <w:vAlign w:val="bottom"/>
            <w:gridSpan w:val="19"/>
          </w:tcPr>
          <w:p>
            <w:pPr>
              <w:spacing w:after="0"/>
              <w:rPr>
                <w:rFonts w:ascii="Times New Roman" w:cs="Times New Roman" w:eastAsia="Times New Roman" w:hAnsi="Times New Roman"/>
                <w:sz w:val="18"/>
                <w:szCs w:val="18"/>
                <w:color w:val="0000FF"/>
                <w:w w:val="98"/>
              </w:rPr>
            </w:pPr>
            <w:hyperlink r:id="rId63">
              <w:r>
                <w:rPr>
                  <w:rFonts w:ascii="Times New Roman" w:cs="Times New Roman" w:eastAsia="Times New Roman" w:hAnsi="Times New Roman"/>
                  <w:sz w:val="18"/>
                  <w:szCs w:val="18"/>
                  <w:color w:val="0000FF"/>
                  <w:w w:val="98"/>
                </w:rPr>
                <w:t>Amended and Restated Bylaws of Dine Brands Global, Inc, effective as of August 26, 2022 (incorporated by reference to Exhibit 3.1 to</w:t>
              </w:r>
            </w:hyperlink>
          </w:p>
        </w:tc>
      </w:tr>
      <w:tr>
        <w:trPr>
          <w:trHeight w:val="152"/>
        </w:trPr>
        <w:tc>
          <w:tcPr>
            <w:tcW w:w="960" w:type="dxa"/>
            <w:vAlign w:val="bottom"/>
          </w:tcPr>
          <w:p>
            <w:pPr>
              <w:spacing w:after="0"/>
              <w:rPr>
                <w:sz w:val="13"/>
                <w:szCs w:val="13"/>
                <w:color w:val="auto"/>
              </w:rPr>
            </w:pPr>
          </w:p>
        </w:tc>
        <w:tc>
          <w:tcPr>
            <w:tcW w:w="4740" w:type="dxa"/>
            <w:vAlign w:val="bottom"/>
            <w:tcBorders>
              <w:top w:val="single" w:sz="8" w:color="0000FF"/>
              <w:bottom w:val="single" w:sz="8" w:color="0000FF"/>
            </w:tcBorders>
            <w:gridSpan w:val="4"/>
          </w:tcPr>
          <w:p>
            <w:pPr>
              <w:spacing w:after="0" w:line="152" w:lineRule="exact"/>
              <w:rPr>
                <w:rFonts w:ascii="Times New Roman" w:cs="Times New Roman" w:eastAsia="Times New Roman" w:hAnsi="Times New Roman"/>
                <w:sz w:val="17"/>
                <w:szCs w:val="17"/>
                <w:color w:val="0000FF"/>
              </w:rPr>
            </w:pPr>
            <w:hyperlink r:id="rId63">
              <w:r>
                <w:rPr>
                  <w:rFonts w:ascii="Times New Roman" w:cs="Times New Roman" w:eastAsia="Times New Roman" w:hAnsi="Times New Roman"/>
                  <w:sz w:val="17"/>
                  <w:szCs w:val="17"/>
                  <w:color w:val="0000FF"/>
                </w:rPr>
                <w:t>the Registrant’s Form 8-K filed with the SEC on August 26, 2022).</w:t>
              </w:r>
            </w:hyperlink>
          </w:p>
        </w:tc>
        <w:tc>
          <w:tcPr>
            <w:tcW w:w="4840" w:type="dxa"/>
            <w:vAlign w:val="bottom"/>
            <w:tcBorders>
              <w:top w:val="single" w:sz="8" w:color="0000FF"/>
            </w:tcBorders>
            <w:gridSpan w:val="1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18"/>
        </w:trPr>
        <w:tc>
          <w:tcPr>
            <w:tcW w:w="960" w:type="dxa"/>
            <w:vAlign w:val="bottom"/>
          </w:tcPr>
          <w:p>
            <w:pPr>
              <w:jc w:val="right"/>
              <w:ind w:right="272"/>
              <w:spacing w:after="0"/>
              <w:rPr>
                <w:sz w:val="20"/>
                <w:szCs w:val="20"/>
                <w:color w:val="auto"/>
              </w:rPr>
            </w:pPr>
            <w:r>
              <w:rPr>
                <w:rFonts w:ascii="Times New Roman" w:cs="Times New Roman" w:eastAsia="Times New Roman" w:hAnsi="Times New Roman"/>
                <w:sz w:val="18"/>
                <w:szCs w:val="18"/>
                <w:color w:val="auto"/>
              </w:rPr>
              <w:t>4.1</w:t>
            </w:r>
          </w:p>
        </w:tc>
        <w:tc>
          <w:tcPr>
            <w:tcW w:w="9620" w:type="dxa"/>
            <w:vAlign w:val="bottom"/>
            <w:gridSpan w:val="19"/>
          </w:tcPr>
          <w:p>
            <w:pPr>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Base Indenture, dated September 30, 2014, as amended and restated as of June 5, 2019, among the Co-Issuers and Citibank, N.A., as</w:t>
              </w:r>
            </w:hyperlink>
          </w:p>
        </w:tc>
      </w:tr>
      <w:tr>
        <w:trPr>
          <w:trHeight w:val="152"/>
        </w:trPr>
        <w:tc>
          <w:tcPr>
            <w:tcW w:w="960" w:type="dxa"/>
            <w:vAlign w:val="bottom"/>
          </w:tcPr>
          <w:p>
            <w:pPr>
              <w:spacing w:after="0"/>
              <w:rPr>
                <w:sz w:val="13"/>
                <w:szCs w:val="13"/>
                <w:color w:val="auto"/>
              </w:rPr>
            </w:pPr>
          </w:p>
        </w:tc>
        <w:tc>
          <w:tcPr>
            <w:tcW w:w="9380" w:type="dxa"/>
            <w:vAlign w:val="bottom"/>
            <w:tcBorders>
              <w:top w:val="single" w:sz="8" w:color="0000FF"/>
            </w:tcBorders>
            <w:gridSpan w:val="12"/>
          </w:tcPr>
          <w:p>
            <w:pPr>
              <w:spacing w:after="0" w:line="152" w:lineRule="exact"/>
              <w:rPr>
                <w:rFonts w:ascii="Times New Roman" w:cs="Times New Roman" w:eastAsia="Times New Roman" w:hAnsi="Times New Roman"/>
                <w:sz w:val="17"/>
                <w:szCs w:val="17"/>
                <w:color w:val="0000FF"/>
              </w:rPr>
            </w:pPr>
            <w:hyperlink r:id="rId64">
              <w:r>
                <w:rPr>
                  <w:rFonts w:ascii="Times New Roman" w:cs="Times New Roman" w:eastAsia="Times New Roman" w:hAnsi="Times New Roman"/>
                  <w:sz w:val="17"/>
                  <w:szCs w:val="17"/>
                  <w:color w:val="0000FF"/>
                </w:rPr>
                <w:t>Trustee and Securities Intermediary (incorporated by reference from Exhibit 4.1 to the Company’s Current Report on Form 8-K filed</w:t>
              </w:r>
            </w:hyperlink>
          </w:p>
        </w:tc>
        <w:tc>
          <w:tcPr>
            <w:tcW w:w="40" w:type="dxa"/>
            <w:vAlign w:val="bottom"/>
          </w:tcPr>
          <w:p>
            <w:pPr>
              <w:spacing w:after="0"/>
              <w:rPr>
                <w:sz w:val="13"/>
                <w:szCs w:val="13"/>
                <w:color w:val="auto"/>
              </w:rPr>
            </w:pPr>
          </w:p>
        </w:tc>
        <w:tc>
          <w:tcPr>
            <w:tcW w:w="200" w:type="dxa"/>
            <w:vAlign w:val="bottom"/>
            <w:gridSpan w:val="6"/>
          </w:tcPr>
          <w:p>
            <w:pPr>
              <w:spacing w:after="0" w:line="152" w:lineRule="exact"/>
              <w:rPr>
                <w:rFonts w:ascii="Times New Roman" w:cs="Times New Roman" w:eastAsia="Times New Roman" w:hAnsi="Times New Roman"/>
                <w:sz w:val="17"/>
                <w:szCs w:val="17"/>
                <w:color w:val="0000FF"/>
              </w:rPr>
            </w:pPr>
            <w:hyperlink r:id="rId64">
              <w:r>
                <w:rPr>
                  <w:rFonts w:ascii="Times New Roman" w:cs="Times New Roman" w:eastAsia="Times New Roman" w:hAnsi="Times New Roman"/>
                  <w:sz w:val="17"/>
                  <w:szCs w:val="17"/>
                  <w:color w:val="0000FF"/>
                </w:rPr>
                <w:t>on</w:t>
              </w:r>
            </w:hyperlink>
          </w:p>
        </w:tc>
      </w:tr>
      <w:tr>
        <w:trPr>
          <w:trHeight w:val="166"/>
        </w:trPr>
        <w:tc>
          <w:tcPr>
            <w:tcW w:w="960" w:type="dxa"/>
            <w:vAlign w:val="bottom"/>
          </w:tcPr>
          <w:p>
            <w:pPr>
              <w:spacing w:after="0"/>
              <w:rPr>
                <w:sz w:val="14"/>
                <w:szCs w:val="14"/>
                <w:color w:val="auto"/>
              </w:rPr>
            </w:pPr>
          </w:p>
        </w:tc>
        <w:tc>
          <w:tcPr>
            <w:tcW w:w="1280" w:type="dxa"/>
            <w:vAlign w:val="bottom"/>
            <w:tcBorders>
              <w:top w:val="single" w:sz="8" w:color="0000FF"/>
              <w:bottom w:val="single" w:sz="8" w:color="0000FF"/>
            </w:tcBorders>
            <w:gridSpan w:val="2"/>
          </w:tcPr>
          <w:p>
            <w:pPr>
              <w:spacing w:after="0" w:line="165" w:lineRule="exact"/>
              <w:rPr>
                <w:rFonts w:ascii="Times New Roman" w:cs="Times New Roman" w:eastAsia="Times New Roman" w:hAnsi="Times New Roman"/>
                <w:sz w:val="18"/>
                <w:szCs w:val="18"/>
                <w:color w:val="0000FF"/>
                <w:w w:val="96"/>
              </w:rPr>
            </w:pPr>
            <w:hyperlink r:id="rId64">
              <w:r>
                <w:rPr>
                  <w:rFonts w:ascii="Times New Roman" w:cs="Times New Roman" w:eastAsia="Times New Roman" w:hAnsi="Times New Roman"/>
                  <w:sz w:val="18"/>
                  <w:szCs w:val="18"/>
                  <w:color w:val="0000FF"/>
                  <w:w w:val="96"/>
                </w:rPr>
                <w:t>August 12, 2022).</w:t>
              </w:r>
            </w:hyperlink>
          </w:p>
        </w:tc>
        <w:tc>
          <w:tcPr>
            <w:tcW w:w="8320" w:type="dxa"/>
            <w:vAlign w:val="bottom"/>
            <w:tcBorders>
              <w:top w:val="single" w:sz="8" w:color="0000FF"/>
            </w:tcBorders>
            <w:gridSpan w:val="16"/>
          </w:tcPr>
          <w:p>
            <w:pPr>
              <w:spacing w:after="0"/>
              <w:rPr>
                <w:sz w:val="14"/>
                <w:szCs w:val="14"/>
                <w:color w:val="auto"/>
              </w:rPr>
            </w:pPr>
          </w:p>
        </w:tc>
        <w:tc>
          <w:tcPr>
            <w:tcW w:w="20" w:type="dxa"/>
            <w:vAlign w:val="bottom"/>
          </w:tcPr>
          <w:p>
            <w:pPr>
              <w:spacing w:after="0"/>
              <w:rPr>
                <w:sz w:val="14"/>
                <w:szCs w:val="14"/>
                <w:color w:val="auto"/>
              </w:rPr>
            </w:pPr>
          </w:p>
        </w:tc>
      </w:tr>
      <w:tr>
        <w:trPr>
          <w:trHeight w:val="205"/>
        </w:trPr>
        <w:tc>
          <w:tcPr>
            <w:tcW w:w="960" w:type="dxa"/>
            <w:vAlign w:val="bottom"/>
          </w:tcPr>
          <w:p>
            <w:pPr>
              <w:jc w:val="right"/>
              <w:ind w:right="272"/>
              <w:spacing w:after="0" w:line="205" w:lineRule="exact"/>
              <w:rPr>
                <w:sz w:val="20"/>
                <w:szCs w:val="20"/>
                <w:color w:val="auto"/>
              </w:rPr>
            </w:pPr>
            <w:r>
              <w:rPr>
                <w:rFonts w:ascii="Times New Roman" w:cs="Times New Roman" w:eastAsia="Times New Roman" w:hAnsi="Times New Roman"/>
                <w:sz w:val="18"/>
                <w:szCs w:val="18"/>
                <w:color w:val="auto"/>
              </w:rPr>
              <w:t>4.2</w:t>
            </w:r>
          </w:p>
        </w:tc>
        <w:tc>
          <w:tcPr>
            <w:tcW w:w="9620" w:type="dxa"/>
            <w:vAlign w:val="bottom"/>
            <w:gridSpan w:val="19"/>
          </w:tcPr>
          <w:p>
            <w:pPr>
              <w:spacing w:after="0" w:line="205" w:lineRule="exact"/>
              <w:rPr>
                <w:rFonts w:ascii="Times New Roman" w:cs="Times New Roman" w:eastAsia="Times New Roman" w:hAnsi="Times New Roman"/>
                <w:sz w:val="18"/>
                <w:szCs w:val="18"/>
                <w:color w:val="0000FF"/>
                <w:w w:val="99"/>
              </w:rPr>
            </w:pPr>
            <w:hyperlink r:id="rId65">
              <w:r>
                <w:rPr>
                  <w:rFonts w:ascii="Times New Roman" w:cs="Times New Roman" w:eastAsia="Times New Roman" w:hAnsi="Times New Roman"/>
                  <w:sz w:val="18"/>
                  <w:szCs w:val="18"/>
                  <w:color w:val="0000FF"/>
                  <w:w w:val="99"/>
                </w:rPr>
                <w:t>Series 2022-1 Supplemental Indenture, dated August 12, 2022, among Applebee’s Funding LLC and IHOP Funding LLC, each a Co-</w:t>
              </w:r>
            </w:hyperlink>
          </w:p>
        </w:tc>
      </w:tr>
      <w:tr>
        <w:trPr>
          <w:trHeight w:val="152"/>
        </w:trPr>
        <w:tc>
          <w:tcPr>
            <w:tcW w:w="960" w:type="dxa"/>
            <w:vAlign w:val="bottom"/>
          </w:tcPr>
          <w:p>
            <w:pPr>
              <w:spacing w:after="0"/>
              <w:rPr>
                <w:sz w:val="13"/>
                <w:szCs w:val="13"/>
                <w:color w:val="auto"/>
              </w:rPr>
            </w:pPr>
          </w:p>
        </w:tc>
        <w:tc>
          <w:tcPr>
            <w:tcW w:w="9420" w:type="dxa"/>
            <w:vAlign w:val="bottom"/>
            <w:tcBorders>
              <w:top w:val="single" w:sz="8" w:color="0000FF"/>
            </w:tcBorders>
            <w:gridSpan w:val="13"/>
          </w:tcPr>
          <w:p>
            <w:pPr>
              <w:spacing w:after="0" w:line="152" w:lineRule="exact"/>
              <w:rPr>
                <w:rFonts w:ascii="Times New Roman" w:cs="Times New Roman" w:eastAsia="Times New Roman" w:hAnsi="Times New Roman"/>
                <w:sz w:val="17"/>
                <w:szCs w:val="17"/>
                <w:color w:val="0000FF"/>
              </w:rPr>
            </w:pPr>
            <w:hyperlink r:id="rId65">
              <w:r>
                <w:rPr>
                  <w:rFonts w:ascii="Times New Roman" w:cs="Times New Roman" w:eastAsia="Times New Roman" w:hAnsi="Times New Roman"/>
                  <w:sz w:val="17"/>
                  <w:szCs w:val="17"/>
                  <w:color w:val="0000FF"/>
                </w:rPr>
                <w:t>Issuer, and Citibank N.A., as Trustee and Series 2022-1 Securities Intermediary (incorporated by reference from Exhibit 4.2 to the</w:t>
              </w:r>
            </w:hyperlink>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6"/>
        </w:trPr>
        <w:tc>
          <w:tcPr>
            <w:tcW w:w="960" w:type="dxa"/>
            <w:vAlign w:val="bottom"/>
          </w:tcPr>
          <w:p>
            <w:pPr>
              <w:spacing w:after="0"/>
              <w:rPr>
                <w:sz w:val="14"/>
                <w:szCs w:val="14"/>
                <w:color w:val="auto"/>
              </w:rPr>
            </w:pPr>
          </w:p>
        </w:tc>
        <w:tc>
          <w:tcPr>
            <w:tcW w:w="9180" w:type="dxa"/>
            <w:vAlign w:val="bottom"/>
            <w:tcBorders>
              <w:top w:val="single" w:sz="8" w:color="0000FF"/>
            </w:tcBorders>
            <w:gridSpan w:val="8"/>
          </w:tcPr>
          <w:p>
            <w:pPr>
              <w:spacing w:after="0" w:line="165" w:lineRule="exact"/>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Company’s Current Report on Form 8-K filed on August 12, 2022).</w:t>
              </w:r>
            </w:hyperlink>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gridSpan w:val="3"/>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20"/>
        </w:trPr>
        <w:tc>
          <w:tcPr>
            <w:tcW w:w="960" w:type="dxa"/>
            <w:vAlign w:val="bottom"/>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2300" w:type="dxa"/>
            <w:vAlign w:val="bottom"/>
            <w:gridSpan w:val="2"/>
            <w:shd w:val="clear" w:color="auto" w:fill="0000FF"/>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05"/>
        </w:trPr>
        <w:tc>
          <w:tcPr>
            <w:tcW w:w="960" w:type="dxa"/>
            <w:vAlign w:val="bottom"/>
          </w:tcPr>
          <w:p>
            <w:pPr>
              <w:jc w:val="right"/>
              <w:ind w:right="272"/>
              <w:spacing w:after="0" w:line="205" w:lineRule="exact"/>
              <w:rPr>
                <w:sz w:val="20"/>
                <w:szCs w:val="20"/>
                <w:color w:val="auto"/>
              </w:rPr>
            </w:pPr>
            <w:r>
              <w:rPr>
                <w:rFonts w:ascii="Times New Roman" w:cs="Times New Roman" w:eastAsia="Times New Roman" w:hAnsi="Times New Roman"/>
                <w:sz w:val="18"/>
                <w:szCs w:val="18"/>
                <w:color w:val="auto"/>
              </w:rPr>
              <w:t>10.1</w:t>
            </w:r>
          </w:p>
        </w:tc>
        <w:tc>
          <w:tcPr>
            <w:tcW w:w="9620" w:type="dxa"/>
            <w:vAlign w:val="bottom"/>
            <w:gridSpan w:val="19"/>
          </w:tcPr>
          <w:p>
            <w:pPr>
              <w:spacing w:after="0" w:line="205" w:lineRule="exact"/>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Class A-1 Note Purchase Agreement, dated August 12, 2022, among Applebee’s Funding LLC and IHOP Funding LLC, each a Co-</w:t>
              </w:r>
            </w:hyperlink>
          </w:p>
        </w:tc>
      </w:tr>
      <w:tr>
        <w:trPr>
          <w:trHeight w:val="152"/>
        </w:trPr>
        <w:tc>
          <w:tcPr>
            <w:tcW w:w="960" w:type="dxa"/>
            <w:vAlign w:val="bottom"/>
          </w:tcPr>
          <w:p>
            <w:pPr>
              <w:spacing w:after="0"/>
              <w:rPr>
                <w:sz w:val="13"/>
                <w:szCs w:val="13"/>
                <w:color w:val="auto"/>
              </w:rPr>
            </w:pPr>
          </w:p>
        </w:tc>
        <w:tc>
          <w:tcPr>
            <w:tcW w:w="9320" w:type="dxa"/>
            <w:vAlign w:val="bottom"/>
            <w:tcBorders>
              <w:top w:val="single" w:sz="8" w:color="0000FF"/>
            </w:tcBorders>
            <w:gridSpan w:val="11"/>
          </w:tcPr>
          <w:p>
            <w:pPr>
              <w:spacing w:after="0" w:line="152" w:lineRule="exact"/>
              <w:rPr>
                <w:rFonts w:ascii="Times New Roman" w:cs="Times New Roman" w:eastAsia="Times New Roman" w:hAnsi="Times New Roman"/>
                <w:sz w:val="17"/>
                <w:szCs w:val="17"/>
                <w:color w:val="0000FF"/>
              </w:rPr>
            </w:pPr>
            <w:hyperlink r:id="rId66">
              <w:r>
                <w:rPr>
                  <w:rFonts w:ascii="Times New Roman" w:cs="Times New Roman" w:eastAsia="Times New Roman" w:hAnsi="Times New Roman"/>
                  <w:sz w:val="17"/>
                  <w:szCs w:val="17"/>
                  <w:color w:val="0000FF"/>
                </w:rPr>
                <w:t>Issuer, certain special-purpose, wholly-owned indirect subsidiaries of the Company, each as a Guarantor, the Company, as manager,</w:t>
              </w:r>
            </w:hyperlink>
          </w:p>
        </w:tc>
        <w:tc>
          <w:tcPr>
            <w:tcW w:w="18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r>
      <w:tr>
        <w:trPr>
          <w:trHeight w:val="165"/>
        </w:trPr>
        <w:tc>
          <w:tcPr>
            <w:tcW w:w="960" w:type="dxa"/>
            <w:vAlign w:val="bottom"/>
          </w:tcPr>
          <w:p>
            <w:pPr>
              <w:spacing w:after="0"/>
              <w:rPr>
                <w:sz w:val="14"/>
                <w:szCs w:val="14"/>
                <w:color w:val="auto"/>
              </w:rPr>
            </w:pPr>
          </w:p>
        </w:tc>
        <w:tc>
          <w:tcPr>
            <w:tcW w:w="9300" w:type="dxa"/>
            <w:vAlign w:val="bottom"/>
            <w:tcBorders>
              <w:top w:val="single" w:sz="8" w:color="0000FF"/>
            </w:tcBorders>
            <w:gridSpan w:val="10"/>
          </w:tcPr>
          <w:p>
            <w:pPr>
              <w:spacing w:after="0" w:line="165" w:lineRule="exact"/>
              <w:rPr>
                <w:rFonts w:ascii="Times New Roman" w:cs="Times New Roman" w:eastAsia="Times New Roman" w:hAnsi="Times New Roman"/>
                <w:sz w:val="18"/>
                <w:szCs w:val="18"/>
                <w:color w:val="0000FF"/>
                <w:w w:val="98"/>
              </w:rPr>
            </w:pPr>
            <w:hyperlink r:id="rId66">
              <w:r>
                <w:rPr>
                  <w:rFonts w:ascii="Times New Roman" w:cs="Times New Roman" w:eastAsia="Times New Roman" w:hAnsi="Times New Roman"/>
                  <w:sz w:val="18"/>
                  <w:szCs w:val="18"/>
                  <w:color w:val="0000FF"/>
                  <w:w w:val="98"/>
                </w:rPr>
                <w:t>certain conduit investors, financial institutions and funding agents, Coöperatieve Rabobank U.A., New York Branch, as provider of</w:t>
              </w:r>
            </w:hyperlink>
          </w:p>
        </w:tc>
        <w:tc>
          <w:tcPr>
            <w:tcW w:w="200" w:type="dxa"/>
            <w:vAlign w:val="bottom"/>
            <w:gridSpan w:val="4"/>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r>
      <w:tr>
        <w:trPr>
          <w:trHeight w:val="152"/>
        </w:trPr>
        <w:tc>
          <w:tcPr>
            <w:tcW w:w="960" w:type="dxa"/>
            <w:vAlign w:val="bottom"/>
          </w:tcPr>
          <w:p>
            <w:pPr>
              <w:spacing w:after="0"/>
              <w:rPr>
                <w:sz w:val="13"/>
                <w:szCs w:val="13"/>
                <w:color w:val="auto"/>
              </w:rPr>
            </w:pPr>
          </w:p>
        </w:tc>
        <w:tc>
          <w:tcPr>
            <w:tcW w:w="9260" w:type="dxa"/>
            <w:vAlign w:val="bottom"/>
            <w:tcBorders>
              <w:top w:val="single" w:sz="8" w:color="0000FF"/>
            </w:tcBorders>
            <w:gridSpan w:val="9"/>
          </w:tcPr>
          <w:p>
            <w:pPr>
              <w:spacing w:after="0" w:line="152" w:lineRule="exact"/>
              <w:rPr>
                <w:rFonts w:ascii="Times New Roman" w:cs="Times New Roman" w:eastAsia="Times New Roman" w:hAnsi="Times New Roman"/>
                <w:sz w:val="17"/>
                <w:szCs w:val="17"/>
                <w:color w:val="0000FF"/>
              </w:rPr>
            </w:pPr>
            <w:hyperlink r:id="rId66">
              <w:r>
                <w:rPr>
                  <w:rFonts w:ascii="Times New Roman" w:cs="Times New Roman" w:eastAsia="Times New Roman" w:hAnsi="Times New Roman"/>
                  <w:sz w:val="17"/>
                  <w:szCs w:val="17"/>
                  <w:color w:val="0000FF"/>
                </w:rPr>
                <w:t>letters of credit, swingline lender and administrative agent (incorporated by reference to Exhibit 10.1 to the Registrant’s Form 8-K</w:t>
              </w:r>
            </w:hyperlink>
          </w:p>
        </w:tc>
        <w:tc>
          <w:tcPr>
            <w:tcW w:w="360" w:type="dxa"/>
            <w:vAlign w:val="bottom"/>
            <w:gridSpan w:val="10"/>
          </w:tcPr>
          <w:p>
            <w:pPr>
              <w:spacing w:after="0" w:line="152" w:lineRule="exact"/>
              <w:rPr>
                <w:rFonts w:ascii="Times New Roman" w:cs="Times New Roman" w:eastAsia="Times New Roman" w:hAnsi="Times New Roman"/>
                <w:sz w:val="17"/>
                <w:szCs w:val="17"/>
                <w:color w:val="0000FF"/>
              </w:rPr>
            </w:pPr>
            <w:hyperlink r:id="rId66">
              <w:r>
                <w:rPr>
                  <w:rFonts w:ascii="Times New Roman" w:cs="Times New Roman" w:eastAsia="Times New Roman" w:hAnsi="Times New Roman"/>
                  <w:sz w:val="17"/>
                  <w:szCs w:val="17"/>
                  <w:color w:val="0000FF"/>
                </w:rPr>
                <w:t>filed</w:t>
              </w:r>
            </w:hyperlink>
          </w:p>
        </w:tc>
      </w:tr>
      <w:tr>
        <w:trPr>
          <w:trHeight w:val="152"/>
        </w:trPr>
        <w:tc>
          <w:tcPr>
            <w:tcW w:w="960" w:type="dxa"/>
            <w:vAlign w:val="bottom"/>
          </w:tcPr>
          <w:p>
            <w:pPr>
              <w:spacing w:after="0"/>
              <w:rPr>
                <w:sz w:val="13"/>
                <w:szCs w:val="13"/>
                <w:color w:val="auto"/>
              </w:rPr>
            </w:pPr>
          </w:p>
        </w:tc>
        <w:tc>
          <w:tcPr>
            <w:tcW w:w="2480" w:type="dxa"/>
            <w:vAlign w:val="bottom"/>
            <w:tcBorders>
              <w:top w:val="single" w:sz="8" w:color="0000FF"/>
              <w:bottom w:val="single" w:sz="8" w:color="0000FF"/>
            </w:tcBorders>
            <w:gridSpan w:val="3"/>
          </w:tcPr>
          <w:p>
            <w:pPr>
              <w:spacing w:after="0" w:line="152" w:lineRule="exact"/>
              <w:rPr>
                <w:rFonts w:ascii="Times New Roman" w:cs="Times New Roman" w:eastAsia="Times New Roman" w:hAnsi="Times New Roman"/>
                <w:sz w:val="17"/>
                <w:szCs w:val="17"/>
                <w:color w:val="0000FF"/>
              </w:rPr>
            </w:pPr>
            <w:hyperlink r:id="rId66">
              <w:r>
                <w:rPr>
                  <w:rFonts w:ascii="Times New Roman" w:cs="Times New Roman" w:eastAsia="Times New Roman" w:hAnsi="Times New Roman"/>
                  <w:sz w:val="17"/>
                  <w:szCs w:val="17"/>
                  <w:color w:val="0000FF"/>
                </w:rPr>
                <w:t>with the SEC on August 12, 2022).</w:t>
              </w:r>
            </w:hyperlink>
          </w:p>
        </w:tc>
        <w:tc>
          <w:tcPr>
            <w:tcW w:w="7080" w:type="dxa"/>
            <w:vAlign w:val="bottom"/>
            <w:tcBorders>
              <w:top w:val="single" w:sz="8" w:color="0000FF"/>
            </w:tcBorders>
            <w:gridSpan w:val="13"/>
          </w:tcPr>
          <w:p>
            <w:pPr>
              <w:spacing w:after="0"/>
              <w:rPr>
                <w:sz w:val="13"/>
                <w:szCs w:val="13"/>
                <w:color w:val="auto"/>
              </w:rPr>
            </w:pPr>
          </w:p>
        </w:tc>
        <w:tc>
          <w:tcPr>
            <w:tcW w:w="60" w:type="dxa"/>
            <w:vAlign w:val="bottom"/>
            <w:gridSpan w:val="3"/>
          </w:tcPr>
          <w:p>
            <w:pPr>
              <w:spacing w:after="0"/>
              <w:rPr>
                <w:sz w:val="13"/>
                <w:szCs w:val="13"/>
                <w:color w:val="auto"/>
              </w:rPr>
            </w:pPr>
          </w:p>
        </w:tc>
      </w:tr>
      <w:tr>
        <w:trPr>
          <w:trHeight w:val="218"/>
        </w:trPr>
        <w:tc>
          <w:tcPr>
            <w:tcW w:w="96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*31.1</w:t>
            </w:r>
          </w:p>
        </w:tc>
        <w:tc>
          <w:tcPr>
            <w:tcW w:w="85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7"/>
              </w:rPr>
              <w:t>Certification of Chief Executive Officer pursuant to Rule 13a-14(a) of the Securities Exchange Act of 1934, as amended.</w:t>
            </w:r>
          </w:p>
        </w:tc>
        <w:tc>
          <w:tcPr>
            <w:tcW w:w="1080" w:type="dxa"/>
            <w:vAlign w:val="bottom"/>
            <w:gridSpan w:val="12"/>
          </w:tcPr>
          <w:p>
            <w:pPr>
              <w:spacing w:after="0"/>
              <w:rPr>
                <w:sz w:val="19"/>
                <w:szCs w:val="19"/>
                <w:color w:val="auto"/>
              </w:rPr>
            </w:pPr>
          </w:p>
        </w:tc>
      </w:tr>
      <w:tr>
        <w:trPr>
          <w:trHeight w:val="205"/>
        </w:trPr>
        <w:tc>
          <w:tcPr>
            <w:tcW w:w="960" w:type="dxa"/>
            <w:vAlign w:val="bottom"/>
          </w:tcPr>
          <w:p>
            <w:pPr>
              <w:jc w:val="right"/>
              <w:ind w:right="212"/>
              <w:spacing w:after="0" w:line="205" w:lineRule="exact"/>
              <w:rPr>
                <w:sz w:val="20"/>
                <w:szCs w:val="20"/>
                <w:color w:val="auto"/>
              </w:rPr>
            </w:pPr>
            <w:r>
              <w:rPr>
                <w:rFonts w:ascii="Times New Roman" w:cs="Times New Roman" w:eastAsia="Times New Roman" w:hAnsi="Times New Roman"/>
                <w:sz w:val="18"/>
                <w:szCs w:val="18"/>
                <w:color w:val="auto"/>
              </w:rPr>
              <w:t>*31.2</w:t>
            </w:r>
          </w:p>
        </w:tc>
        <w:tc>
          <w:tcPr>
            <w:tcW w:w="8500" w:type="dxa"/>
            <w:vAlign w:val="bottom"/>
            <w:tcBorders>
              <w:bottom w:val="single" w:sz="8" w:color="0000FF"/>
            </w:tcBorders>
            <w:gridSpan w:val="6"/>
          </w:tcPr>
          <w:p>
            <w:pPr>
              <w:spacing w:after="0" w:line="205" w:lineRule="exact"/>
              <w:rPr>
                <w:sz w:val="20"/>
                <w:szCs w:val="20"/>
                <w:color w:val="auto"/>
              </w:rPr>
            </w:pPr>
            <w:r>
              <w:rPr>
                <w:rFonts w:ascii="Times New Roman" w:cs="Times New Roman" w:eastAsia="Times New Roman" w:hAnsi="Times New Roman"/>
                <w:sz w:val="18"/>
                <w:szCs w:val="18"/>
                <w:color w:val="0000FF"/>
                <w:w w:val="97"/>
              </w:rPr>
              <w:t>Certification of Chief Financial Officer pursuant to Rule 13a-14(a) of the Securities Exchange Act of 1934, as amended.</w:t>
            </w:r>
          </w:p>
        </w:tc>
        <w:tc>
          <w:tcPr>
            <w:tcW w:w="1120" w:type="dxa"/>
            <w:vAlign w:val="bottom"/>
            <w:gridSpan w:val="13"/>
          </w:tcPr>
          <w:p>
            <w:pPr>
              <w:spacing w:after="0"/>
              <w:rPr>
                <w:sz w:val="17"/>
                <w:szCs w:val="17"/>
                <w:color w:val="auto"/>
              </w:rPr>
            </w:pPr>
          </w:p>
        </w:tc>
      </w:tr>
      <w:tr>
        <w:trPr>
          <w:trHeight w:val="205"/>
        </w:trPr>
        <w:tc>
          <w:tcPr>
            <w:tcW w:w="960" w:type="dxa"/>
            <w:vAlign w:val="bottom"/>
          </w:tcPr>
          <w:p>
            <w:pPr>
              <w:jc w:val="right"/>
              <w:ind w:right="212"/>
              <w:spacing w:after="0" w:line="205" w:lineRule="exact"/>
              <w:rPr>
                <w:sz w:val="20"/>
                <w:szCs w:val="20"/>
                <w:color w:val="auto"/>
              </w:rPr>
            </w:pPr>
            <w:r>
              <w:rPr>
                <w:rFonts w:ascii="Times New Roman" w:cs="Times New Roman" w:eastAsia="Times New Roman" w:hAnsi="Times New Roman"/>
                <w:sz w:val="18"/>
                <w:szCs w:val="18"/>
                <w:color w:val="auto"/>
              </w:rPr>
              <w:t>*32.1</w:t>
            </w:r>
          </w:p>
        </w:tc>
        <w:tc>
          <w:tcPr>
            <w:tcW w:w="962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0E32E1"/>
                <w:w w:val="98"/>
              </w:rPr>
              <w:t>Certification of Chief Executive Officer pursuant to 18 U.S.C. Section 1350, as adopted pursuant to Section 906 of the Sarbanes-Oxley</w:t>
            </w:r>
          </w:p>
        </w:tc>
      </w:tr>
      <w:tr>
        <w:trPr>
          <w:trHeight w:val="152"/>
        </w:trPr>
        <w:tc>
          <w:tcPr>
            <w:tcW w:w="960" w:type="dxa"/>
            <w:vAlign w:val="bottom"/>
          </w:tcPr>
          <w:p>
            <w:pPr>
              <w:spacing w:after="0"/>
              <w:rPr>
                <w:sz w:val="13"/>
                <w:szCs w:val="13"/>
                <w:color w:val="auto"/>
              </w:rPr>
            </w:pPr>
          </w:p>
        </w:tc>
        <w:tc>
          <w:tcPr>
            <w:tcW w:w="1060" w:type="dxa"/>
            <w:vAlign w:val="bottom"/>
            <w:tcBorders>
              <w:top w:val="single" w:sz="8" w:color="0E32E1"/>
              <w:bottom w:val="single" w:sz="8" w:color="0E32E1"/>
            </w:tcBorders>
          </w:tcPr>
          <w:p>
            <w:pPr>
              <w:spacing w:after="0" w:line="152" w:lineRule="exact"/>
              <w:rPr>
                <w:sz w:val="20"/>
                <w:szCs w:val="20"/>
                <w:color w:val="auto"/>
              </w:rPr>
            </w:pPr>
            <w:r>
              <w:rPr>
                <w:rFonts w:ascii="Times New Roman" w:cs="Times New Roman" w:eastAsia="Times New Roman" w:hAnsi="Times New Roman"/>
                <w:sz w:val="17"/>
                <w:szCs w:val="17"/>
                <w:color w:val="0E32E1"/>
              </w:rPr>
              <w:t>Act of 2002.**</w:t>
            </w:r>
          </w:p>
        </w:tc>
        <w:tc>
          <w:tcPr>
            <w:tcW w:w="8480" w:type="dxa"/>
            <w:vAlign w:val="bottom"/>
            <w:tcBorders>
              <w:top w:val="single" w:sz="8" w:color="0E32E1"/>
            </w:tcBorders>
            <w:gridSpan w:val="14"/>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19"/>
        </w:trPr>
        <w:tc>
          <w:tcPr>
            <w:tcW w:w="96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rPr>
              <w:t>*32.2</w:t>
            </w:r>
          </w:p>
        </w:tc>
        <w:tc>
          <w:tcPr>
            <w:tcW w:w="9620" w:type="dxa"/>
            <w:vAlign w:val="bottom"/>
            <w:gridSpan w:val="19"/>
          </w:tcPr>
          <w:p>
            <w:pPr>
              <w:spacing w:after="0"/>
              <w:rPr>
                <w:sz w:val="20"/>
                <w:szCs w:val="20"/>
                <w:color w:val="auto"/>
              </w:rPr>
            </w:pPr>
            <w:r>
              <w:rPr>
                <w:rFonts w:ascii="Times New Roman" w:cs="Times New Roman" w:eastAsia="Times New Roman" w:hAnsi="Times New Roman"/>
                <w:sz w:val="18"/>
                <w:szCs w:val="18"/>
                <w:color w:val="0E32E1"/>
                <w:w w:val="99"/>
              </w:rPr>
              <w:t>Certification of Chief Financial Officer pursuant to 18 U.S.C. Section 1350, as adopted pursuant to Section 906 of the Sarbanes-Oxley</w:t>
            </w:r>
          </w:p>
        </w:tc>
      </w:tr>
      <w:tr>
        <w:trPr>
          <w:trHeight w:val="152"/>
        </w:trPr>
        <w:tc>
          <w:tcPr>
            <w:tcW w:w="960" w:type="dxa"/>
            <w:vAlign w:val="bottom"/>
          </w:tcPr>
          <w:p>
            <w:pPr>
              <w:spacing w:after="0"/>
              <w:rPr>
                <w:sz w:val="13"/>
                <w:szCs w:val="13"/>
                <w:color w:val="auto"/>
              </w:rPr>
            </w:pPr>
          </w:p>
        </w:tc>
        <w:tc>
          <w:tcPr>
            <w:tcW w:w="1060" w:type="dxa"/>
            <w:vAlign w:val="bottom"/>
            <w:tcBorders>
              <w:top w:val="single" w:sz="8" w:color="0E32E1"/>
              <w:bottom w:val="single" w:sz="8" w:color="0E32E1"/>
            </w:tcBorders>
          </w:tcPr>
          <w:p>
            <w:pPr>
              <w:spacing w:after="0" w:line="152" w:lineRule="exact"/>
              <w:rPr>
                <w:sz w:val="20"/>
                <w:szCs w:val="20"/>
                <w:color w:val="auto"/>
              </w:rPr>
            </w:pPr>
            <w:r>
              <w:rPr>
                <w:rFonts w:ascii="Times New Roman" w:cs="Times New Roman" w:eastAsia="Times New Roman" w:hAnsi="Times New Roman"/>
                <w:sz w:val="17"/>
                <w:szCs w:val="17"/>
                <w:color w:val="0E32E1"/>
              </w:rPr>
              <w:t>Act of 2002.**</w:t>
            </w:r>
          </w:p>
        </w:tc>
        <w:tc>
          <w:tcPr>
            <w:tcW w:w="8440" w:type="dxa"/>
            <w:vAlign w:val="bottom"/>
            <w:tcBorders>
              <w:top w:val="single" w:sz="8" w:color="0E32E1"/>
            </w:tcBorders>
            <w:gridSpan w:val="13"/>
          </w:tcPr>
          <w:p>
            <w:pPr>
              <w:spacing w:after="0"/>
              <w:rPr>
                <w:sz w:val="13"/>
                <w:szCs w:val="13"/>
                <w:color w:val="auto"/>
              </w:rPr>
            </w:pPr>
          </w:p>
        </w:tc>
        <w:tc>
          <w:tcPr>
            <w:tcW w:w="120" w:type="dxa"/>
            <w:vAlign w:val="bottom"/>
            <w:gridSpan w:val="5"/>
          </w:tcPr>
          <w:p>
            <w:pPr>
              <w:spacing w:after="0"/>
              <w:rPr>
                <w:sz w:val="13"/>
                <w:szCs w:val="13"/>
                <w:color w:val="auto"/>
              </w:rPr>
            </w:pPr>
          </w:p>
        </w:tc>
      </w:tr>
      <w:tr>
        <w:trPr>
          <w:trHeight w:val="205"/>
        </w:trPr>
        <w:tc>
          <w:tcPr>
            <w:tcW w:w="960" w:type="dxa"/>
            <w:vAlign w:val="bottom"/>
          </w:tcPr>
          <w:p>
            <w:pPr>
              <w:jc w:val="right"/>
              <w:ind w:right="212"/>
              <w:spacing w:after="0" w:line="205" w:lineRule="exact"/>
              <w:rPr>
                <w:sz w:val="20"/>
                <w:szCs w:val="20"/>
                <w:color w:val="auto"/>
              </w:rPr>
            </w:pPr>
            <w:r>
              <w:rPr>
                <w:rFonts w:ascii="Times New Roman" w:cs="Times New Roman" w:eastAsia="Times New Roman" w:hAnsi="Times New Roman"/>
                <w:sz w:val="18"/>
                <w:szCs w:val="18"/>
                <w:color w:val="auto"/>
              </w:rPr>
              <w:t>101.INS</w:t>
            </w:r>
          </w:p>
        </w:tc>
        <w:tc>
          <w:tcPr>
            <w:tcW w:w="9620" w:type="dxa"/>
            <w:vAlign w:val="bottom"/>
            <w:gridSpan w:val="19"/>
          </w:tcPr>
          <w:p>
            <w:pPr>
              <w:spacing w:after="0" w:line="205" w:lineRule="exact"/>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31"/>
        </w:trPr>
        <w:tc>
          <w:tcPr>
            <w:tcW w:w="960" w:type="dxa"/>
            <w:vAlign w:val="bottom"/>
          </w:tcPr>
          <w:p>
            <w:pPr>
              <w:spacing w:after="0"/>
              <w:rPr>
                <w:sz w:val="20"/>
                <w:szCs w:val="20"/>
                <w:color w:val="auto"/>
              </w:rPr>
            </w:pPr>
          </w:p>
        </w:tc>
        <w:tc>
          <w:tcPr>
            <w:tcW w:w="9620" w:type="dxa"/>
            <w:vAlign w:val="bottom"/>
            <w:gridSpan w:val="19"/>
          </w:tcPr>
          <w:p>
            <w:pPr>
              <w:ind w:left="24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27"/>
        </w:trPr>
        <w:tc>
          <w:tcPr>
            <w:tcW w:w="96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96"/>
              </w:rPr>
              <w:t>101.SCH</w:t>
            </w:r>
          </w:p>
        </w:tc>
        <w:tc>
          <w:tcPr>
            <w:tcW w:w="96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Schema Document.***</w:t>
            </w:r>
          </w:p>
        </w:tc>
      </w:tr>
      <w:tr>
        <w:trPr>
          <w:trHeight w:val="225"/>
        </w:trPr>
        <w:tc>
          <w:tcPr>
            <w:tcW w:w="96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94"/>
              </w:rPr>
              <w:t>101.CAL</w:t>
            </w:r>
          </w:p>
        </w:tc>
        <w:tc>
          <w:tcPr>
            <w:tcW w:w="96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Calculation Linkbase Document.***</w:t>
            </w:r>
          </w:p>
        </w:tc>
      </w:tr>
      <w:tr>
        <w:trPr>
          <w:trHeight w:val="225"/>
        </w:trPr>
        <w:tc>
          <w:tcPr>
            <w:tcW w:w="96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97"/>
              </w:rPr>
              <w:t>101.DEF</w:t>
            </w:r>
          </w:p>
        </w:tc>
        <w:tc>
          <w:tcPr>
            <w:tcW w:w="96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Definition Linkbase Document.***</w:t>
            </w:r>
          </w:p>
        </w:tc>
      </w:tr>
      <w:tr>
        <w:trPr>
          <w:trHeight w:val="225"/>
        </w:trPr>
        <w:tc>
          <w:tcPr>
            <w:tcW w:w="96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94"/>
              </w:rPr>
              <w:t>101.LAB</w:t>
            </w:r>
          </w:p>
        </w:tc>
        <w:tc>
          <w:tcPr>
            <w:tcW w:w="96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Label Linkbase Document.***</w:t>
            </w:r>
          </w:p>
        </w:tc>
      </w:tr>
      <w:tr>
        <w:trPr>
          <w:trHeight w:val="231"/>
        </w:trPr>
        <w:tc>
          <w:tcPr>
            <w:tcW w:w="960" w:type="dxa"/>
            <w:vAlign w:val="bottom"/>
          </w:tcPr>
          <w:p>
            <w:pPr>
              <w:jc w:val="right"/>
              <w:ind w:right="212"/>
              <w:spacing w:after="0"/>
              <w:rPr>
                <w:sz w:val="20"/>
                <w:szCs w:val="20"/>
                <w:color w:val="auto"/>
              </w:rPr>
            </w:pPr>
            <w:r>
              <w:rPr>
                <w:rFonts w:ascii="Times New Roman" w:cs="Times New Roman" w:eastAsia="Times New Roman" w:hAnsi="Times New Roman"/>
                <w:sz w:val="18"/>
                <w:szCs w:val="18"/>
                <w:color w:val="auto"/>
                <w:w w:val="99"/>
              </w:rPr>
              <w:t>101.PRE</w:t>
            </w:r>
          </w:p>
        </w:tc>
        <w:tc>
          <w:tcPr>
            <w:tcW w:w="96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Presentation Linkbase Document.***</w:t>
            </w:r>
          </w:p>
        </w:tc>
      </w:tr>
    </w:tbl>
    <w:p>
      <w:pPr>
        <w:ind w:left="1380" w:hanging="623"/>
        <w:spacing w:after="0"/>
        <w:tabs>
          <w:tab w:leader="none" w:pos="13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0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4" w:lineRule="exact"/>
        <w:rPr>
          <w:rFonts w:ascii="Times New Roman" w:cs="Times New Roman" w:eastAsia="Times New Roman" w:hAnsi="Times New Roman"/>
          <w:sz w:val="18"/>
          <w:szCs w:val="18"/>
          <w:color w:val="auto"/>
        </w:rPr>
      </w:pPr>
    </w:p>
    <w:p>
      <w:pPr>
        <w:ind w:left="480" w:right="140" w:hanging="474"/>
        <w:spacing w:after="0" w:line="245" w:lineRule="auto"/>
        <w:tabs>
          <w:tab w:leader="none" w:pos="353"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Exhibits 32.1 and 32.2 accompany this Quarterly Report pursuant to Section 906 of the Sarbanes-Oxley Act of 2002 and shall not, except to the extent required by the Sarbanes-Oxley Act of 2002, be deemed filed by the Company for purposes of Section 18 of the Securities Exchange Act of 1934, as amended.</w:t>
      </w:r>
    </w:p>
    <w:p>
      <w:pPr>
        <w:spacing w:after="0" w:line="2" w:lineRule="exact"/>
        <w:rPr>
          <w:rFonts w:ascii="Times New Roman" w:cs="Times New Roman" w:eastAsia="Times New Roman" w:hAnsi="Times New Roman"/>
          <w:sz w:val="18"/>
          <w:szCs w:val="18"/>
          <w:color w:val="auto"/>
        </w:rPr>
      </w:pPr>
    </w:p>
    <w:p>
      <w:pPr>
        <w:ind w:left="480" w:hanging="474"/>
        <w:spacing w:after="0" w:line="248" w:lineRule="auto"/>
        <w:tabs>
          <w:tab w:leader="none" w:pos="361"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406T of Regulation S-T, the interactive data files on Exhibit 101 and 104 hereto are deemed not filed or part of a registration statement or prospectus for purposes of Section 11 or 12 of the Securities Act of 1933, as amended, are deemed not filed for purposes of Section 18 of the Securities and Exchange Act of 1934, as amended, and otherwise are not subject to liability under those sections.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69215</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120"/>
          </w:cols>
          <w:pgMar w:left="320" w:top="118"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9" w:lineRule="exact"/>
        <w:rPr>
          <w:sz w:val="20"/>
          <w:szCs w:val="20"/>
          <w:color w:val="auto"/>
        </w:rPr>
      </w:pPr>
    </w:p>
    <w:p>
      <w:pPr>
        <w:ind w:firstLine="636"/>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8"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Dine Brands Global, Inc.</w:t>
      </w:r>
    </w:p>
    <w:p>
      <w:pPr>
        <w:ind w:left="4540"/>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62" w:lineRule="exact"/>
        <w:rPr>
          <w:sz w:val="20"/>
          <w:szCs w:val="20"/>
          <w:color w:val="auto"/>
        </w:rPr>
      </w:pPr>
    </w:p>
    <w:p>
      <w:pPr>
        <w:ind w:left="820"/>
        <w:spacing w:after="0"/>
        <w:tabs>
          <w:tab w:leader="none" w:pos="5800" w:val="left"/>
          <w:tab w:leader="none" w:pos="7440" w:val="left"/>
        </w:tabs>
        <w:rPr>
          <w:sz w:val="20"/>
          <w:szCs w:val="20"/>
          <w:color w:val="auto"/>
        </w:rPr>
      </w:pPr>
      <w:r>
        <w:rPr>
          <w:rFonts w:ascii="Times New Roman" w:cs="Times New Roman" w:eastAsia="Times New Roman" w:hAnsi="Times New Roman"/>
          <w:sz w:val="18"/>
          <w:szCs w:val="18"/>
          <w:color w:val="auto"/>
        </w:rPr>
        <w:t>Dated: 2nd day of November,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W. Peyton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3874135</wp:posOffset>
            </wp:positionH>
            <wp:positionV relativeFrom="paragraph">
              <wp:posOffset>14605</wp:posOffset>
            </wp:positionV>
            <wp:extent cx="257492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2574925" cy="8255"/>
                    </a:xfrm>
                    <a:prstGeom prst="rect">
                      <a:avLst/>
                    </a:prstGeom>
                    <a:noFill/>
                  </pic:spPr>
                </pic:pic>
              </a:graphicData>
            </a:graphic>
          </wp:anchor>
        </w:drawing>
      </w:r>
    </w:p>
    <w:p>
      <w:pPr>
        <w:jc w:val="center"/>
        <w:ind w:left="5000"/>
        <w:spacing w:after="0"/>
        <w:rPr>
          <w:sz w:val="20"/>
          <w:szCs w:val="20"/>
          <w:color w:val="auto"/>
        </w:rPr>
      </w:pPr>
      <w:r>
        <w:rPr>
          <w:rFonts w:ascii="Times New Roman" w:cs="Times New Roman" w:eastAsia="Times New Roman" w:hAnsi="Times New Roman"/>
          <w:sz w:val="18"/>
          <w:szCs w:val="18"/>
          <w:color w:val="auto"/>
        </w:rPr>
        <w:t>John W. Peyton</w:t>
      </w:r>
    </w:p>
    <w:p>
      <w:pPr>
        <w:jc w:val="center"/>
        <w:ind w:left="5000"/>
        <w:spacing w:after="0" w:line="215" w:lineRule="auto"/>
        <w:rPr>
          <w:sz w:val="20"/>
          <w:szCs w:val="20"/>
          <w:color w:val="auto"/>
        </w:rPr>
      </w:pPr>
      <w:r>
        <w:rPr>
          <w:rFonts w:ascii="Times New Roman" w:cs="Times New Roman" w:eastAsia="Times New Roman" w:hAnsi="Times New Roman"/>
          <w:sz w:val="18"/>
          <w:szCs w:val="18"/>
          <w:i w:val="1"/>
          <w:iCs w:val="1"/>
          <w:color w:val="auto"/>
        </w:rPr>
        <w:t>Chief Executive Officer</w:t>
      </w:r>
    </w:p>
    <w:p>
      <w:pPr>
        <w:ind w:left="710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50" w:lineRule="exact"/>
        <w:rPr>
          <w:sz w:val="20"/>
          <w:szCs w:val="20"/>
          <w:color w:val="auto"/>
        </w:rPr>
      </w:pPr>
    </w:p>
    <w:p>
      <w:pPr>
        <w:ind w:left="820"/>
        <w:spacing w:after="0"/>
        <w:tabs>
          <w:tab w:leader="none" w:pos="5800" w:val="left"/>
          <w:tab w:leader="none" w:pos="7440" w:val="left"/>
        </w:tabs>
        <w:rPr>
          <w:sz w:val="20"/>
          <w:szCs w:val="20"/>
          <w:color w:val="auto"/>
        </w:rPr>
      </w:pPr>
      <w:r>
        <w:rPr>
          <w:rFonts w:ascii="Times New Roman" w:cs="Times New Roman" w:eastAsia="Times New Roman" w:hAnsi="Times New Roman"/>
          <w:sz w:val="18"/>
          <w:szCs w:val="18"/>
          <w:color w:val="auto"/>
        </w:rPr>
        <w:t>Dated: 2nd day of November,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Vance Y.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3874135</wp:posOffset>
            </wp:positionH>
            <wp:positionV relativeFrom="paragraph">
              <wp:posOffset>14605</wp:posOffset>
            </wp:positionV>
            <wp:extent cx="257492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2574925" cy="8255"/>
                    </a:xfrm>
                    <a:prstGeom prst="rect">
                      <a:avLst/>
                    </a:prstGeom>
                    <a:noFill/>
                  </pic:spPr>
                </pic:pic>
              </a:graphicData>
            </a:graphic>
          </wp:anchor>
        </w:drawing>
      </w:r>
    </w:p>
    <w:p>
      <w:pPr>
        <w:jc w:val="center"/>
        <w:ind w:left="5000"/>
        <w:spacing w:after="0"/>
        <w:rPr>
          <w:sz w:val="20"/>
          <w:szCs w:val="20"/>
          <w:color w:val="auto"/>
        </w:rPr>
      </w:pPr>
      <w:r>
        <w:rPr>
          <w:rFonts w:ascii="Times New Roman" w:cs="Times New Roman" w:eastAsia="Times New Roman" w:hAnsi="Times New Roman"/>
          <w:sz w:val="18"/>
          <w:szCs w:val="18"/>
          <w:color w:val="auto"/>
        </w:rPr>
        <w:t>Vance Y. Chang</w:t>
      </w:r>
    </w:p>
    <w:p>
      <w:pPr>
        <w:jc w:val="center"/>
        <w:ind w:left="5000"/>
        <w:spacing w:after="0" w:line="215" w:lineRule="auto"/>
        <w:rPr>
          <w:sz w:val="20"/>
          <w:szCs w:val="20"/>
          <w:color w:val="auto"/>
        </w:rPr>
      </w:pPr>
      <w:r>
        <w:rPr>
          <w:rFonts w:ascii="Times New Roman" w:cs="Times New Roman" w:eastAsia="Times New Roman" w:hAnsi="Times New Roman"/>
          <w:sz w:val="18"/>
          <w:szCs w:val="18"/>
          <w:i w:val="1"/>
          <w:iCs w:val="1"/>
          <w:color w:val="auto"/>
        </w:rPr>
        <w:t>Chief Financial Officer</w:t>
      </w:r>
    </w:p>
    <w:p>
      <w:pPr>
        <w:ind w:left="710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24" w:lineRule="exact"/>
        <w:rPr>
          <w:sz w:val="20"/>
          <w:szCs w:val="20"/>
          <w:color w:val="auto"/>
        </w:rPr>
      </w:pPr>
    </w:p>
    <w:p>
      <w:pPr>
        <w:ind w:left="820"/>
        <w:spacing w:after="0"/>
        <w:tabs>
          <w:tab w:leader="none" w:pos="5800" w:val="left"/>
          <w:tab w:leader="none" w:pos="7560" w:val="left"/>
        </w:tabs>
        <w:rPr>
          <w:sz w:val="20"/>
          <w:szCs w:val="20"/>
          <w:color w:val="auto"/>
        </w:rPr>
      </w:pPr>
      <w:r>
        <w:rPr>
          <w:rFonts w:ascii="Times New Roman" w:cs="Times New Roman" w:eastAsia="Times New Roman" w:hAnsi="Times New Roman"/>
          <w:sz w:val="18"/>
          <w:szCs w:val="18"/>
          <w:color w:val="auto"/>
        </w:rPr>
        <w:t>Dated: 2nd day of November,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Allison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3874135</wp:posOffset>
            </wp:positionH>
            <wp:positionV relativeFrom="paragraph">
              <wp:posOffset>14605</wp:posOffset>
            </wp:positionV>
            <wp:extent cx="257492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0">
                      <a:extLst>
                        <a:ext uri="{28A0092B-C50C-407E-A947-70E740481C1C}"/>
                      </a:extLst>
                    </a:blip>
                    <a:srcRect/>
                    <a:stretch>
                      <a:fillRect/>
                    </a:stretch>
                  </pic:blipFill>
                  <pic:spPr bwMode="auto">
                    <a:xfrm>
                      <a:off x="0" y="0"/>
                      <a:ext cx="2574925" cy="8255"/>
                    </a:xfrm>
                    <a:prstGeom prst="rect">
                      <a:avLst/>
                    </a:prstGeom>
                    <a:noFill/>
                  </pic:spPr>
                </pic:pic>
              </a:graphicData>
            </a:graphic>
          </wp:anchor>
        </w:drawing>
      </w:r>
    </w:p>
    <w:p>
      <w:pPr>
        <w:jc w:val="center"/>
        <w:ind w:left="5000"/>
        <w:spacing w:after="0"/>
        <w:rPr>
          <w:sz w:val="20"/>
          <w:szCs w:val="20"/>
          <w:color w:val="auto"/>
        </w:rPr>
      </w:pPr>
      <w:r>
        <w:rPr>
          <w:rFonts w:ascii="Times New Roman" w:cs="Times New Roman" w:eastAsia="Times New Roman" w:hAnsi="Times New Roman"/>
          <w:sz w:val="18"/>
          <w:szCs w:val="18"/>
          <w:color w:val="auto"/>
        </w:rPr>
        <w:t>Allison Hall</w:t>
      </w:r>
    </w:p>
    <w:p>
      <w:pPr>
        <w:jc w:val="center"/>
        <w:ind w:left="5000"/>
        <w:spacing w:after="0" w:line="215" w:lineRule="auto"/>
        <w:rPr>
          <w:sz w:val="20"/>
          <w:szCs w:val="20"/>
          <w:color w:val="auto"/>
        </w:rPr>
      </w:pPr>
      <w:r>
        <w:rPr>
          <w:rFonts w:ascii="Times New Roman" w:cs="Times New Roman" w:eastAsia="Times New Roman" w:hAnsi="Times New Roman"/>
          <w:sz w:val="18"/>
          <w:szCs w:val="18"/>
          <w:i w:val="1"/>
          <w:iCs w:val="1"/>
          <w:color w:val="auto"/>
        </w:rPr>
        <w:t>Chief Accounting Officer</w:t>
      </w:r>
    </w:p>
    <w:p>
      <w:pPr>
        <w:ind w:left="704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720"/>
          </w:cols>
          <w:pgMar w:left="320" w:top="118" w:right="85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W. Peyton, certify that:</w:t>
      </w:r>
    </w:p>
    <w:p>
      <w:pPr>
        <w:spacing w:after="0" w:line="270" w:lineRule="exact"/>
        <w:rPr>
          <w:sz w:val="20"/>
          <w:szCs w:val="20"/>
          <w:color w:val="auto"/>
        </w:rPr>
      </w:pPr>
    </w:p>
    <w:p>
      <w:pPr>
        <w:ind w:left="660" w:hanging="654"/>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Dine Brands Global, Inc.;</w:t>
      </w:r>
    </w:p>
    <w:p>
      <w:pPr>
        <w:spacing w:after="0" w:line="150" w:lineRule="exact"/>
        <w:rPr>
          <w:rFonts w:ascii="Times New Roman" w:cs="Times New Roman" w:eastAsia="Times New Roman" w:hAnsi="Times New Roman"/>
          <w:sz w:val="18"/>
          <w:szCs w:val="18"/>
          <w:color w:val="auto"/>
        </w:rPr>
      </w:pPr>
    </w:p>
    <w:p>
      <w:pPr>
        <w:ind w:right="300" w:firstLine="6"/>
        <w:spacing w:after="0" w:line="336" w:lineRule="auto"/>
        <w:tabs>
          <w:tab w:leader="none" w:pos="653"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8" w:lineRule="exact"/>
        <w:rPr>
          <w:rFonts w:ascii="Times New Roman" w:cs="Times New Roman" w:eastAsia="Times New Roman" w:hAnsi="Times New Roman"/>
          <w:sz w:val="17"/>
          <w:szCs w:val="17"/>
          <w:color w:val="auto"/>
        </w:rPr>
      </w:pPr>
    </w:p>
    <w:p>
      <w:pPr>
        <w:ind w:right="280" w:firstLine="6"/>
        <w:spacing w:after="0" w:line="304" w:lineRule="auto"/>
        <w:tabs>
          <w:tab w:leader="none" w:pos="65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Times New Roman" w:cs="Times New Roman" w:eastAsia="Times New Roman" w:hAnsi="Times New Roman"/>
          <w:sz w:val="18"/>
          <w:szCs w:val="18"/>
          <w:color w:val="auto"/>
        </w:rPr>
      </w:pPr>
    </w:p>
    <w:p>
      <w:pPr>
        <w:ind w:left="660" w:hanging="654"/>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w:t>
      </w:r>
    </w:p>
    <w:p>
      <w:pPr>
        <w:spacing w:after="0" w:line="44" w:lineRule="exact"/>
        <w:rPr>
          <w:rFonts w:ascii="Times New Roman" w:cs="Times New Roman" w:eastAsia="Times New Roman" w:hAnsi="Times New Roman"/>
          <w:sz w:val="18"/>
          <w:szCs w:val="18"/>
          <w:color w:val="auto"/>
        </w:rPr>
      </w:pPr>
    </w:p>
    <w:p>
      <w:pPr>
        <w:ind w:right="40"/>
        <w:spacing w:after="0" w:line="30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Rules 13a-15(e) and 15d-15(e)) and internal control over financial reporting (as defined in Exchange Act Rules 13a-15(f) and 15d-15(f)) for the registrant and have:</w:t>
      </w:r>
    </w:p>
    <w:p>
      <w:pPr>
        <w:spacing w:after="0" w:line="71" w:lineRule="exact"/>
        <w:rPr>
          <w:rFonts w:ascii="Times New Roman" w:cs="Times New Roman" w:eastAsia="Times New Roman" w:hAnsi="Times New Roman"/>
          <w:sz w:val="18"/>
          <w:szCs w:val="18"/>
          <w:color w:val="auto"/>
        </w:rPr>
      </w:pPr>
    </w:p>
    <w:p>
      <w:pPr>
        <w:ind w:right="100" w:firstLine="642"/>
        <w:spacing w:after="0" w:line="298" w:lineRule="auto"/>
        <w:tabs>
          <w:tab w:leader="none" w:pos="128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Times New Roman" w:cs="Times New Roman" w:eastAsia="Times New Roman" w:hAnsi="Times New Roman"/>
          <w:sz w:val="18"/>
          <w:szCs w:val="18"/>
          <w:color w:val="auto"/>
        </w:rPr>
      </w:pPr>
    </w:p>
    <w:p>
      <w:pPr>
        <w:ind w:left="1300" w:hanging="658"/>
        <w:spacing w:after="0"/>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w:t>
      </w:r>
    </w:p>
    <w:p>
      <w:pPr>
        <w:spacing w:after="0" w:line="44" w:lineRule="exact"/>
        <w:rPr>
          <w:rFonts w:ascii="Times New Roman" w:cs="Times New Roman" w:eastAsia="Times New Roman" w:hAnsi="Times New Roman"/>
          <w:sz w:val="18"/>
          <w:szCs w:val="18"/>
          <w:color w:val="auto"/>
        </w:rPr>
      </w:pPr>
    </w:p>
    <w:p>
      <w:pPr>
        <w:ind w:right="60"/>
        <w:spacing w:after="0" w:line="30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supervision, to provide reasonable assurance regarding the reliability of financial reporting and the preparation of financial statements for external purposes in accordance with generally accepted accounting principles;</w:t>
      </w:r>
    </w:p>
    <w:p>
      <w:pPr>
        <w:spacing w:after="0" w:line="71" w:lineRule="exact"/>
        <w:rPr>
          <w:rFonts w:ascii="Times New Roman" w:cs="Times New Roman" w:eastAsia="Times New Roman" w:hAnsi="Times New Roman"/>
          <w:sz w:val="18"/>
          <w:szCs w:val="18"/>
          <w:color w:val="auto"/>
        </w:rPr>
      </w:pPr>
    </w:p>
    <w:p>
      <w:pPr>
        <w:ind w:right="420" w:firstLine="642"/>
        <w:spacing w:after="0" w:line="304" w:lineRule="auto"/>
        <w:tabs>
          <w:tab w:leader="none" w:pos="130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1" w:lineRule="exact"/>
        <w:rPr>
          <w:rFonts w:ascii="Times New Roman" w:cs="Times New Roman" w:eastAsia="Times New Roman" w:hAnsi="Times New Roman"/>
          <w:sz w:val="18"/>
          <w:szCs w:val="18"/>
          <w:color w:val="auto"/>
        </w:rPr>
      </w:pPr>
    </w:p>
    <w:p>
      <w:pPr>
        <w:ind w:right="380" w:firstLine="642"/>
        <w:spacing w:after="0" w:line="298" w:lineRule="auto"/>
        <w:tabs>
          <w:tab w:leader="none" w:pos="129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3" w:lineRule="exact"/>
        <w:rPr>
          <w:rFonts w:ascii="Times New Roman" w:cs="Times New Roman" w:eastAsia="Times New Roman" w:hAnsi="Times New Roman"/>
          <w:sz w:val="18"/>
          <w:szCs w:val="18"/>
          <w:color w:val="auto"/>
        </w:rPr>
      </w:pPr>
    </w:p>
    <w:p>
      <w:pPr>
        <w:ind w:right="200" w:firstLine="6"/>
        <w:spacing w:after="0" w:line="320" w:lineRule="auto"/>
        <w:tabs>
          <w:tab w:leader="none" w:pos="65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7" w:lineRule="exact"/>
        <w:rPr>
          <w:rFonts w:ascii="Times New Roman" w:cs="Times New Roman" w:eastAsia="Times New Roman" w:hAnsi="Times New Roman"/>
          <w:sz w:val="18"/>
          <w:szCs w:val="18"/>
          <w:color w:val="auto"/>
        </w:rPr>
      </w:pPr>
    </w:p>
    <w:p>
      <w:pPr>
        <w:ind w:right="640" w:firstLine="642"/>
        <w:spacing w:after="0" w:line="304" w:lineRule="auto"/>
        <w:tabs>
          <w:tab w:leader="none" w:pos="128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Times New Roman" w:cs="Times New Roman" w:eastAsia="Times New Roman" w:hAnsi="Times New Roman"/>
          <w:sz w:val="18"/>
          <w:szCs w:val="18"/>
          <w:color w:val="auto"/>
        </w:rPr>
      </w:pPr>
    </w:p>
    <w:p>
      <w:pPr>
        <w:ind w:right="320" w:firstLine="642"/>
        <w:spacing w:after="0" w:line="304" w:lineRule="auto"/>
        <w:tabs>
          <w:tab w:leader="none" w:pos="1297"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10" w:lineRule="exact"/>
        <w:rPr>
          <w:sz w:val="20"/>
          <w:szCs w:val="20"/>
          <w:color w:val="auto"/>
        </w:rPr>
      </w:pPr>
    </w:p>
    <w:tbl>
      <w:tblPr>
        <w:tblLayout w:type="fixed"/>
        <w:tblInd w:w="860" w:type="dxa"/>
        <w:tblCellMar>
          <w:top w:w="0" w:type="dxa"/>
          <w:left w:w="0" w:type="dxa"/>
          <w:bottom w:w="0" w:type="dxa"/>
          <w:right w:w="0" w:type="dxa"/>
        </w:tblCellMar>
      </w:tblPr>
      <w:tr>
        <w:trPr>
          <w:trHeight w:val="230"/>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Dated: 2nd day of November, 2022</w:t>
            </w:r>
          </w:p>
        </w:tc>
        <w:tc>
          <w:tcPr>
            <w:tcW w:w="3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John W. Peyton</w:t>
            </w:r>
          </w:p>
        </w:tc>
      </w:tr>
      <w:tr>
        <w:trPr>
          <w:trHeight w:val="211"/>
        </w:trPr>
        <w:tc>
          <w:tcPr>
            <w:tcW w:w="6540" w:type="dxa"/>
            <w:vAlign w:val="bottom"/>
          </w:tcPr>
          <w:p>
            <w:pPr>
              <w:spacing w:after="0"/>
              <w:rPr>
                <w:sz w:val="18"/>
                <w:szCs w:val="18"/>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John W. Peyton</w:t>
            </w:r>
          </w:p>
        </w:tc>
      </w:tr>
      <w:tr>
        <w:trPr>
          <w:trHeight w:val="179"/>
        </w:trPr>
        <w:tc>
          <w:tcPr>
            <w:tcW w:w="6540" w:type="dxa"/>
            <w:vAlign w:val="bottom"/>
          </w:tcPr>
          <w:p>
            <w:pPr>
              <w:spacing w:after="0"/>
              <w:rPr>
                <w:sz w:val="15"/>
                <w:szCs w:val="15"/>
                <w:color w:val="auto"/>
              </w:rPr>
            </w:pPr>
          </w:p>
        </w:tc>
        <w:tc>
          <w:tcPr>
            <w:tcW w:w="3740" w:type="dxa"/>
            <w:vAlign w:val="bottom"/>
          </w:tcPr>
          <w:p>
            <w:pPr>
              <w:jc w:val="center"/>
              <w:spacing w:after="0" w:line="179" w:lineRule="exact"/>
              <w:rPr>
                <w:sz w:val="20"/>
                <w:szCs w:val="20"/>
                <w:color w:val="auto"/>
              </w:rPr>
            </w:pPr>
            <w:r>
              <w:rPr>
                <w:rFonts w:ascii="Times New Roman" w:cs="Times New Roman" w:eastAsia="Times New Roman" w:hAnsi="Times New Roman"/>
                <w:sz w:val="18"/>
                <w:szCs w:val="18"/>
                <w:i w:val="1"/>
                <w:iCs w:val="1"/>
                <w:color w:val="auto"/>
                <w:w w:val="98"/>
              </w:rPr>
              <w:t>Chief Executive Officer</w:t>
            </w:r>
          </w:p>
        </w:tc>
      </w:tr>
      <w:tr>
        <w:trPr>
          <w:trHeight w:val="233"/>
        </w:trPr>
        <w:tc>
          <w:tcPr>
            <w:tcW w:w="6540" w:type="dxa"/>
            <w:vAlign w:val="bottom"/>
          </w:tcPr>
          <w:p>
            <w:pPr>
              <w:spacing w:after="0"/>
              <w:rPr>
                <w:sz w:val="20"/>
                <w:szCs w:val="20"/>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(Principal Executive Officer)</w:t>
            </w:r>
          </w:p>
        </w:tc>
      </w:tr>
    </w:tbl>
    <w:p>
      <w:pPr>
        <w:sectPr>
          <w:pgSz w:w="11900" w:h="16838" w:orient="portrait"/>
          <w:cols w:equalWidth="0" w:num="1">
            <w:col w:w="11240"/>
          </w:cols>
          <w:pgMar w:left="320" w:top="888"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of the</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Exchange Act of 1934, As Amended</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Vance Y. Chang, certify that:</w:t>
      </w:r>
    </w:p>
    <w:p>
      <w:pPr>
        <w:spacing w:after="0" w:line="283" w:lineRule="exact"/>
        <w:rPr>
          <w:sz w:val="20"/>
          <w:szCs w:val="20"/>
          <w:color w:val="auto"/>
        </w:rPr>
      </w:pPr>
    </w:p>
    <w:p>
      <w:pPr>
        <w:ind w:left="660" w:hanging="654"/>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Dine Brands Global, Inc.;</w:t>
      </w:r>
    </w:p>
    <w:p>
      <w:pPr>
        <w:spacing w:after="0" w:line="137" w:lineRule="exact"/>
        <w:rPr>
          <w:rFonts w:ascii="Times New Roman" w:cs="Times New Roman" w:eastAsia="Times New Roman" w:hAnsi="Times New Roman"/>
          <w:sz w:val="18"/>
          <w:szCs w:val="18"/>
          <w:color w:val="auto"/>
        </w:rPr>
      </w:pPr>
    </w:p>
    <w:p>
      <w:pPr>
        <w:ind w:right="300" w:firstLine="6"/>
        <w:spacing w:after="0" w:line="353" w:lineRule="auto"/>
        <w:tabs>
          <w:tab w:leader="none" w:pos="653"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Times New Roman" w:cs="Times New Roman" w:eastAsia="Times New Roman" w:hAnsi="Times New Roman"/>
          <w:sz w:val="17"/>
          <w:szCs w:val="17"/>
          <w:color w:val="auto"/>
        </w:rPr>
      </w:pPr>
    </w:p>
    <w:p>
      <w:pPr>
        <w:ind w:right="280" w:firstLine="6"/>
        <w:spacing w:after="0" w:line="320" w:lineRule="auto"/>
        <w:tabs>
          <w:tab w:leader="none" w:pos="65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7" w:lineRule="exact"/>
        <w:rPr>
          <w:rFonts w:ascii="Times New Roman" w:cs="Times New Roman" w:eastAsia="Times New Roman" w:hAnsi="Times New Roman"/>
          <w:sz w:val="18"/>
          <w:szCs w:val="18"/>
          <w:color w:val="auto"/>
        </w:rPr>
      </w:pPr>
    </w:p>
    <w:p>
      <w:pPr>
        <w:ind w:right="40" w:firstLine="6"/>
        <w:spacing w:after="0" w:line="298" w:lineRule="auto"/>
        <w:tabs>
          <w:tab w:leader="none" w:pos="65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3" w:lineRule="exact"/>
        <w:rPr>
          <w:rFonts w:ascii="Times New Roman" w:cs="Times New Roman" w:eastAsia="Times New Roman" w:hAnsi="Times New Roman"/>
          <w:sz w:val="18"/>
          <w:szCs w:val="18"/>
          <w:color w:val="auto"/>
        </w:rPr>
      </w:pPr>
    </w:p>
    <w:p>
      <w:pPr>
        <w:ind w:left="1300" w:hanging="658"/>
        <w:spacing w:after="0"/>
        <w:tabs>
          <w:tab w:leader="none" w:pos="1300"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w:t>
      </w:r>
    </w:p>
    <w:p>
      <w:pPr>
        <w:spacing w:after="0" w:line="56" w:lineRule="exact"/>
        <w:rPr>
          <w:rFonts w:ascii="Times New Roman" w:cs="Times New Roman" w:eastAsia="Times New Roman" w:hAnsi="Times New Roman"/>
          <w:sz w:val="17"/>
          <w:szCs w:val="17"/>
          <w:color w:val="auto"/>
        </w:rPr>
      </w:pPr>
    </w:p>
    <w:p>
      <w:pPr>
        <w:ind w:right="520"/>
        <w:spacing w:after="0" w:line="304"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to ensure that material information relating to the registrant, including its consolidated subsidiaries, is made known to us by others within those entities, particularly during the period in which this report is being prepared;</w:t>
      </w:r>
    </w:p>
    <w:p>
      <w:pPr>
        <w:spacing w:after="0" w:line="71" w:lineRule="exact"/>
        <w:rPr>
          <w:rFonts w:ascii="Times New Roman" w:cs="Times New Roman" w:eastAsia="Times New Roman" w:hAnsi="Times New Roman"/>
          <w:sz w:val="17"/>
          <w:szCs w:val="17"/>
          <w:color w:val="auto"/>
        </w:rPr>
      </w:pPr>
    </w:p>
    <w:p>
      <w:pPr>
        <w:ind w:right="60" w:firstLine="642"/>
        <w:spacing w:after="0" w:line="298" w:lineRule="auto"/>
        <w:tabs>
          <w:tab w:leader="none" w:pos="129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Times New Roman" w:cs="Times New Roman" w:eastAsia="Times New Roman" w:hAnsi="Times New Roman"/>
          <w:sz w:val="18"/>
          <w:szCs w:val="18"/>
          <w:color w:val="auto"/>
        </w:rPr>
      </w:pPr>
    </w:p>
    <w:p>
      <w:pPr>
        <w:ind w:right="420" w:firstLine="642"/>
        <w:spacing w:after="0" w:line="320" w:lineRule="auto"/>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4" w:lineRule="exact"/>
        <w:rPr>
          <w:rFonts w:ascii="Times New Roman" w:cs="Times New Roman" w:eastAsia="Times New Roman" w:hAnsi="Times New Roman"/>
          <w:sz w:val="18"/>
          <w:szCs w:val="18"/>
          <w:color w:val="auto"/>
        </w:rPr>
      </w:pPr>
    </w:p>
    <w:p>
      <w:pPr>
        <w:ind w:left="1300" w:hanging="658"/>
        <w:spacing w:after="0"/>
        <w:tabs>
          <w:tab w:leader="none" w:pos="130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w:t>
      </w:r>
    </w:p>
    <w:p>
      <w:pPr>
        <w:spacing w:after="0" w:line="44" w:lineRule="exact"/>
        <w:rPr>
          <w:rFonts w:ascii="Times New Roman" w:cs="Times New Roman" w:eastAsia="Times New Roman" w:hAnsi="Times New Roman"/>
          <w:sz w:val="18"/>
          <w:szCs w:val="18"/>
          <w:color w:val="auto"/>
        </w:rPr>
      </w:pPr>
    </w:p>
    <w:p>
      <w:pPr>
        <w:ind w:right="460"/>
        <w:spacing w:after="0" w:line="30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right="200" w:firstLine="6"/>
        <w:spacing w:after="0" w:line="320" w:lineRule="auto"/>
        <w:tabs>
          <w:tab w:leader="none" w:pos="65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4" w:lineRule="exact"/>
        <w:rPr>
          <w:rFonts w:ascii="Times New Roman" w:cs="Times New Roman" w:eastAsia="Times New Roman" w:hAnsi="Times New Roman"/>
          <w:sz w:val="18"/>
          <w:szCs w:val="18"/>
          <w:color w:val="auto"/>
        </w:rPr>
      </w:pPr>
    </w:p>
    <w:p>
      <w:pPr>
        <w:ind w:right="640" w:firstLine="642"/>
        <w:spacing w:after="0" w:line="320" w:lineRule="auto"/>
        <w:tabs>
          <w:tab w:leader="none" w:pos="128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4" w:lineRule="exact"/>
        <w:rPr>
          <w:rFonts w:ascii="Times New Roman" w:cs="Times New Roman" w:eastAsia="Times New Roman" w:hAnsi="Times New Roman"/>
          <w:sz w:val="18"/>
          <w:szCs w:val="18"/>
          <w:color w:val="auto"/>
        </w:rPr>
      </w:pPr>
    </w:p>
    <w:p>
      <w:pPr>
        <w:ind w:right="320" w:firstLine="642"/>
        <w:spacing w:after="0" w:line="320" w:lineRule="auto"/>
        <w:tabs>
          <w:tab w:leader="none" w:pos="1297"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83" w:lineRule="exact"/>
        <w:rPr>
          <w:sz w:val="20"/>
          <w:szCs w:val="20"/>
          <w:color w:val="auto"/>
        </w:rPr>
      </w:pPr>
    </w:p>
    <w:p>
      <w:pPr>
        <w:ind w:left="860"/>
        <w:spacing w:after="0"/>
        <w:tabs>
          <w:tab w:leader="none" w:pos="8560" w:val="left"/>
        </w:tabs>
        <w:rPr>
          <w:sz w:val="20"/>
          <w:szCs w:val="20"/>
          <w:color w:val="auto"/>
        </w:rPr>
      </w:pPr>
      <w:r>
        <w:rPr>
          <w:rFonts w:ascii="Times New Roman" w:cs="Times New Roman" w:eastAsia="Times New Roman" w:hAnsi="Times New Roman"/>
          <w:sz w:val="18"/>
          <w:szCs w:val="18"/>
          <w:color w:val="auto"/>
        </w:rPr>
        <w:t>Dated: 2nd day of November, 2022</w:t>
      </w:r>
      <w:r>
        <w:rPr>
          <w:sz w:val="20"/>
          <w:szCs w:val="20"/>
          <w:color w:val="auto"/>
        </w:rPr>
        <w:tab/>
      </w:r>
      <w:r>
        <w:rPr>
          <w:rFonts w:ascii="Times New Roman" w:cs="Times New Roman" w:eastAsia="Times New Roman" w:hAnsi="Times New Roman"/>
          <w:sz w:val="17"/>
          <w:szCs w:val="17"/>
          <w:color w:val="auto"/>
        </w:rPr>
        <w:t>/s/ Vance Y.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4698365</wp:posOffset>
            </wp:positionH>
            <wp:positionV relativeFrom="paragraph">
              <wp:posOffset>14605</wp:posOffset>
            </wp:positionV>
            <wp:extent cx="234759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1">
                      <a:extLst>
                        <a:ext uri="{28A0092B-C50C-407E-A947-70E740481C1C}"/>
                      </a:extLst>
                    </a:blip>
                    <a:srcRect/>
                    <a:stretch>
                      <a:fillRect/>
                    </a:stretch>
                  </pic:blipFill>
                  <pic:spPr bwMode="auto">
                    <a:xfrm>
                      <a:off x="0" y="0"/>
                      <a:ext cx="2347595" cy="8255"/>
                    </a:xfrm>
                    <a:prstGeom prst="rect">
                      <a:avLst/>
                    </a:prstGeom>
                    <a:noFill/>
                  </pic:spPr>
                </pic:pic>
              </a:graphicData>
            </a:graphic>
          </wp:anchor>
        </w:drawing>
      </w:r>
    </w:p>
    <w:p>
      <w:pPr>
        <w:spacing w:after="0" w:line="50" w:lineRule="exact"/>
        <w:rPr>
          <w:sz w:val="20"/>
          <w:szCs w:val="20"/>
          <w:color w:val="auto"/>
        </w:rPr>
      </w:pPr>
    </w:p>
    <w:p>
      <w:pPr>
        <w:jc w:val="center"/>
        <w:ind w:left="7240"/>
        <w:spacing w:after="0"/>
        <w:rPr>
          <w:sz w:val="20"/>
          <w:szCs w:val="20"/>
          <w:color w:val="auto"/>
        </w:rPr>
      </w:pPr>
      <w:r>
        <w:rPr>
          <w:rFonts w:ascii="Times New Roman" w:cs="Times New Roman" w:eastAsia="Times New Roman" w:hAnsi="Times New Roman"/>
          <w:sz w:val="18"/>
          <w:szCs w:val="18"/>
          <w:color w:val="auto"/>
        </w:rPr>
        <w:t>Vance Y. Chang</w:t>
      </w:r>
    </w:p>
    <w:p>
      <w:pPr>
        <w:jc w:val="center"/>
        <w:ind w:left="7240"/>
        <w:spacing w:after="0" w:line="199" w:lineRule="auto"/>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1" w:lineRule="exact"/>
        <w:rPr>
          <w:sz w:val="20"/>
          <w:szCs w:val="20"/>
          <w:color w:val="auto"/>
        </w:rPr>
      </w:pPr>
    </w:p>
    <w:p>
      <w:pPr>
        <w:jc w:val="center"/>
        <w:ind w:left="724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888"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85" w:lineRule="exact"/>
        <w:rPr>
          <w:sz w:val="20"/>
          <w:szCs w:val="20"/>
          <w:color w:val="auto"/>
        </w:rPr>
      </w:pPr>
    </w:p>
    <w:p>
      <w:pPr>
        <w:ind w:right="220" w:firstLine="636"/>
        <w:spacing w:after="0" w:line="296" w:lineRule="auto"/>
        <w:rPr>
          <w:sz w:val="20"/>
          <w:szCs w:val="20"/>
          <w:color w:val="auto"/>
        </w:rPr>
      </w:pPr>
      <w:r>
        <w:rPr>
          <w:rFonts w:ascii="Times New Roman" w:cs="Times New Roman" w:eastAsia="Times New Roman" w:hAnsi="Times New Roman"/>
          <w:sz w:val="18"/>
          <w:szCs w:val="18"/>
          <w:color w:val="auto"/>
        </w:rPr>
        <w:t>In connection with the Quarterly Report on Form 10-Q of Dine Brands Global, Inc. (the “Company”) for the quarter ended September 30, 2022, as filed with the Securities and Exchange Commission on the 2nd day of November, 2022 (the “Report”), John W. Peyton, as Chief Executive Officer of the Company, hereby certifies, pursuant to 18 U.S.C. Section 1350, as adopted pursuant to Section 906 of the Sarbanes-Oxley Act of 2002, to the best of his knowledge, that:</w:t>
      </w:r>
    </w:p>
    <w:p>
      <w:pPr>
        <w:spacing w:after="0" w:line="211" w:lineRule="exact"/>
        <w:rPr>
          <w:sz w:val="20"/>
          <w:szCs w:val="20"/>
          <w:color w:val="auto"/>
        </w:rPr>
      </w:pPr>
    </w:p>
    <w:p>
      <w:pPr>
        <w:ind w:left="1640" w:hanging="521"/>
        <w:spacing w:after="0"/>
        <w:tabs>
          <w:tab w:leader="none" w:pos="16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83" w:lineRule="exact"/>
        <w:rPr>
          <w:rFonts w:ascii="Times New Roman" w:cs="Times New Roman" w:eastAsia="Times New Roman" w:hAnsi="Times New Roman"/>
          <w:sz w:val="18"/>
          <w:szCs w:val="18"/>
          <w:color w:val="auto"/>
        </w:rPr>
      </w:pPr>
    </w:p>
    <w:p>
      <w:pPr>
        <w:ind w:left="1640" w:hanging="521"/>
        <w:spacing w:after="0"/>
        <w:tabs>
          <w:tab w:leader="none" w:pos="164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69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2nd day of November, 2022</w:t>
            </w:r>
          </w:p>
        </w:tc>
        <w:tc>
          <w:tcPr>
            <w:tcW w:w="3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John W. Peyton</w:t>
            </w:r>
          </w:p>
        </w:tc>
      </w:tr>
      <w:tr>
        <w:trPr>
          <w:trHeight w:val="211"/>
        </w:trPr>
        <w:tc>
          <w:tcPr>
            <w:tcW w:w="680" w:type="dxa"/>
            <w:vAlign w:val="bottom"/>
          </w:tcPr>
          <w:p>
            <w:pPr>
              <w:spacing w:after="0"/>
              <w:rPr>
                <w:sz w:val="18"/>
                <w:szCs w:val="18"/>
                <w:color w:val="auto"/>
              </w:rPr>
            </w:pPr>
          </w:p>
        </w:tc>
        <w:tc>
          <w:tcPr>
            <w:tcW w:w="69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John W. Peyton</w:t>
            </w:r>
          </w:p>
        </w:tc>
      </w:tr>
      <w:tr>
        <w:trPr>
          <w:trHeight w:val="179"/>
        </w:trPr>
        <w:tc>
          <w:tcPr>
            <w:tcW w:w="680" w:type="dxa"/>
            <w:vAlign w:val="bottom"/>
          </w:tcPr>
          <w:p>
            <w:pPr>
              <w:spacing w:after="0"/>
              <w:rPr>
                <w:sz w:val="15"/>
                <w:szCs w:val="15"/>
                <w:color w:val="auto"/>
              </w:rPr>
            </w:pPr>
          </w:p>
        </w:tc>
        <w:tc>
          <w:tcPr>
            <w:tcW w:w="6920" w:type="dxa"/>
            <w:vAlign w:val="bottom"/>
          </w:tcPr>
          <w:p>
            <w:pPr>
              <w:spacing w:after="0"/>
              <w:rPr>
                <w:sz w:val="15"/>
                <w:szCs w:val="15"/>
                <w:color w:val="auto"/>
              </w:rPr>
            </w:pPr>
          </w:p>
        </w:tc>
        <w:tc>
          <w:tcPr>
            <w:tcW w:w="3600" w:type="dxa"/>
            <w:vAlign w:val="bottom"/>
          </w:tcPr>
          <w:p>
            <w:pPr>
              <w:jc w:val="center"/>
              <w:spacing w:after="0" w:line="179" w:lineRule="exact"/>
              <w:rPr>
                <w:sz w:val="20"/>
                <w:szCs w:val="20"/>
                <w:color w:val="auto"/>
              </w:rPr>
            </w:pPr>
            <w:r>
              <w:rPr>
                <w:rFonts w:ascii="Times New Roman" w:cs="Times New Roman" w:eastAsia="Times New Roman" w:hAnsi="Times New Roman"/>
                <w:sz w:val="18"/>
                <w:szCs w:val="18"/>
                <w:i w:val="1"/>
                <w:iCs w:val="1"/>
                <w:color w:val="auto"/>
                <w:w w:val="97"/>
              </w:rPr>
              <w:t>Chief Executive Officer</w:t>
            </w:r>
          </w:p>
        </w:tc>
      </w:tr>
      <w:tr>
        <w:trPr>
          <w:trHeight w:val="233"/>
        </w:trPr>
        <w:tc>
          <w:tcPr>
            <w:tcW w:w="680" w:type="dxa"/>
            <w:vAlign w:val="bottom"/>
          </w:tcPr>
          <w:p>
            <w:pPr>
              <w:spacing w:after="0"/>
              <w:rPr>
                <w:sz w:val="20"/>
                <w:szCs w:val="20"/>
                <w:color w:val="auto"/>
              </w:rPr>
            </w:pPr>
          </w:p>
        </w:tc>
        <w:tc>
          <w:tcPr>
            <w:tcW w:w="692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7"/>
              </w:rPr>
              <w:t>(Principal Executive Officer)</w:t>
            </w:r>
          </w:p>
        </w:tc>
      </w:tr>
    </w:tbl>
    <w:p>
      <w:pPr>
        <w:spacing w:after="0" w:line="371" w:lineRule="exact"/>
        <w:rPr>
          <w:sz w:val="20"/>
          <w:szCs w:val="20"/>
          <w:color w:val="auto"/>
        </w:rPr>
      </w:pPr>
    </w:p>
    <w:p>
      <w:pPr>
        <w:ind w:right="120" w:firstLine="636"/>
        <w:spacing w:after="0" w:line="296"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p>
      <w:pPr>
        <w:sectPr>
          <w:pgSz w:w="11900" w:h="16838" w:orient="portrait"/>
          <w:cols w:equalWidth="0" w:num="1">
            <w:col w:w="11240"/>
          </w:cols>
          <w:pgMar w:left="320" w:top="888"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85" w:lineRule="exact"/>
        <w:rPr>
          <w:sz w:val="20"/>
          <w:szCs w:val="20"/>
          <w:color w:val="auto"/>
        </w:rPr>
      </w:pPr>
    </w:p>
    <w:p>
      <w:pPr>
        <w:ind w:right="220" w:firstLine="636"/>
        <w:spacing w:after="0" w:line="296" w:lineRule="auto"/>
        <w:rPr>
          <w:sz w:val="20"/>
          <w:szCs w:val="20"/>
          <w:color w:val="auto"/>
        </w:rPr>
      </w:pPr>
      <w:r>
        <w:rPr>
          <w:rFonts w:ascii="Times New Roman" w:cs="Times New Roman" w:eastAsia="Times New Roman" w:hAnsi="Times New Roman"/>
          <w:sz w:val="18"/>
          <w:szCs w:val="18"/>
          <w:color w:val="auto"/>
        </w:rPr>
        <w:t>In connection with the Quarterly Report on Form 10-Q of Dine Brands Global, Inc. (the “Company”) for the quarter ended September 30, 2022, as filed with the Securities and Exchange Commission on the 2nd day of November, 2022 (the “Report”), Vance Y. Chang, as Chief Financial Officer of the Company, hereby certifies, pursuant to 18 U.S.C. Section 1350, as adopted pursuant to Section 906 of the Sarbanes-Oxley Act of 2002, to the best of his knowledge, that:</w:t>
      </w:r>
    </w:p>
    <w:p>
      <w:pPr>
        <w:spacing w:after="0" w:line="211" w:lineRule="exact"/>
        <w:rPr>
          <w:sz w:val="20"/>
          <w:szCs w:val="20"/>
          <w:color w:val="auto"/>
        </w:rPr>
      </w:pPr>
    </w:p>
    <w:p>
      <w:pPr>
        <w:ind w:left="1640" w:hanging="521"/>
        <w:spacing w:after="0"/>
        <w:tabs>
          <w:tab w:leader="none" w:pos="16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83" w:lineRule="exact"/>
        <w:rPr>
          <w:rFonts w:ascii="Times New Roman" w:cs="Times New Roman" w:eastAsia="Times New Roman" w:hAnsi="Times New Roman"/>
          <w:sz w:val="18"/>
          <w:szCs w:val="18"/>
          <w:color w:val="auto"/>
        </w:rPr>
      </w:pPr>
    </w:p>
    <w:p>
      <w:pPr>
        <w:ind w:left="1640" w:hanging="521"/>
        <w:spacing w:after="0"/>
        <w:tabs>
          <w:tab w:leader="none" w:pos="164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31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69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2nd day of November, 2022</w:t>
            </w:r>
          </w:p>
        </w:tc>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/s/ Vance Y. Chang</w:t>
            </w:r>
          </w:p>
        </w:tc>
      </w:tr>
      <w:tr>
        <w:trPr>
          <w:trHeight w:val="211"/>
        </w:trPr>
        <w:tc>
          <w:tcPr>
            <w:tcW w:w="680" w:type="dxa"/>
            <w:vAlign w:val="bottom"/>
          </w:tcPr>
          <w:p>
            <w:pPr>
              <w:spacing w:after="0"/>
              <w:rPr>
                <w:sz w:val="18"/>
                <w:szCs w:val="18"/>
                <w:color w:val="auto"/>
              </w:rPr>
            </w:pPr>
          </w:p>
        </w:tc>
        <w:tc>
          <w:tcPr>
            <w:tcW w:w="698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Vance Y. Chang</w:t>
            </w:r>
          </w:p>
        </w:tc>
      </w:tr>
      <w:tr>
        <w:trPr>
          <w:trHeight w:val="179"/>
        </w:trPr>
        <w:tc>
          <w:tcPr>
            <w:tcW w:w="68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3540" w:type="dxa"/>
            <w:vAlign w:val="bottom"/>
          </w:tcPr>
          <w:p>
            <w:pPr>
              <w:jc w:val="center"/>
              <w:spacing w:after="0" w:line="179" w:lineRule="exact"/>
              <w:rPr>
                <w:sz w:val="20"/>
                <w:szCs w:val="20"/>
                <w:color w:val="auto"/>
              </w:rPr>
            </w:pPr>
            <w:r>
              <w:rPr>
                <w:rFonts w:ascii="Times New Roman" w:cs="Times New Roman" w:eastAsia="Times New Roman" w:hAnsi="Times New Roman"/>
                <w:sz w:val="18"/>
                <w:szCs w:val="18"/>
                <w:i w:val="1"/>
                <w:iCs w:val="1"/>
                <w:color w:val="auto"/>
                <w:w w:val="98"/>
              </w:rPr>
              <w:t>Chief Financial Officer</w:t>
            </w:r>
          </w:p>
        </w:tc>
      </w:tr>
      <w:tr>
        <w:trPr>
          <w:trHeight w:val="233"/>
        </w:trPr>
        <w:tc>
          <w:tcPr>
            <w:tcW w:w="680" w:type="dxa"/>
            <w:vAlign w:val="bottom"/>
          </w:tcPr>
          <w:p>
            <w:pPr>
              <w:spacing w:after="0"/>
              <w:rPr>
                <w:sz w:val="20"/>
                <w:szCs w:val="20"/>
                <w:color w:val="auto"/>
              </w:rPr>
            </w:pPr>
          </w:p>
        </w:tc>
        <w:tc>
          <w:tcPr>
            <w:tcW w:w="698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8"/>
              </w:rPr>
              <w:t>(Principal Financial Officer)</w:t>
            </w:r>
          </w:p>
        </w:tc>
      </w:tr>
    </w:tbl>
    <w:p>
      <w:pPr>
        <w:spacing w:after="0" w:line="371" w:lineRule="exact"/>
        <w:rPr>
          <w:sz w:val="20"/>
          <w:szCs w:val="20"/>
          <w:color w:val="auto"/>
        </w:rPr>
      </w:pPr>
    </w:p>
    <w:p>
      <w:pPr>
        <w:ind w:right="120" w:firstLine="636"/>
        <w:spacing w:after="0" w:line="296" w:lineRule="auto"/>
        <w:rPr>
          <w:sz w:val="20"/>
          <w:szCs w:val="20"/>
          <w:color w:val="auto"/>
        </w:rPr>
      </w:pPr>
      <w:r>
        <w:rPr>
          <w:rFonts w:ascii="Times New Roman" w:cs="Times New Roman" w:eastAsia="Times New Roman" w:hAnsi="Times New Roman"/>
          <w:sz w:val="18"/>
          <w:szCs w:val="18"/>
          <w:color w:val="auto"/>
        </w:rPr>
        <w:t>This certification accompanies the Report pursuant to Section 906 of the Sarbanes-Oxley Act of 2002 and shall not, except to the extent required by the Sarbanes-Oxley Act of 2002, be deemed filed by the Company for purposes of Section 18 of the Securities Exchange Act of 1934, as amended. This certification shall not be deemed to be incorporated by reference into any filing under the Securities Act of 1933 or the Exchange Act except to the extent the Company expressly and specifically incorporates it by reference in such filing.</w:t>
      </w:r>
    </w:p>
    <w:sectPr>
      <w:pgSz w:w="11900" w:h="16838" w:orient="portrait"/>
      <w:cols w:equalWidth="0" w:num="1">
        <w:col w:w="11240"/>
      </w:cols>
      <w:pgMar w:left="320" w:top="8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2"/>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upperLetter"/>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1."/>
      <w:numFmt w:val="decimal"/>
      <w:start w:val="7"/>
    </w:lvl>
    <w:lvl w:ilvl="1">
      <w:lvlJc w:val="left"/>
      <w:lvlText w:val="•"/>
      <w:numFmt w:val="bullet"/>
      <w:start w:val="1"/>
    </w:lvl>
  </w:abstractNum>
  <w:abstractNum w:abstractNumId="9">
    <w:nsid w:val="257130A3"/>
    <w:multiLevelType w:val="hybridMultilevel"/>
    <w:lvl w:ilvl="0">
      <w:lvlJc w:val="left"/>
      <w:lvlText w:val="%1."/>
      <w:numFmt w:val="decimal"/>
      <w:start w:val="15"/>
    </w:lvl>
  </w:abstractNum>
  <w:abstractNum w:abstractNumId="10">
    <w:nsid w:val="62BBD95A"/>
    <w:multiLevelType w:val="hybridMultilevel"/>
    <w:lvl w:ilvl="0">
      <w:lvlJc w:val="left"/>
      <w:lvlText w:val="(%1)"/>
      <w:numFmt w:val="decimal"/>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decimal"/>
      <w:start w:val="1"/>
    </w:lvl>
  </w:abstractNum>
  <w:abstractNum w:abstractNumId="13">
    <w:nsid w:val="333AB105"/>
    <w:multiLevelType w:val="hybridMultilevel"/>
    <w:lvl w:ilvl="0">
      <w:lvlJc w:val="left"/>
      <w:lvlText w:val="(%1)"/>
      <w:numFmt w:val="decimal"/>
      <w:start w:val="1"/>
    </w:lvl>
  </w:abstractNum>
  <w:abstractNum w:abstractNumId="14">
    <w:nsid w:val="721DA317"/>
    <w:multiLevelType w:val="hybridMultilevel"/>
    <w:lvl w:ilvl="0">
      <w:lvlJc w:val="left"/>
      <w:lvlText w:val="%1"/>
      <w:numFmt w:val="lowerLetter"/>
      <w:start w:val="1"/>
    </w:lvl>
    <w:lvl w:ilvl="1">
      <w:lvlJc w:val="left"/>
      <w:lvlText w:val="(%2)"/>
      <w:numFmt w:val="lowerLetter"/>
      <w:start w:val="1"/>
    </w:lvl>
  </w:abstractNum>
  <w:abstractNum w:abstractNumId="15">
    <w:nsid w:val="2443A858"/>
    <w:multiLevelType w:val="hybridMultilevel"/>
    <w:lvl w:ilvl="0">
      <w:lvlJc w:val="left"/>
      <w:lvlText w:val="(%1)"/>
      <w:numFmt w:val="lowerLetter"/>
      <w:start w:val="2"/>
    </w:lvl>
    <w:lvl w:ilvl="1">
      <w:lvlJc w:val="left"/>
      <w:lvlText w:val="%2"/>
      <w:numFmt w:val="lowerLetter"/>
      <w:start w:val="1"/>
    </w:lvl>
  </w:abstractNum>
  <w:abstractNum w:abstractNumId="16">
    <w:nsid w:val="2D1D5AE9"/>
    <w:multiLevelType w:val="hybridMultilevel"/>
    <w:lvl w:ilvl="0">
      <w:lvlJc w:val="left"/>
      <w:lvlText w:val="(%1)"/>
      <w:numFmt w:val="lowerLetter"/>
      <w:start w:val="3"/>
    </w:lvl>
  </w:abstractNum>
  <w:abstractNum w:abstractNumId="17">
    <w:nsid w:val="6763845E"/>
    <w:multiLevelType w:val="hybridMultilevel"/>
    <w:lvl w:ilvl="0">
      <w:lvlJc w:val="left"/>
      <w:lvlText w:val="(%1)"/>
      <w:numFmt w:val="decimal"/>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1)"/>
      <w:numFmt w:val="lowerLetter"/>
      <w:start w:val="1"/>
    </w:lvl>
  </w:abstractNum>
  <w:abstractNum w:abstractNumId="22">
    <w:nsid w:val="B03E0C6"/>
    <w:multiLevelType w:val="hybridMultilevel"/>
    <w:lvl w:ilvl="0">
      <w:lvlJc w:val="left"/>
      <w:lvlText w:val="*"/>
      <w:numFmt w:val="bullet"/>
      <w:start w:val="1"/>
    </w:lvl>
    <w:lvl w:ilvl="1">
      <w:lvlJc w:val="left"/>
      <w:lvlText w:val="%2"/>
      <w:numFmt w:val="decimal"/>
      <w:start w:val="104"/>
    </w:lvl>
  </w:abstractNum>
  <w:abstractNum w:abstractNumId="23">
    <w:nsid w:val="189A769B"/>
    <w:multiLevelType w:val="hybridMultilevel"/>
    <w:lvl w:ilvl="0">
      <w:lvlJc w:val="left"/>
      <w:lvlText w:val="**"/>
      <w:numFmt w:val="bullet"/>
      <w:start w:val="1"/>
    </w:lvl>
    <w:lvl w:ilvl="1">
      <w:lvlJc w:val="left"/>
      <w:lvlText w:val="%2"/>
      <w:numFmt w:val="decimal"/>
      <w:start w:val="1"/>
    </w:lvl>
  </w:abstractNum>
  <w:abstractNum w:abstractNumId="24">
    <w:nsid w:val="54E49EB4"/>
    <w:multiLevelType w:val="hybridMultilevel"/>
    <w:lvl w:ilvl="0">
      <w:lvlJc w:val="left"/>
      <w:lvlText w:val="***"/>
      <w:numFmt w:val="bullet"/>
      <w:start w:val="1"/>
    </w:lvl>
    <w:lvl w:ilvl="1">
      <w:lvlJc w:val="left"/>
      <w:lvlText w:val="%2"/>
      <w:numFmt w:val="decimal"/>
      <w:start w:val="1"/>
    </w:lvl>
  </w:abstractNum>
  <w:abstractNum w:abstractNumId="25">
    <w:nsid w:val="71F32454"/>
    <w:multiLevelType w:val="hybridMultilevel"/>
    <w:lvl w:ilvl="0">
      <w:lvlJc w:val="left"/>
      <w:lvlText w:val="%1."/>
      <w:numFmt w:val="decimal"/>
      <w:start w:val="1"/>
    </w:lvl>
    <w:lvl w:ilvl="1">
      <w:lvlJc w:val="left"/>
      <w:lvlText w:val="(%2)"/>
      <w:numFmt w:val="lowerLetter"/>
      <w:start w:val="1"/>
    </w:lvl>
  </w:abstractNum>
  <w:abstractNum w:abstractNumId="26">
    <w:nsid w:val="2CA88611"/>
    <w:multiLevelType w:val="hybridMultilevel"/>
    <w:lvl w:ilvl="0">
      <w:lvlJc w:val="left"/>
      <w:lvlText w:val="%1."/>
      <w:numFmt w:val="decimal"/>
      <w:start w:val="1"/>
    </w:lvl>
    <w:lvl w:ilvl="1">
      <w:lvlJc w:val="left"/>
      <w:lvlText w:val="(%2)"/>
      <w:numFmt w:val="lowerLetter"/>
      <w:start w:val="1"/>
    </w:lvl>
  </w:abstractNum>
  <w:abstractNum w:abstractNumId="27">
    <w:nsid w:val="836C40E"/>
    <w:multiLevelType w:val="hybridMultilevel"/>
    <w:lvl w:ilvl="0">
      <w:lvlJc w:val="left"/>
      <w:lvlText w:val="(%1)"/>
      <w:numFmt w:val="decimal"/>
      <w:start w:val="1"/>
    </w:lvl>
  </w:abstractNum>
  <w:abstractNum w:abstractNumId="28">
    <w:nsid w:val="2901D8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70" Type="http://schemas.openxmlformats.org/officeDocument/2006/relationships/image" Target="media/image59.png"/><Relationship Id="rId71" Type="http://schemas.openxmlformats.org/officeDocument/2006/relationships/image" Target="media/image60.png"/><Relationship Id="rId63" Type="http://schemas.openxmlformats.org/officeDocument/2006/relationships/hyperlink" Target="https://www.sec.gov/Archives/edgar/data/49754/000119312522231389/d356773dex31.htm" TargetMode="External"/><Relationship Id="rId64" Type="http://schemas.openxmlformats.org/officeDocument/2006/relationships/hyperlink" Target="https://www.sec.gov/Archives/edgar/data/49754/000119312519166102/d748415dex41.htm" TargetMode="External"/><Relationship Id="rId65" Type="http://schemas.openxmlformats.org/officeDocument/2006/relationships/hyperlink" Target="https://www.sec.gov/Archives/edgar/data/49754/000119312522220005/d376941dex42.htm" TargetMode="External"/><Relationship Id="rId66" Type="http://schemas.openxmlformats.org/officeDocument/2006/relationships/hyperlink" Target="https://www.sec.gov/Archives/edgar/data/49754/000119312522220005/d37694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2022-11-02T06:26:47Z</dcterms:created>
  <dcterms:modified xsi:type="dcterms:W3CDTF">2022-11-02T06:26:47Z</dcterms:modified>
</cp:coreProperties>
</file>