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jc w:val="center"/>
        <w:ind w:right="-19"/>
        <w:spacing w:after="0" w:line="237" w:lineRule="auto"/>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line="219" w:lineRule="auto"/>
        <w:rPr>
          <w:sz w:val="20"/>
          <w:szCs w:val="20"/>
          <w:color w:val="auto"/>
        </w:rPr>
      </w:pPr>
      <w:r>
        <w:rPr>
          <w:rFonts w:ascii="Arial" w:cs="Arial" w:eastAsia="Arial" w:hAnsi="Arial"/>
          <w:sz w:val="18"/>
          <w:szCs w:val="18"/>
          <w:b w:val="1"/>
          <w:bCs w:val="1"/>
          <w:color w:val="auto"/>
        </w:rPr>
        <w:t>Washington, D.C. 20549</w:t>
      </w:r>
    </w:p>
    <w:p>
      <w:pPr>
        <w:ind w:left="3360"/>
        <w:spacing w:after="0" w:line="227" w:lineRule="auto"/>
        <w:rPr>
          <w:sz w:val="20"/>
          <w:szCs w:val="20"/>
          <w:color w:val="auto"/>
        </w:rPr>
      </w:pPr>
      <w:r>
        <w:rPr>
          <w:rFonts w:ascii="Arial" w:cs="Arial" w:eastAsia="Arial" w:hAnsi="Arial"/>
          <w:sz w:val="18"/>
          <w:szCs w:val="18"/>
          <w:color w:val="auto"/>
        </w:rPr>
        <w:t>__________________________________________________</w:t>
      </w:r>
    </w:p>
    <w:p>
      <w:pPr>
        <w:jc w:val="center"/>
        <w:ind w:right="-19"/>
        <w:spacing w:after="0" w:line="224" w:lineRule="auto"/>
        <w:rPr>
          <w:sz w:val="20"/>
          <w:szCs w:val="20"/>
          <w:color w:val="auto"/>
        </w:rPr>
      </w:pPr>
      <w:r>
        <w:rPr>
          <w:rFonts w:ascii="Arial" w:cs="Arial" w:eastAsia="Arial" w:hAnsi="Arial"/>
          <w:sz w:val="32"/>
          <w:szCs w:val="32"/>
          <w:b w:val="1"/>
          <w:bCs w:val="1"/>
          <w:color w:val="auto"/>
        </w:rPr>
        <w:t>FORM 10-Q</w:t>
      </w:r>
    </w:p>
    <w:p>
      <w:pPr>
        <w:ind w:left="60"/>
        <w:spacing w:after="0" w:line="220" w:lineRule="auto"/>
        <w:rPr>
          <w:sz w:val="20"/>
          <w:szCs w:val="20"/>
          <w:color w:val="auto"/>
        </w:rPr>
      </w:pPr>
      <w:r>
        <w:rPr>
          <w:rFonts w:ascii="Arial" w:cs="Arial" w:eastAsia="Arial" w:hAnsi="Arial"/>
          <w:sz w:val="18"/>
          <w:szCs w:val="18"/>
          <w:b w:val="1"/>
          <w:bCs w:val="1"/>
          <w:color w:val="auto"/>
        </w:rPr>
        <w:t>(Mark One)</w:t>
      </w:r>
    </w:p>
    <w:p>
      <w:pPr>
        <w:spacing w:after="0" w:line="1" w:lineRule="exact"/>
        <w:rPr>
          <w:sz w:val="24"/>
          <w:szCs w:val="24"/>
          <w:color w:val="auto"/>
        </w:rPr>
      </w:pPr>
    </w:p>
    <w:p>
      <w:pPr>
        <w:ind w:right="340" w:firstLine="332"/>
        <w:spacing w:after="0" w:line="217" w:lineRule="auto"/>
        <w:tabs>
          <w:tab w:leader="none" w:pos="756"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jc w:val="center"/>
        <w:ind w:right="-59"/>
        <w:spacing w:after="0" w:line="220" w:lineRule="auto"/>
        <w:rPr>
          <w:sz w:val="20"/>
          <w:szCs w:val="20"/>
          <w:color w:val="auto"/>
        </w:rPr>
      </w:pPr>
      <w:r>
        <w:rPr>
          <w:rFonts w:ascii="Arial" w:cs="Arial" w:eastAsia="Arial" w:hAnsi="Arial"/>
          <w:sz w:val="18"/>
          <w:szCs w:val="18"/>
          <w:b w:val="1"/>
          <w:bCs w:val="1"/>
          <w:color w:val="auto"/>
        </w:rPr>
        <w:t>For the quarterly period ended June 30, 2020</w:t>
      </w:r>
    </w:p>
    <w:p>
      <w:pPr>
        <w:jc w:val="center"/>
        <w:ind w:right="-59"/>
        <w:spacing w:after="0" w:line="204" w:lineRule="auto"/>
        <w:rPr>
          <w:sz w:val="20"/>
          <w:szCs w:val="20"/>
          <w:color w:val="auto"/>
        </w:rPr>
      </w:pPr>
      <w:r>
        <w:rPr>
          <w:rFonts w:ascii="Arial" w:cs="Arial" w:eastAsia="Arial" w:hAnsi="Arial"/>
          <w:sz w:val="18"/>
          <w:szCs w:val="18"/>
          <w:b w:val="1"/>
          <w:bCs w:val="1"/>
          <w:color w:val="auto"/>
        </w:rPr>
        <w:t>OR</w:t>
      </w:r>
    </w:p>
    <w:p>
      <w:pPr>
        <w:ind w:left="720" w:hanging="388"/>
        <w:spacing w:after="0" w:line="222" w:lineRule="auto"/>
        <w:tabs>
          <w:tab w:leader="none" w:pos="72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w:t>
      </w:r>
    </w:p>
    <w:p>
      <w:pPr>
        <w:spacing w:after="0" w:line="1" w:lineRule="exact"/>
        <w:rPr>
          <w:rFonts w:ascii="MS PGothic" w:cs="MS PGothic" w:eastAsia="MS PGothic" w:hAnsi="MS PGothic"/>
          <w:sz w:val="21"/>
          <w:szCs w:val="21"/>
          <w:color w:val="auto"/>
        </w:rPr>
      </w:pPr>
    </w:p>
    <w:p>
      <w:pPr>
        <w:spacing w:after="0" w:line="209" w:lineRule="auto"/>
        <w:rPr>
          <w:rFonts w:ascii="MS PGothic" w:cs="MS PGothic" w:eastAsia="MS PGothic" w:hAnsi="MS PGothic"/>
          <w:sz w:val="21"/>
          <w:szCs w:val="21"/>
          <w:color w:val="auto"/>
        </w:rPr>
      </w:pPr>
      <w:r>
        <w:rPr>
          <w:rFonts w:ascii="Arial" w:cs="Arial" w:eastAsia="Arial" w:hAnsi="Arial"/>
          <w:sz w:val="22"/>
          <w:szCs w:val="22"/>
          <w:b w:val="1"/>
          <w:bCs w:val="1"/>
          <w:color w:val="auto"/>
        </w:rPr>
        <w:t>1934</w:t>
      </w:r>
    </w:p>
    <w:p>
      <w:pPr>
        <w:spacing w:after="0" w:line="1" w:lineRule="exact"/>
        <w:rPr>
          <w:sz w:val="24"/>
          <w:szCs w:val="24"/>
          <w:color w:val="auto"/>
        </w:rPr>
      </w:pPr>
    </w:p>
    <w:p>
      <w:pPr>
        <w:ind w:left="3640"/>
        <w:spacing w:after="0"/>
        <w:tabs>
          <w:tab w:leader="none" w:pos="67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2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001-15283</w:t>
      </w:r>
    </w:p>
    <w:p>
      <w:pPr>
        <w:jc w:val="center"/>
        <w:ind w:right="-39"/>
        <w:spacing w:after="0"/>
        <w:rPr>
          <w:sz w:val="20"/>
          <w:szCs w:val="20"/>
          <w:color w:val="auto"/>
        </w:rPr>
      </w:pPr>
      <w:r>
        <w:rPr>
          <w:sz w:val="1"/>
          <w:szCs w:val="1"/>
          <w:color w:val="auto"/>
        </w:rPr>
        <w:drawing>
          <wp:inline distT="0" distB="0" distL="0" distR="0">
            <wp:extent cx="1139825" cy="5429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39825" cy="542925"/>
                    </a:xfrm>
                    <a:prstGeom prst="rect">
                      <a:avLst/>
                    </a:prstGeom>
                    <a:noFill/>
                    <a:ln>
                      <a:noFill/>
                    </a:ln>
                  </pic:spPr>
                </pic:pic>
              </a:graphicData>
            </a:graphic>
          </wp:inline>
        </w:drawing>
      </w:r>
      <w:r>
        <w:rPr>
          <w:rFonts w:ascii="Arial" w:cs="Arial" w:eastAsia="Arial" w:hAnsi="Arial"/>
          <w:sz w:val="32"/>
          <w:szCs w:val="32"/>
          <w:b w:val="1"/>
          <w:bCs w:val="1"/>
          <w:color w:val="auto"/>
        </w:rPr>
        <w:t xml:space="preserve"> Dine Brands Global, Inc. </w:t>
      </w:r>
      <w:r>
        <w:rPr>
          <w:sz w:val="1"/>
          <w:szCs w:val="1"/>
          <w:color w:val="auto"/>
        </w:rPr>
        <w:drawing>
          <wp:inline distT="0" distB="0" distL="0" distR="0">
            <wp:extent cx="925830" cy="5486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25830" cy="548640"/>
                    </a:xfrm>
                    <a:prstGeom prst="rect">
                      <a:avLst/>
                    </a:prstGeom>
                    <a:noFill/>
                    <a:ln>
                      <a:noFill/>
                    </a:ln>
                  </pic:spPr>
                </pic:pic>
              </a:graphicData>
            </a:graphic>
          </wp:inline>
        </w:drawing>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1" w:lineRule="exact"/>
        <w:rPr>
          <w:sz w:val="24"/>
          <w:szCs w:val="24"/>
          <w:color w:val="auto"/>
        </w:rPr>
      </w:pPr>
    </w:p>
    <w:tbl>
      <w:tblPr>
        <w:tblLayout w:type="fixed"/>
        <w:tblInd w:w="1860" w:type="dxa"/>
        <w:tblCellMar>
          <w:top w:w="0" w:type="dxa"/>
          <w:left w:w="0" w:type="dxa"/>
          <w:bottom w:w="0" w:type="dxa"/>
          <w:right w:w="0" w:type="dxa"/>
        </w:tblCellMar>
      </w:tblPr>
      <w:tr>
        <w:trPr>
          <w:trHeight w:val="210"/>
        </w:trPr>
        <w:tc>
          <w:tcPr>
            <w:tcW w:w="4860" w:type="dxa"/>
            <w:vAlign w:val="bottom"/>
          </w:tcPr>
          <w:p>
            <w:pPr>
              <w:jc w:val="center"/>
              <w:ind w:right="919"/>
              <w:spacing w:after="0"/>
              <w:rPr>
                <w:sz w:val="20"/>
                <w:szCs w:val="20"/>
                <w:color w:val="auto"/>
              </w:rPr>
            </w:pPr>
            <w:r>
              <w:rPr>
                <w:rFonts w:ascii="Arial" w:cs="Arial" w:eastAsia="Arial" w:hAnsi="Arial"/>
                <w:sz w:val="16"/>
                <w:szCs w:val="16"/>
                <w:b w:val="1"/>
                <w:bCs w:val="1"/>
                <w:color w:val="auto"/>
                <w:w w:val="93"/>
              </w:rPr>
              <w:t>Delaware</w:t>
            </w:r>
          </w:p>
        </w:tc>
        <w:tc>
          <w:tcPr>
            <w:tcW w:w="2560" w:type="dxa"/>
            <w:vAlign w:val="bottom"/>
          </w:tcPr>
          <w:p>
            <w:pPr>
              <w:jc w:val="center"/>
              <w:ind w:left="139"/>
              <w:spacing w:after="0"/>
              <w:rPr>
                <w:sz w:val="20"/>
                <w:szCs w:val="20"/>
                <w:color w:val="auto"/>
              </w:rPr>
            </w:pPr>
            <w:r>
              <w:rPr>
                <w:rFonts w:ascii="Arial" w:cs="Arial" w:eastAsia="Arial" w:hAnsi="Arial"/>
                <w:sz w:val="16"/>
                <w:szCs w:val="16"/>
                <w:b w:val="1"/>
                <w:bCs w:val="1"/>
                <w:color w:val="auto"/>
                <w:w w:val="91"/>
              </w:rPr>
              <w:t>95-3038279</w:t>
            </w:r>
          </w:p>
        </w:tc>
      </w:tr>
      <w:tr>
        <w:trPr>
          <w:trHeight w:val="257"/>
        </w:trPr>
        <w:tc>
          <w:tcPr>
            <w:tcW w:w="4860" w:type="dxa"/>
            <w:vAlign w:val="bottom"/>
          </w:tcPr>
          <w:p>
            <w:pPr>
              <w:jc w:val="center"/>
              <w:ind w:right="919"/>
              <w:spacing w:after="0"/>
              <w:rPr>
                <w:sz w:val="20"/>
                <w:szCs w:val="20"/>
                <w:color w:val="auto"/>
              </w:rPr>
            </w:pPr>
            <w:r>
              <w:rPr>
                <w:rFonts w:ascii="Arial" w:cs="Arial" w:eastAsia="Arial" w:hAnsi="Arial"/>
                <w:sz w:val="16"/>
                <w:szCs w:val="16"/>
                <w:color w:val="auto"/>
                <w:w w:val="93"/>
              </w:rPr>
              <w:t>(State or other jurisdiction of incorporation or organization)</w:t>
            </w:r>
          </w:p>
        </w:tc>
        <w:tc>
          <w:tcPr>
            <w:tcW w:w="2560" w:type="dxa"/>
            <w:vAlign w:val="bottom"/>
          </w:tcPr>
          <w:p>
            <w:pPr>
              <w:jc w:val="center"/>
              <w:ind w:left="139"/>
              <w:spacing w:after="0"/>
              <w:rPr>
                <w:sz w:val="20"/>
                <w:szCs w:val="20"/>
                <w:color w:val="auto"/>
              </w:rPr>
            </w:pPr>
            <w:r>
              <w:rPr>
                <w:rFonts w:ascii="Arial" w:cs="Arial" w:eastAsia="Arial" w:hAnsi="Arial"/>
                <w:sz w:val="16"/>
                <w:szCs w:val="16"/>
                <w:color w:val="auto"/>
                <w:w w:val="94"/>
              </w:rPr>
              <w:t>(I.R.S. Employer Identification No.)</w:t>
            </w:r>
          </w:p>
        </w:tc>
      </w:tr>
      <w:tr>
        <w:trPr>
          <w:trHeight w:val="257"/>
        </w:trPr>
        <w:tc>
          <w:tcPr>
            <w:tcW w:w="4860" w:type="dxa"/>
            <w:vAlign w:val="bottom"/>
          </w:tcPr>
          <w:p>
            <w:pPr>
              <w:jc w:val="center"/>
              <w:ind w:right="919"/>
              <w:spacing w:after="0"/>
              <w:rPr>
                <w:sz w:val="20"/>
                <w:szCs w:val="20"/>
                <w:color w:val="auto"/>
              </w:rPr>
            </w:pPr>
            <w:r>
              <w:rPr>
                <w:rFonts w:ascii="Arial" w:cs="Arial" w:eastAsia="Arial" w:hAnsi="Arial"/>
                <w:sz w:val="16"/>
                <w:szCs w:val="16"/>
                <w:b w:val="1"/>
                <w:bCs w:val="1"/>
                <w:color w:val="auto"/>
                <w:w w:val="93"/>
              </w:rPr>
              <w:t>450 North Brand Boulevard,</w:t>
            </w:r>
          </w:p>
        </w:tc>
        <w:tc>
          <w:tcPr>
            <w:tcW w:w="2560" w:type="dxa"/>
            <w:vAlign w:val="bottom"/>
          </w:tcPr>
          <w:p>
            <w:pPr>
              <w:jc w:val="center"/>
              <w:ind w:left="139"/>
              <w:spacing w:after="0"/>
              <w:rPr>
                <w:sz w:val="20"/>
                <w:szCs w:val="20"/>
                <w:color w:val="auto"/>
              </w:rPr>
            </w:pPr>
            <w:r>
              <w:rPr>
                <w:rFonts w:ascii="Arial" w:cs="Arial" w:eastAsia="Arial" w:hAnsi="Arial"/>
                <w:sz w:val="16"/>
                <w:szCs w:val="16"/>
                <w:b w:val="1"/>
                <w:bCs w:val="1"/>
                <w:color w:val="auto"/>
                <w:w w:val="91"/>
              </w:rPr>
              <w:t>91203-1903</w:t>
            </w:r>
          </w:p>
        </w:tc>
      </w:tr>
      <w:tr>
        <w:trPr>
          <w:trHeight w:val="256"/>
        </w:trPr>
        <w:tc>
          <w:tcPr>
            <w:tcW w:w="4860" w:type="dxa"/>
            <w:vAlign w:val="bottom"/>
          </w:tcPr>
          <w:p>
            <w:pPr>
              <w:jc w:val="right"/>
              <w:ind w:right="2459"/>
              <w:spacing w:after="0"/>
              <w:rPr>
                <w:sz w:val="20"/>
                <w:szCs w:val="20"/>
                <w:color w:val="auto"/>
              </w:rPr>
            </w:pPr>
            <w:r>
              <w:rPr>
                <w:rFonts w:ascii="Arial" w:cs="Arial" w:eastAsia="Arial" w:hAnsi="Arial"/>
                <w:sz w:val="16"/>
                <w:szCs w:val="16"/>
                <w:b w:val="1"/>
                <w:bCs w:val="1"/>
                <w:color w:val="auto"/>
              </w:rPr>
              <w:t>Glendale, CA</w:t>
            </w:r>
          </w:p>
        </w:tc>
        <w:tc>
          <w:tcPr>
            <w:tcW w:w="2560" w:type="dxa"/>
            <w:vAlign w:val="bottom"/>
          </w:tcPr>
          <w:p>
            <w:pPr>
              <w:spacing w:after="0"/>
              <w:rPr>
                <w:sz w:val="22"/>
                <w:szCs w:val="22"/>
                <w:color w:val="auto"/>
              </w:rPr>
            </w:pPr>
          </w:p>
        </w:tc>
      </w:tr>
      <w:tr>
        <w:trPr>
          <w:trHeight w:val="256"/>
        </w:trPr>
        <w:tc>
          <w:tcPr>
            <w:tcW w:w="4860" w:type="dxa"/>
            <w:vAlign w:val="bottom"/>
          </w:tcPr>
          <w:p>
            <w:pPr>
              <w:jc w:val="center"/>
              <w:ind w:right="919"/>
              <w:spacing w:after="0"/>
              <w:rPr>
                <w:sz w:val="20"/>
                <w:szCs w:val="20"/>
                <w:color w:val="auto"/>
              </w:rPr>
            </w:pPr>
            <w:r>
              <w:rPr>
                <w:rFonts w:ascii="Arial" w:cs="Arial" w:eastAsia="Arial" w:hAnsi="Arial"/>
                <w:sz w:val="16"/>
                <w:szCs w:val="16"/>
                <w:color w:val="auto"/>
                <w:w w:val="94"/>
              </w:rPr>
              <w:t>(Address of principal executive offices)</w:t>
            </w:r>
          </w:p>
        </w:tc>
        <w:tc>
          <w:tcPr>
            <w:tcW w:w="2560" w:type="dxa"/>
            <w:vAlign w:val="bottom"/>
          </w:tcPr>
          <w:p>
            <w:pPr>
              <w:jc w:val="center"/>
              <w:ind w:left="139"/>
              <w:spacing w:after="0"/>
              <w:rPr>
                <w:sz w:val="20"/>
                <w:szCs w:val="20"/>
                <w:color w:val="auto"/>
              </w:rPr>
            </w:pPr>
            <w:r>
              <w:rPr>
                <w:rFonts w:ascii="Arial" w:cs="Arial" w:eastAsia="Arial" w:hAnsi="Arial"/>
                <w:sz w:val="16"/>
                <w:szCs w:val="16"/>
                <w:color w:val="auto"/>
                <w:w w:val="92"/>
              </w:rPr>
              <w:t>(Zip Code)</w:t>
            </w:r>
          </w:p>
        </w:tc>
      </w:tr>
      <w:tr>
        <w:trPr>
          <w:trHeight w:val="567"/>
        </w:trPr>
        <w:tc>
          <w:tcPr>
            <w:tcW w:w="4860" w:type="dxa"/>
            <w:vAlign w:val="bottom"/>
          </w:tcPr>
          <w:p>
            <w:pPr>
              <w:jc w:val="right"/>
              <w:ind w:right="139"/>
              <w:spacing w:after="0"/>
              <w:rPr>
                <w:sz w:val="20"/>
                <w:szCs w:val="20"/>
                <w:color w:val="auto"/>
              </w:rPr>
            </w:pPr>
            <w:r>
              <w:rPr>
                <w:rFonts w:ascii="Arial" w:cs="Arial" w:eastAsia="Arial" w:hAnsi="Arial"/>
                <w:sz w:val="16"/>
                <w:szCs w:val="16"/>
                <w:b w:val="1"/>
                <w:bCs w:val="1"/>
                <w:color w:val="auto"/>
              </w:rPr>
              <w:t>(818) 240-6055</w:t>
            </w:r>
          </w:p>
        </w:tc>
        <w:tc>
          <w:tcPr>
            <w:tcW w:w="2560" w:type="dxa"/>
            <w:vAlign w:val="bottom"/>
          </w:tcPr>
          <w:p>
            <w:pPr>
              <w:spacing w:after="0"/>
              <w:rPr>
                <w:sz w:val="24"/>
                <w:szCs w:val="24"/>
                <w:color w:val="auto"/>
              </w:rPr>
            </w:pPr>
          </w:p>
        </w:tc>
      </w:tr>
    </w:tbl>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131" w:lineRule="exact"/>
        <w:rPr>
          <w:sz w:val="24"/>
          <w:szCs w:val="24"/>
          <w:color w:val="auto"/>
        </w:rPr>
      </w:pPr>
    </w:p>
    <w:p>
      <w:pPr>
        <w:ind w:left="2860"/>
        <w:spacing w:after="0"/>
        <w:rPr>
          <w:sz w:val="20"/>
          <w:szCs w:val="20"/>
          <w:color w:val="auto"/>
        </w:rPr>
      </w:pPr>
      <w:r>
        <w:rPr>
          <w:rFonts w:ascii="Arial" w:cs="Arial" w:eastAsia="Arial" w:hAnsi="Arial"/>
          <w:sz w:val="18"/>
          <w:szCs w:val="18"/>
          <w:color w:val="auto"/>
        </w:rPr>
        <w:t>______________________________________________________________</w:t>
      </w:r>
    </w:p>
    <w:p>
      <w:pPr>
        <w:spacing w:after="0" w:line="212" w:lineRule="exact"/>
        <w:rPr>
          <w:sz w:val="24"/>
          <w:szCs w:val="24"/>
          <w:color w:val="auto"/>
        </w:rPr>
      </w:pPr>
    </w:p>
    <w:p>
      <w:pPr>
        <w:ind w:left="3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8" w:lineRule="exact"/>
        <w:rPr>
          <w:sz w:val="24"/>
          <w:szCs w:val="24"/>
          <w:color w:val="auto"/>
        </w:rPr>
      </w:pPr>
    </w:p>
    <w:tbl>
      <w:tblPr>
        <w:tblLayout w:type="fixed"/>
        <w:tblInd w:w="20" w:type="dxa"/>
        <w:tblCellMar>
          <w:top w:w="0" w:type="dxa"/>
          <w:left w:w="0" w:type="dxa"/>
          <w:bottom w:w="0" w:type="dxa"/>
          <w:right w:w="0" w:type="dxa"/>
        </w:tblCellMar>
      </w:tblPr>
      <w:tr>
        <w:trPr>
          <w:trHeight w:val="192"/>
        </w:trPr>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60" w:type="dxa"/>
            <w:vAlign w:val="bottom"/>
          </w:tcPr>
          <w:p>
            <w:pPr>
              <w:spacing w:after="0"/>
              <w:rPr>
                <w:sz w:val="16"/>
                <w:szCs w:val="16"/>
                <w:color w:val="auto"/>
              </w:rPr>
            </w:pPr>
          </w:p>
        </w:tc>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23"/>
        </w:trPr>
        <w:tc>
          <w:tcPr>
            <w:tcW w:w="4220" w:type="dxa"/>
            <w:vAlign w:val="bottom"/>
            <w:gridSpan w:val="2"/>
          </w:tcPr>
          <w:p>
            <w:pPr>
              <w:jc w:val="center"/>
              <w:ind w:right="160"/>
              <w:spacing w:after="0"/>
              <w:rPr>
                <w:sz w:val="20"/>
                <w:szCs w:val="20"/>
                <w:color w:val="auto"/>
              </w:rPr>
            </w:pPr>
            <w:r>
              <w:rPr>
                <w:rFonts w:ascii="Arial" w:cs="Arial" w:eastAsia="Arial" w:hAnsi="Arial"/>
                <w:sz w:val="16"/>
                <w:szCs w:val="16"/>
                <w:color w:val="auto"/>
                <w:w w:val="91"/>
              </w:rPr>
              <w:t>Common Stock, $0.01 par value</w:t>
            </w:r>
          </w:p>
        </w:tc>
        <w:tc>
          <w:tcPr>
            <w:tcW w:w="2780" w:type="dxa"/>
            <w:vAlign w:val="bottom"/>
          </w:tcPr>
          <w:p>
            <w:pPr>
              <w:jc w:val="center"/>
              <w:spacing w:after="0"/>
              <w:rPr>
                <w:sz w:val="20"/>
                <w:szCs w:val="20"/>
                <w:color w:val="auto"/>
              </w:rPr>
            </w:pPr>
            <w:r>
              <w:rPr>
                <w:rFonts w:ascii="Arial" w:cs="Arial" w:eastAsia="Arial" w:hAnsi="Arial"/>
                <w:sz w:val="16"/>
                <w:szCs w:val="16"/>
                <w:color w:val="auto"/>
              </w:rPr>
              <w:t>DIN</w:t>
            </w:r>
          </w:p>
        </w:tc>
        <w:tc>
          <w:tcPr>
            <w:tcW w:w="4200" w:type="dxa"/>
            <w:vAlign w:val="bottom"/>
          </w:tcPr>
          <w:p>
            <w:pPr>
              <w:jc w:val="center"/>
              <w:spacing w:after="0"/>
              <w:rPr>
                <w:sz w:val="20"/>
                <w:szCs w:val="20"/>
                <w:color w:val="auto"/>
              </w:rPr>
            </w:pPr>
            <w:r>
              <w:rPr>
                <w:rFonts w:ascii="Arial" w:cs="Arial" w:eastAsia="Arial" w:hAnsi="Arial"/>
                <w:sz w:val="16"/>
                <w:szCs w:val="16"/>
                <w:color w:val="auto"/>
                <w:w w:val="92"/>
              </w:rPr>
              <w:t>New York Stock Exchange</w:t>
            </w:r>
          </w:p>
        </w:tc>
      </w:tr>
    </w:tbl>
    <w:p>
      <w:pPr>
        <w:spacing w:after="0" w:line="285" w:lineRule="exact"/>
        <w:rPr>
          <w:sz w:val="24"/>
          <w:szCs w:val="24"/>
          <w:color w:val="auto"/>
        </w:rPr>
      </w:pPr>
    </w:p>
    <w:p>
      <w:pPr>
        <w:jc w:val="center"/>
        <w:ind w:right="6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w:t>
      </w:r>
    </w:p>
    <w:p>
      <w:pPr>
        <w:ind w:right="60"/>
        <w:spacing w:after="0" w:line="205"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8" w:lineRule="exact"/>
        <w:rPr>
          <w:sz w:val="24"/>
          <w:szCs w:val="24"/>
          <w:color w:val="auto"/>
        </w:rPr>
      </w:pPr>
    </w:p>
    <w:p>
      <w:pPr>
        <w:ind w:right="180" w:firstLine="369"/>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right="100" w:firstLine="369"/>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180" w:type="dxa"/>
        <w:tblCellMar>
          <w:top w:w="0" w:type="dxa"/>
          <w:left w:w="0" w:type="dxa"/>
          <w:bottom w:w="0" w:type="dxa"/>
          <w:right w:w="0" w:type="dxa"/>
        </w:tblCellMar>
      </w:tblPr>
      <w:tr>
        <w:trPr>
          <w:trHeight w:val="257"/>
        </w:trPr>
        <w:tc>
          <w:tcPr>
            <w:tcW w:w="20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162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83"/>
        </w:trPr>
        <w:tc>
          <w:tcPr>
            <w:tcW w:w="2040" w:type="dxa"/>
            <w:vAlign w:val="bottom"/>
          </w:tcPr>
          <w:p>
            <w:pPr>
              <w:spacing w:after="0"/>
              <w:rPr>
                <w:sz w:val="20"/>
                <w:szCs w:val="20"/>
                <w:color w:val="auto"/>
              </w:rPr>
            </w:pPr>
            <w:r>
              <w:rPr>
                <w:rFonts w:ascii="Arial" w:cs="Arial" w:eastAsia="Arial" w:hAnsi="Arial"/>
                <w:sz w:val="18"/>
                <w:szCs w:val="18"/>
                <w:color w:val="auto"/>
              </w:rPr>
              <w:t>Non-accelerated filer</w:t>
            </w:r>
          </w:p>
        </w:tc>
        <w:tc>
          <w:tcPr>
            <w:tcW w:w="21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spacing w:after="0"/>
              <w:rPr>
                <w:sz w:val="24"/>
                <w:szCs w:val="24"/>
                <w:color w:val="auto"/>
              </w:rPr>
            </w:pPr>
          </w:p>
        </w:tc>
        <w:tc>
          <w:tcPr>
            <w:tcW w:w="580" w:type="dxa"/>
            <w:vAlign w:val="bottom"/>
            <w:vMerge w:val="restart"/>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57"/>
        </w:trPr>
        <w:tc>
          <w:tcPr>
            <w:tcW w:w="204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4000" w:type="dxa"/>
            <w:vAlign w:val="bottom"/>
          </w:tcPr>
          <w:p>
            <w:pPr>
              <w:ind w:left="1620"/>
              <w:spacing w:after="0"/>
              <w:rPr>
                <w:sz w:val="20"/>
                <w:szCs w:val="20"/>
                <w:color w:val="auto"/>
              </w:rPr>
            </w:pPr>
            <w:r>
              <w:rPr>
                <w:rFonts w:ascii="Arial" w:cs="Arial" w:eastAsia="Arial" w:hAnsi="Arial"/>
                <w:sz w:val="18"/>
                <w:szCs w:val="18"/>
                <w:color w:val="auto"/>
              </w:rPr>
              <w:t>Smaller reporting company</w:t>
            </w:r>
          </w:p>
        </w:tc>
        <w:tc>
          <w:tcPr>
            <w:tcW w:w="5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20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000" w:type="dxa"/>
            <w:vAlign w:val="bottom"/>
          </w:tcPr>
          <w:p>
            <w:pPr>
              <w:ind w:left="1620"/>
              <w:spacing w:after="0"/>
              <w:rPr>
                <w:sz w:val="20"/>
                <w:szCs w:val="20"/>
                <w:color w:val="auto"/>
              </w:rPr>
            </w:pPr>
            <w:r>
              <w:rPr>
                <w:rFonts w:ascii="Arial" w:cs="Arial" w:eastAsia="Arial" w:hAnsi="Arial"/>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74" w:lineRule="exact"/>
        <w:rPr>
          <w:sz w:val="24"/>
          <w:szCs w:val="24"/>
          <w:color w:val="auto"/>
        </w:rPr>
      </w:pPr>
    </w:p>
    <w:p>
      <w:pPr>
        <w:ind w:right="180" w:firstLine="324"/>
        <w:spacing w:after="0" w:line="21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0" w:lineRule="exact"/>
        <w:rPr>
          <w:sz w:val="24"/>
          <w:szCs w:val="24"/>
          <w:color w:val="auto"/>
        </w:rPr>
      </w:pPr>
    </w:p>
    <w:p>
      <w:pPr>
        <w:ind w:left="420" w:right="2220" w:hanging="89"/>
        <w:spacing w:after="0" w:line="229"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2"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July 22, 2020, the Registrant had 16,419,070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528955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4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9"/>
        </w:trPr>
        <w:tc>
          <w:tcPr>
            <w:tcW w:w="860" w:type="dxa"/>
            <w:vAlign w:val="bottom"/>
          </w:tcPr>
          <w:p>
            <w:pPr>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PART I.</w:t>
              </w:r>
            </w:hyperlink>
          </w:p>
        </w:tc>
        <w:tc>
          <w:tcPr>
            <w:tcW w:w="9800" w:type="dxa"/>
            <w:vAlign w:val="bottom"/>
            <w:gridSpan w:val="9"/>
          </w:tcPr>
          <w:p>
            <w:pPr>
              <w:ind w:left="18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FINANCIAL INFORMATION</w:t>
              </w:r>
            </w:hyperlink>
          </w:p>
        </w:tc>
        <w:tc>
          <w:tcPr>
            <w:tcW w:w="52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3</w:t>
              </w:r>
            </w:hyperlink>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9800" w:type="dxa"/>
            <w:vAlign w:val="bottom"/>
            <w:gridSpan w:val="9"/>
          </w:tcPr>
          <w:p>
            <w:pPr>
              <w:ind w:left="18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Item 1—Financial Statements</w:t>
              </w:r>
            </w:hyperlink>
          </w:p>
        </w:tc>
        <w:tc>
          <w:tcPr>
            <w:tcW w:w="52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3</w:t>
              </w:r>
            </w:hyperlink>
          </w:p>
        </w:tc>
        <w:tc>
          <w:tcPr>
            <w:tcW w:w="0" w:type="dxa"/>
            <w:vAlign w:val="bottom"/>
          </w:tcPr>
          <w:p>
            <w:pPr>
              <w:spacing w:after="0"/>
              <w:rPr>
                <w:sz w:val="1"/>
                <w:szCs w:val="1"/>
                <w:color w:val="auto"/>
              </w:rPr>
            </w:pPr>
          </w:p>
        </w:tc>
      </w:tr>
      <w:tr>
        <w:trPr>
          <w:trHeight w:val="190"/>
        </w:trPr>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60" w:type="dxa"/>
            <w:vAlign w:val="bottom"/>
            <w:gridSpan w:val="8"/>
          </w:tcPr>
          <w:p>
            <w:pPr>
              <w:spacing w:after="0" w:line="190" w:lineRule="exact"/>
              <w:rPr>
                <w:rFonts w:ascii="Arial" w:cs="Arial" w:eastAsia="Arial" w:hAnsi="Arial"/>
                <w:sz w:val="18"/>
                <w:szCs w:val="18"/>
                <w:color w:val="0000FF"/>
              </w:rPr>
            </w:pPr>
            <w:hyperlink w:anchor="page4">
              <w:r>
                <w:rPr>
                  <w:rFonts w:ascii="Arial" w:cs="Arial" w:eastAsia="Arial" w:hAnsi="Arial"/>
                  <w:sz w:val="18"/>
                  <w:szCs w:val="18"/>
                  <w:color w:val="0000FF"/>
                </w:rPr>
                <w:t xml:space="preserve">Consolidated Balance Sheets - June </w:t>
              </w:r>
            </w:hyperlink>
            <w:r>
              <w:rPr>
                <w:rFonts w:ascii="Arial" w:cs="Arial" w:eastAsia="Arial" w:hAnsi="Arial"/>
                <w:sz w:val="18"/>
                <w:szCs w:val="18"/>
                <w:color w:val="0000FF"/>
              </w:rPr>
              <w:t>30</w:t>
            </w:r>
            <w:hyperlink w:anchor="page4">
              <w:r>
                <w:rPr>
                  <w:rFonts w:ascii="Arial" w:cs="Arial" w:eastAsia="Arial" w:hAnsi="Arial"/>
                  <w:sz w:val="18"/>
                  <w:szCs w:val="18"/>
                  <w:color w:val="0000FF"/>
                </w:rPr>
                <w:t xml:space="preserve">, </w:t>
              </w:r>
              <w:r>
                <w:rPr>
                  <w:rFonts w:ascii="Arial" w:cs="Arial" w:eastAsia="Arial" w:hAnsi="Arial"/>
                  <w:sz w:val="18"/>
                  <w:szCs w:val="18"/>
                  <w:u w:val="single" w:color="auto"/>
                  <w:color w:val="0000FF"/>
                </w:rPr>
                <w:t>2020 (unaudited) and December 31, 2019</w:t>
              </w:r>
            </w:hyperlink>
          </w:p>
        </w:tc>
        <w:tc>
          <w:tcPr>
            <w:tcW w:w="520" w:type="dxa"/>
            <w:vAlign w:val="bottom"/>
          </w:tcPr>
          <w:p>
            <w:pPr>
              <w:jc w:val="right"/>
              <w:spacing w:after="0" w:line="190" w:lineRule="exact"/>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3</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60" w:type="dxa"/>
            <w:vAlign w:val="bottom"/>
            <w:gridSpan w:val="8"/>
          </w:tcPr>
          <w:p>
            <w:pPr>
              <w:spacing w:after="0"/>
              <w:rPr>
                <w:rFonts w:ascii="Arial" w:cs="Arial" w:eastAsia="Arial" w:hAnsi="Arial"/>
                <w:sz w:val="18"/>
                <w:szCs w:val="18"/>
                <w:color w:val="0000FF"/>
                <w:w w:val="92"/>
              </w:rPr>
            </w:pPr>
            <w:hyperlink w:anchor="page5">
              <w:r>
                <w:rPr>
                  <w:rFonts w:ascii="Arial" w:cs="Arial" w:eastAsia="Arial" w:hAnsi="Arial"/>
                  <w:sz w:val="18"/>
                  <w:szCs w:val="18"/>
                  <w:u w:val="single" w:color="auto"/>
                  <w:color w:val="0000FF"/>
                  <w:w w:val="92"/>
                </w:rPr>
                <w:t>Consolidated Statements of Comprehensive (Loss) Income (unaudited) - Three</w:t>
              </w:r>
              <w:r>
                <w:rPr>
                  <w:rFonts w:ascii="Arial" w:cs="Arial" w:eastAsia="Arial" w:hAnsi="Arial"/>
                  <w:sz w:val="18"/>
                  <w:szCs w:val="18"/>
                  <w:color w:val="0000FF"/>
                  <w:w w:val="92"/>
                </w:rPr>
                <w:t xml:space="preserve"> and Six Months Ended June </w:t>
              </w:r>
            </w:hyperlink>
            <w:r>
              <w:rPr>
                <w:rFonts w:ascii="Arial" w:cs="Arial" w:eastAsia="Arial" w:hAnsi="Arial"/>
                <w:sz w:val="18"/>
                <w:szCs w:val="18"/>
                <w:color w:val="0000FF"/>
                <w:w w:val="92"/>
              </w:rPr>
              <w:t>30</w:t>
            </w:r>
            <w:hyperlink w:anchor="page5">
              <w:r>
                <w:rPr>
                  <w:rFonts w:ascii="Arial" w:cs="Arial" w:eastAsia="Arial" w:hAnsi="Arial"/>
                  <w:sz w:val="18"/>
                  <w:szCs w:val="18"/>
                  <w:color w:val="0000FF"/>
                  <w:w w:val="92"/>
                </w:rPr>
                <w:t xml:space="preserve">, </w:t>
              </w:r>
              <w:r>
                <w:rPr>
                  <w:rFonts w:ascii="Arial" w:cs="Arial" w:eastAsia="Arial" w:hAnsi="Arial"/>
                  <w:sz w:val="18"/>
                  <w:szCs w:val="18"/>
                  <w:u w:val="single" w:color="auto"/>
                  <w:color w:val="0000FF"/>
                  <w:w w:val="92"/>
                </w:rPr>
                <w:t>2020 and 2019</w:t>
              </w:r>
            </w:hyperlink>
          </w:p>
        </w:tc>
        <w:tc>
          <w:tcPr>
            <w:tcW w:w="52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4</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60" w:type="dxa"/>
            <w:vAlign w:val="bottom"/>
            <w:gridSpan w:val="8"/>
          </w:tcPr>
          <w:p>
            <w:pPr>
              <w:spacing w:after="0"/>
              <w:rPr>
                <w:rFonts w:ascii="Arial" w:cs="Arial" w:eastAsia="Arial" w:hAnsi="Arial"/>
                <w:sz w:val="18"/>
                <w:szCs w:val="18"/>
                <w:color w:val="0000FF"/>
              </w:rPr>
            </w:pPr>
            <w:hyperlink w:anchor="page6">
              <w:r>
                <w:rPr>
                  <w:rFonts w:ascii="Arial" w:cs="Arial" w:eastAsia="Arial" w:hAnsi="Arial"/>
                  <w:sz w:val="18"/>
                  <w:szCs w:val="18"/>
                  <w:u w:val="single" w:color="auto"/>
                  <w:color w:val="0000FF"/>
                </w:rPr>
                <w:t>Consolidated Statements of Stockholders' Deficit (unaudited) - Three</w:t>
              </w:r>
              <w:r>
                <w:rPr>
                  <w:rFonts w:ascii="Arial" w:cs="Arial" w:eastAsia="Arial" w:hAnsi="Arial"/>
                  <w:sz w:val="18"/>
                  <w:szCs w:val="18"/>
                  <w:color w:val="0000FF"/>
                </w:rPr>
                <w:t xml:space="preserve"> and Six Months Ended June </w:t>
              </w:r>
            </w:hyperlink>
            <w:r>
              <w:rPr>
                <w:rFonts w:ascii="Arial" w:cs="Arial" w:eastAsia="Arial" w:hAnsi="Arial"/>
                <w:sz w:val="18"/>
                <w:szCs w:val="18"/>
                <w:color w:val="0000FF"/>
              </w:rPr>
              <w:t>30</w:t>
            </w:r>
            <w:hyperlink w:anchor="page6">
              <w:r>
                <w:rPr>
                  <w:rFonts w:ascii="Arial" w:cs="Arial" w:eastAsia="Arial" w:hAnsi="Arial"/>
                  <w:sz w:val="18"/>
                  <w:szCs w:val="18"/>
                  <w:color w:val="0000FF"/>
                </w:rPr>
                <w:t xml:space="preserve">, </w:t>
              </w:r>
              <w:r>
                <w:rPr>
                  <w:rFonts w:ascii="Arial" w:cs="Arial" w:eastAsia="Arial" w:hAnsi="Arial"/>
                  <w:sz w:val="18"/>
                  <w:szCs w:val="18"/>
                  <w:u w:val="single" w:color="auto"/>
                  <w:color w:val="0000FF"/>
                </w:rPr>
                <w:t>2020 and 2019</w:t>
              </w:r>
            </w:hyperlink>
          </w:p>
        </w:tc>
        <w:tc>
          <w:tcPr>
            <w:tcW w:w="520" w:type="dxa"/>
            <w:vAlign w:val="bottom"/>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5</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60" w:type="dxa"/>
            <w:vAlign w:val="bottom"/>
            <w:gridSpan w:val="8"/>
          </w:tcPr>
          <w:p>
            <w:pPr>
              <w:spacing w:after="0"/>
              <w:rPr>
                <w:rFonts w:ascii="Arial" w:cs="Arial" w:eastAsia="Arial" w:hAnsi="Arial"/>
                <w:sz w:val="18"/>
                <w:szCs w:val="18"/>
                <w:color w:val="0000FF"/>
              </w:rPr>
            </w:pPr>
            <w:hyperlink w:anchor="page9">
              <w:r>
                <w:rPr>
                  <w:rFonts w:ascii="Arial" w:cs="Arial" w:eastAsia="Arial" w:hAnsi="Arial"/>
                  <w:sz w:val="18"/>
                  <w:szCs w:val="18"/>
                  <w:u w:val="single" w:color="auto"/>
                  <w:color w:val="0000FF"/>
                </w:rPr>
                <w:t>Consolidated Statements of Cash Flows (unaudited) -</w:t>
              </w:r>
              <w:r>
                <w:rPr>
                  <w:rFonts w:ascii="Arial" w:cs="Arial" w:eastAsia="Arial" w:hAnsi="Arial"/>
                  <w:sz w:val="18"/>
                  <w:szCs w:val="18"/>
                  <w:color w:val="0000FF"/>
                </w:rPr>
                <w:t xml:space="preserve"> Six Months Ended June </w:t>
              </w:r>
            </w:hyperlink>
            <w:r>
              <w:rPr>
                <w:rFonts w:ascii="Arial" w:cs="Arial" w:eastAsia="Arial" w:hAnsi="Arial"/>
                <w:sz w:val="18"/>
                <w:szCs w:val="18"/>
                <w:color w:val="0000FF"/>
              </w:rPr>
              <w:t>30</w:t>
            </w:r>
            <w:hyperlink w:anchor="page9">
              <w:r>
                <w:rPr>
                  <w:rFonts w:ascii="Arial" w:cs="Arial" w:eastAsia="Arial" w:hAnsi="Arial"/>
                  <w:sz w:val="18"/>
                  <w:szCs w:val="18"/>
                  <w:color w:val="0000FF"/>
                </w:rPr>
                <w:t xml:space="preserve">, </w:t>
              </w:r>
              <w:r>
                <w:rPr>
                  <w:rFonts w:ascii="Arial" w:cs="Arial" w:eastAsia="Arial" w:hAnsi="Arial"/>
                  <w:sz w:val="18"/>
                  <w:szCs w:val="18"/>
                  <w:u w:val="single" w:color="auto"/>
                  <w:color w:val="0000FF"/>
                </w:rPr>
                <w:t>2020 and 2019</w:t>
              </w:r>
            </w:hyperlink>
          </w:p>
        </w:tc>
        <w:tc>
          <w:tcPr>
            <w:tcW w:w="520" w:type="dxa"/>
            <w:vAlign w:val="bottom"/>
          </w:tcPr>
          <w:p>
            <w:pPr>
              <w:jc w:val="right"/>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7</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36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60" w:type="dxa"/>
            <w:vAlign w:val="bottom"/>
            <w:gridSpan w:val="8"/>
          </w:tcPr>
          <w:p>
            <w:pPr>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Notes to Consolidated Financial Statements (unaudited)</w:t>
              </w:r>
            </w:hyperlink>
          </w:p>
        </w:tc>
        <w:tc>
          <w:tcPr>
            <w:tcW w:w="520" w:type="dxa"/>
            <w:vAlign w:val="bottom"/>
          </w:tcPr>
          <w:p>
            <w:pPr>
              <w:jc w:val="right"/>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8</w:t>
              </w:r>
            </w:hyperlink>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9800" w:type="dxa"/>
            <w:vAlign w:val="bottom"/>
            <w:gridSpan w:val="9"/>
          </w:tcPr>
          <w:p>
            <w:pPr>
              <w:ind w:left="180"/>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Item 2—Management’s Discussion and Analysis of Financial Condition and Results of Operations</w:t>
              </w:r>
            </w:hyperlink>
          </w:p>
        </w:tc>
        <w:tc>
          <w:tcPr>
            <w:tcW w:w="520" w:type="dxa"/>
            <w:vAlign w:val="bottom"/>
          </w:tcPr>
          <w:p>
            <w:pPr>
              <w:jc w:val="right"/>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29</w:t>
              </w:r>
            </w:hyperlink>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9800" w:type="dxa"/>
            <w:vAlign w:val="bottom"/>
            <w:gridSpan w:val="9"/>
          </w:tcPr>
          <w:p>
            <w:pPr>
              <w:ind w:left="18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Item 3—Quantitative and Qualitative Disclosures about Market Risk</w:t>
              </w:r>
            </w:hyperlink>
          </w:p>
        </w:tc>
        <w:tc>
          <w:tcPr>
            <w:tcW w:w="520" w:type="dxa"/>
            <w:vAlign w:val="bottom"/>
          </w:tcPr>
          <w:p>
            <w:pPr>
              <w:jc w:val="right"/>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51</w:t>
              </w:r>
            </w:hyperlink>
          </w:p>
        </w:tc>
        <w:tc>
          <w:tcPr>
            <w:tcW w:w="0" w:type="dxa"/>
            <w:vAlign w:val="bottom"/>
          </w:tcPr>
          <w:p>
            <w:pPr>
              <w:spacing w:after="0"/>
              <w:rPr>
                <w:sz w:val="1"/>
                <w:szCs w:val="1"/>
                <w:color w:val="auto"/>
              </w:rPr>
            </w:pPr>
          </w:p>
        </w:tc>
      </w:tr>
      <w:tr>
        <w:trPr>
          <w:trHeight w:val="229"/>
        </w:trPr>
        <w:tc>
          <w:tcPr>
            <w:tcW w:w="860" w:type="dxa"/>
            <w:vAlign w:val="bottom"/>
            <w:vMerge w:val="restart"/>
          </w:tcPr>
          <w:p>
            <w:pPr>
              <w:spacing w:after="0"/>
              <w:rPr>
                <w:rFonts w:ascii="Arial" w:cs="Arial" w:eastAsia="Arial" w:hAnsi="Arial"/>
                <w:sz w:val="18"/>
                <w:szCs w:val="18"/>
                <w:b w:val="1"/>
                <w:bCs w:val="1"/>
                <w:u w:val="single" w:color="auto"/>
                <w:color w:val="0000FF"/>
              </w:rPr>
            </w:pPr>
            <w:hyperlink w:anchor="page54">
              <w:r>
                <w:rPr>
                  <w:rFonts w:ascii="Arial" w:cs="Arial" w:eastAsia="Arial" w:hAnsi="Arial"/>
                  <w:sz w:val="18"/>
                  <w:szCs w:val="18"/>
                  <w:b w:val="1"/>
                  <w:bCs w:val="1"/>
                  <w:u w:val="single" w:color="auto"/>
                  <w:color w:val="0000FF"/>
                </w:rPr>
                <w:t>PART II.</w:t>
              </w:r>
            </w:hyperlink>
          </w:p>
        </w:tc>
        <w:tc>
          <w:tcPr>
            <w:tcW w:w="9800" w:type="dxa"/>
            <w:vAlign w:val="bottom"/>
            <w:gridSpan w:val="9"/>
          </w:tcPr>
          <w:p>
            <w:pPr>
              <w:ind w:left="18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Item 4—Controls and Procedures</w:t>
              </w:r>
            </w:hyperlink>
          </w:p>
        </w:tc>
        <w:tc>
          <w:tcPr>
            <w:tcW w:w="520" w:type="dxa"/>
            <w:vAlign w:val="bottom"/>
          </w:tcPr>
          <w:p>
            <w:pPr>
              <w:jc w:val="right"/>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51</w:t>
              </w:r>
            </w:hyperlink>
          </w:p>
        </w:tc>
        <w:tc>
          <w:tcPr>
            <w:tcW w:w="0" w:type="dxa"/>
            <w:vAlign w:val="bottom"/>
          </w:tcPr>
          <w:p>
            <w:pPr>
              <w:spacing w:after="0"/>
              <w:rPr>
                <w:sz w:val="1"/>
                <w:szCs w:val="1"/>
                <w:color w:val="auto"/>
              </w:rPr>
            </w:pPr>
          </w:p>
        </w:tc>
      </w:tr>
      <w:tr>
        <w:trPr>
          <w:trHeight w:val="230"/>
        </w:trPr>
        <w:tc>
          <w:tcPr>
            <w:tcW w:w="860" w:type="dxa"/>
            <w:vAlign w:val="bottom"/>
            <w:vMerge w:val="continue"/>
          </w:tcPr>
          <w:p>
            <w:pPr>
              <w:spacing w:after="0"/>
              <w:rPr>
                <w:sz w:val="19"/>
                <w:szCs w:val="19"/>
                <w:color w:val="auto"/>
              </w:rPr>
            </w:pPr>
          </w:p>
        </w:tc>
        <w:tc>
          <w:tcPr>
            <w:tcW w:w="9800" w:type="dxa"/>
            <w:vAlign w:val="bottom"/>
            <w:gridSpan w:val="9"/>
          </w:tcPr>
          <w:p>
            <w:pPr>
              <w:ind w:left="18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OTHER INFORMATION</w:t>
              </w:r>
            </w:hyperlink>
          </w:p>
        </w:tc>
        <w:tc>
          <w:tcPr>
            <w:tcW w:w="520" w:type="dxa"/>
            <w:vAlign w:val="bottom"/>
          </w:tcPr>
          <w:p>
            <w:pPr>
              <w:jc w:val="right"/>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52</w:t>
              </w:r>
            </w:hyperlink>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9800" w:type="dxa"/>
            <w:vAlign w:val="bottom"/>
            <w:gridSpan w:val="9"/>
          </w:tcPr>
          <w:p>
            <w:pPr>
              <w:ind w:left="180"/>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Item 1—Legal Proceedings</w:t>
              </w:r>
            </w:hyperlink>
          </w:p>
        </w:tc>
        <w:tc>
          <w:tcPr>
            <w:tcW w:w="520" w:type="dxa"/>
            <w:vAlign w:val="bottom"/>
          </w:tcPr>
          <w:p>
            <w:pPr>
              <w:jc w:val="right"/>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52</w:t>
              </w:r>
            </w:hyperlink>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9800" w:type="dxa"/>
            <w:vAlign w:val="bottom"/>
            <w:gridSpan w:val="9"/>
          </w:tcPr>
          <w:p>
            <w:pPr>
              <w:ind w:left="180"/>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Item 1A—Risk Factors</w:t>
              </w:r>
            </w:hyperlink>
          </w:p>
        </w:tc>
        <w:tc>
          <w:tcPr>
            <w:tcW w:w="520" w:type="dxa"/>
            <w:vAlign w:val="bottom"/>
          </w:tcPr>
          <w:p>
            <w:pPr>
              <w:jc w:val="right"/>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52</w:t>
              </w:r>
            </w:hyperlink>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9800" w:type="dxa"/>
            <w:vAlign w:val="bottom"/>
            <w:gridSpan w:val="9"/>
          </w:tcPr>
          <w:p>
            <w:pPr>
              <w:ind w:left="180"/>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Item 2—Unregistered Sales of Equity Securities and Use of Proceeds</w:t>
              </w:r>
            </w:hyperlink>
          </w:p>
        </w:tc>
        <w:tc>
          <w:tcPr>
            <w:tcW w:w="520" w:type="dxa"/>
            <w:vAlign w:val="bottom"/>
          </w:tcPr>
          <w:p>
            <w:pPr>
              <w:jc w:val="right"/>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52</w:t>
              </w:r>
            </w:hyperlink>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9800" w:type="dxa"/>
            <w:vAlign w:val="bottom"/>
            <w:gridSpan w:val="9"/>
          </w:tcPr>
          <w:p>
            <w:pPr>
              <w:ind w:left="180"/>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Item 3—Defaults Upon Senior Securities</w:t>
              </w:r>
            </w:hyperlink>
          </w:p>
        </w:tc>
        <w:tc>
          <w:tcPr>
            <w:tcW w:w="520" w:type="dxa"/>
            <w:vAlign w:val="bottom"/>
          </w:tcPr>
          <w:p>
            <w:pPr>
              <w:jc w:val="right"/>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52</w:t>
              </w:r>
            </w:hyperlink>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9800" w:type="dxa"/>
            <w:vAlign w:val="bottom"/>
            <w:gridSpan w:val="9"/>
          </w:tcPr>
          <w:p>
            <w:pPr>
              <w:ind w:left="180"/>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Item 4—Mine Safety Disclosures</w:t>
              </w:r>
            </w:hyperlink>
          </w:p>
        </w:tc>
        <w:tc>
          <w:tcPr>
            <w:tcW w:w="520" w:type="dxa"/>
            <w:vAlign w:val="bottom"/>
          </w:tcPr>
          <w:p>
            <w:pPr>
              <w:jc w:val="right"/>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52</w:t>
              </w:r>
            </w:hyperlink>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9800" w:type="dxa"/>
            <w:vAlign w:val="bottom"/>
            <w:gridSpan w:val="9"/>
          </w:tcPr>
          <w:p>
            <w:pPr>
              <w:ind w:left="180"/>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Item 5—Other Information</w:t>
              </w:r>
            </w:hyperlink>
          </w:p>
        </w:tc>
        <w:tc>
          <w:tcPr>
            <w:tcW w:w="520" w:type="dxa"/>
            <w:vAlign w:val="bottom"/>
          </w:tcPr>
          <w:p>
            <w:pPr>
              <w:jc w:val="right"/>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52</w:t>
              </w:r>
            </w:hyperlink>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9800" w:type="dxa"/>
            <w:vAlign w:val="bottom"/>
            <w:gridSpan w:val="9"/>
          </w:tcPr>
          <w:p>
            <w:pPr>
              <w:ind w:left="180"/>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Item 6—Exhibits</w:t>
              </w:r>
            </w:hyperlink>
          </w:p>
        </w:tc>
        <w:tc>
          <w:tcPr>
            <w:tcW w:w="520" w:type="dxa"/>
            <w:vAlign w:val="bottom"/>
          </w:tcPr>
          <w:p>
            <w:pPr>
              <w:jc w:val="right"/>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53</w:t>
              </w:r>
            </w:hyperlink>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9800" w:type="dxa"/>
            <w:vAlign w:val="bottom"/>
            <w:gridSpan w:val="9"/>
          </w:tcPr>
          <w:p>
            <w:pPr>
              <w:ind w:left="180"/>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Signatures</w:t>
              </w:r>
            </w:hyperlink>
          </w:p>
        </w:tc>
        <w:tc>
          <w:tcPr>
            <w:tcW w:w="520" w:type="dxa"/>
            <w:vAlign w:val="bottom"/>
          </w:tcPr>
          <w:p>
            <w:pPr>
              <w:jc w:val="right"/>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54</w:t>
              </w:r>
            </w:hyperlink>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Statements contained in this Quarterly Report on Form 10-Q may constitute “forward-looking statements” within the meaning of Section 27A of the Securities Act of 1933, as amended, and Section 21E of the Securities Exchange Act of 1934, as amended. These statements involve known and unknown risks, uncertainties and other factors, which may cause actual results to be materially different from those expressed or implied in such statements. You can identify these forward-looking statements by words such as “may,” “will,” “would,” “should,” “could,” “expect,” “anticipate,” “believe,” “estimate,” “intend,” “plan,” “goal” and other similar expressions. You should consider our forward-looking statements in light of the risks discussed under the heading “Risk Factors,” as well as our consolidated financial statements, related notes, and the other financial information appearing elsewhere in this report and our other filings with the United States Securities and Exchange Commission. The forward-looking statements contained in this report are made as of the date hereof and Dine Brands Global, Inc. does not intend to, nor does it assume any obligation to, update or supplement any forward-looking statements after the date of this report to reflect actual results or future events or circumstances.</w:t>
      </w:r>
    </w:p>
    <w:p>
      <w:pPr>
        <w:spacing w:after="0" w:line="208"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Factors that could cause actual results to differ materially from the projections, forecasts, estimates and expectations discussed in this Quarterly Report on Form 10-Q include, among other things: uncertainty regarding the duration and severity of the ongoing COVID-19 pandemic and its ultimate impact on our business; general economic conditions; our level of indebtedness; compliance with the terms of our securitized debt; our ability to refinance our current indebtedness or obtain additional financing; our dependence on information technology; potential cyber incidents; the implementation of restaurant development plans; our dependence on our franchisees; the concentration of our Applebee’s franchised restaurants in a limited number of franchisees; the financial health of our franchisees, including any insolvency or bankruptcy; credit risks from our IHOP franchisees operating under our previous IHOP business model in which we built and equipped IHOP restaurants and then franchised them to franchisees; insufficient insurance coverage to cover potential risks associated with the ownership and operation of restaurants; our franchisees’ and other licensees’ compliance with our quality standards and trademark usage; general risks associated with the restaurant industry; potential harm to our brands’ reputation; risks of food-borne illness or food tampering; possible future impairment charges; trading volatility and fluctuations in the price of our stock; our ability to achieve the financial guidance we provide to investors; successful implementation of our business strategy; the availability of suitable locations for new restaurants; shortages or interruptions in the supply or delivery of products from third parties or availability of utilities; the management and forecasting of appropriate inventory levels; development and implementation of innovative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marketing and use of social media; changing health or dietary preference of consumers; risks associated with doing business in international markets; the results of litigation and other legal proceedings; third-party claims with respect to intellectual property assets; delivery initiatives and use of third-party delivery vendors; our allocation of human capital and our ability to attract and retain management and other key employees; compliance with federal, state and local governmental regulations; risks associated with our self-insurance; natural disasters or other serious incidents; our success with development initiatives outside of our core business; the adequacy of our internal controls over financial reporting and future changes in accounting standards; and other matters in the “Risk Factors” section of our Annual Report on Form 10-K for the fiscal year ended December 31, 2019 and in our Quarterly Report on Form 10-Q for the quarterly period ended March 31, 2020, many of which are beyond our control.</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Quarter End</w:t>
      </w:r>
    </w:p>
    <w:p>
      <w:pPr>
        <w:spacing w:after="0" w:line="256"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Company’s fiscal quarters end on the Sunday closest to the last day of each calendar quarter. For convenience, the fiscal quarters of each year are referred to as ending on March 31, June 30, September 30 and December 31. The first fiscal quarter of 2020 began on December 30, 2019 and ended on March 29, 2020; the second fiscal quarter of 2020 ended on June 28, 2020. The first fiscal quarter of 2019 began on December 31, 2018 and ended on March 31, 2019; the second fiscal quarter of 2019 ended on June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 w:name="page4"/>
    <w:bookmarkEnd w:id="3"/>
    <w:p>
      <w:pPr>
        <w:spacing w:after="0" w:line="134" w:lineRule="exact"/>
        <w:rPr>
          <w:sz w:val="20"/>
          <w:szCs w:val="20"/>
          <w:color w:val="auto"/>
        </w:rPr>
      </w:pPr>
    </w:p>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Dine Brands Global, Inc. and Subsidiaries</w:t>
      </w:r>
    </w:p>
    <w:p>
      <w:pPr>
        <w:jc w:val="center"/>
        <w:ind w:right="-19"/>
        <w:spacing w:after="0" w:line="206" w:lineRule="auto"/>
        <w:rPr>
          <w:sz w:val="20"/>
          <w:szCs w:val="20"/>
          <w:color w:val="auto"/>
        </w:rPr>
      </w:pPr>
      <w:r>
        <w:rPr>
          <w:rFonts w:ascii="Arial" w:cs="Arial" w:eastAsia="Arial" w:hAnsi="Arial"/>
          <w:sz w:val="18"/>
          <w:szCs w:val="18"/>
          <w:b w:val="1"/>
          <w:bCs w:val="1"/>
          <w:color w:val="auto"/>
        </w:rPr>
        <w:t>Consolidated Balance Sheets</w:t>
      </w:r>
    </w:p>
    <w:p>
      <w:pPr>
        <w:jc w:val="center"/>
        <w:ind w:right="-19"/>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61"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7480" w:type="dxa"/>
            <w:vAlign w:val="bottom"/>
          </w:tcPr>
          <w:p>
            <w:pPr>
              <w:ind w:left="3960"/>
              <w:spacing w:after="0"/>
              <w:rPr>
                <w:sz w:val="20"/>
                <w:szCs w:val="20"/>
                <w:color w:val="auto"/>
              </w:rPr>
            </w:pPr>
            <w:r>
              <w:rPr>
                <w:rFonts w:ascii="Arial" w:cs="Arial" w:eastAsia="Arial" w:hAnsi="Arial"/>
                <w:sz w:val="16"/>
                <w:szCs w:val="16"/>
                <w:color w:val="auto"/>
              </w:rPr>
              <w:t>Assets</w:t>
            </w: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6"/>
                <w:szCs w:val="16"/>
                <w:color w:val="auto"/>
                <w:w w:val="88"/>
              </w:rPr>
              <w:t>June 30, 2020</w:t>
            </w:r>
          </w:p>
        </w:tc>
        <w:tc>
          <w:tcPr>
            <w:tcW w:w="160" w:type="dxa"/>
            <w:vAlign w:val="bottom"/>
          </w:tcPr>
          <w:p>
            <w:pPr>
              <w:spacing w:after="0"/>
              <w:rPr>
                <w:sz w:val="19"/>
                <w:szCs w:val="19"/>
                <w:color w:val="auto"/>
              </w:rPr>
            </w:pPr>
          </w:p>
        </w:tc>
        <w:tc>
          <w:tcPr>
            <w:tcW w:w="1600" w:type="dxa"/>
            <w:vAlign w:val="bottom"/>
          </w:tcPr>
          <w:p>
            <w:pPr>
              <w:jc w:val="right"/>
              <w:ind w:right="179"/>
              <w:spacing w:after="0"/>
              <w:rPr>
                <w:sz w:val="20"/>
                <w:szCs w:val="20"/>
                <w:color w:val="auto"/>
              </w:rPr>
            </w:pPr>
            <w:r>
              <w:rPr>
                <w:rFonts w:ascii="Arial" w:cs="Arial" w:eastAsia="Arial" w:hAnsi="Arial"/>
                <w:sz w:val="16"/>
                <w:szCs w:val="16"/>
                <w:color w:val="auto"/>
                <w:w w:val="93"/>
              </w:rPr>
              <w:t>December 31, 2019</w:t>
            </w:r>
          </w:p>
        </w:tc>
        <w:tc>
          <w:tcPr>
            <w:tcW w:w="0" w:type="dxa"/>
            <w:vAlign w:val="bottom"/>
          </w:tcPr>
          <w:p>
            <w:pPr>
              <w:spacing w:after="0"/>
              <w:rPr>
                <w:sz w:val="1"/>
                <w:szCs w:val="1"/>
                <w:color w:val="auto"/>
              </w:rPr>
            </w:pPr>
          </w:p>
        </w:tc>
      </w:tr>
      <w:tr>
        <w:trPr>
          <w:trHeight w:val="33"/>
        </w:trPr>
        <w:tc>
          <w:tcPr>
            <w:tcW w:w="7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6"/>
                <w:szCs w:val="16"/>
                <w:color w:val="auto"/>
                <w:w w:val="93"/>
              </w:rPr>
              <w:t>(Unaudited)</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4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7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278,507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116,043</w:t>
            </w:r>
          </w:p>
        </w:tc>
        <w:tc>
          <w:tcPr>
            <w:tcW w:w="0" w:type="dxa"/>
            <w:vAlign w:val="bottom"/>
          </w:tcPr>
          <w:p>
            <w:pPr>
              <w:spacing w:after="0"/>
              <w:rPr>
                <w:sz w:val="1"/>
                <w:szCs w:val="1"/>
                <w:color w:val="auto"/>
              </w:rPr>
            </w:pPr>
          </w:p>
        </w:tc>
      </w:tr>
      <w:tr>
        <w:trPr>
          <w:trHeight w:val="253"/>
        </w:trPr>
        <w:tc>
          <w:tcPr>
            <w:tcW w:w="7480" w:type="dxa"/>
            <w:vAlign w:val="bottom"/>
          </w:tcPr>
          <w:p>
            <w:pPr>
              <w:ind w:left="140"/>
              <w:spacing w:after="0"/>
              <w:rPr>
                <w:sz w:val="20"/>
                <w:szCs w:val="20"/>
                <w:color w:val="auto"/>
              </w:rPr>
            </w:pPr>
            <w:r>
              <w:rPr>
                <w:rFonts w:ascii="Arial" w:cs="Arial" w:eastAsia="Arial" w:hAnsi="Arial"/>
                <w:sz w:val="16"/>
                <w:szCs w:val="16"/>
                <w:color w:val="auto"/>
              </w:rPr>
              <w:t>Receivables, net of allowance of $11,709 (2020) and $3,138 (2019)</w:t>
            </w:r>
          </w:p>
        </w:tc>
        <w:tc>
          <w:tcPr>
            <w:tcW w:w="260" w:type="dxa"/>
            <w:vAlign w:val="bottom"/>
          </w:tcPr>
          <w:p>
            <w:pPr>
              <w:spacing w:after="0"/>
              <w:rPr>
                <w:sz w:val="22"/>
                <w:szCs w:val="22"/>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124,619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136,869</w:t>
            </w:r>
          </w:p>
        </w:tc>
        <w:tc>
          <w:tcPr>
            <w:tcW w:w="0" w:type="dxa"/>
            <w:vAlign w:val="bottom"/>
          </w:tcPr>
          <w:p>
            <w:pPr>
              <w:spacing w:after="0"/>
              <w:rPr>
                <w:sz w:val="1"/>
                <w:szCs w:val="1"/>
                <w:color w:val="auto"/>
              </w:rPr>
            </w:pPr>
          </w:p>
        </w:tc>
      </w:tr>
      <w:tr>
        <w:trPr>
          <w:trHeight w:val="259"/>
        </w:trPr>
        <w:tc>
          <w:tcPr>
            <w:tcW w:w="7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Restricted cash</w:t>
            </w:r>
          </w:p>
        </w:tc>
        <w:tc>
          <w:tcPr>
            <w:tcW w:w="26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31,184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40,732</w:t>
            </w:r>
          </w:p>
        </w:tc>
        <w:tc>
          <w:tcPr>
            <w:tcW w:w="0" w:type="dxa"/>
            <w:vAlign w:val="bottom"/>
          </w:tcPr>
          <w:p>
            <w:pPr>
              <w:spacing w:after="0"/>
              <w:rPr>
                <w:sz w:val="1"/>
                <w:szCs w:val="1"/>
                <w:color w:val="auto"/>
              </w:rPr>
            </w:pPr>
          </w:p>
        </w:tc>
      </w:tr>
      <w:tr>
        <w:trPr>
          <w:trHeight w:val="254"/>
        </w:trPr>
        <w:tc>
          <w:tcPr>
            <w:tcW w:w="7480" w:type="dxa"/>
            <w:vAlign w:val="bottom"/>
          </w:tcPr>
          <w:p>
            <w:pPr>
              <w:ind w:left="140"/>
              <w:spacing w:after="0"/>
              <w:rPr>
                <w:sz w:val="20"/>
                <w:szCs w:val="20"/>
                <w:color w:val="auto"/>
              </w:rPr>
            </w:pPr>
            <w:r>
              <w:rPr>
                <w:rFonts w:ascii="Arial" w:cs="Arial" w:eastAsia="Arial" w:hAnsi="Arial"/>
                <w:sz w:val="16"/>
                <w:szCs w:val="16"/>
                <w:color w:val="auto"/>
              </w:rPr>
              <w:t>Prepaid gift card costs</w:t>
            </w:r>
          </w:p>
        </w:tc>
        <w:tc>
          <w:tcPr>
            <w:tcW w:w="260" w:type="dxa"/>
            <w:vAlign w:val="bottom"/>
          </w:tcPr>
          <w:p>
            <w:pPr>
              <w:spacing w:after="0"/>
              <w:rPr>
                <w:sz w:val="22"/>
                <w:szCs w:val="22"/>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27,370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36,077</w:t>
            </w:r>
          </w:p>
        </w:tc>
        <w:tc>
          <w:tcPr>
            <w:tcW w:w="0" w:type="dxa"/>
            <w:vAlign w:val="bottom"/>
          </w:tcPr>
          <w:p>
            <w:pPr>
              <w:spacing w:after="0"/>
              <w:rPr>
                <w:sz w:val="1"/>
                <w:szCs w:val="1"/>
                <w:color w:val="auto"/>
              </w:rPr>
            </w:pPr>
          </w:p>
        </w:tc>
      </w:tr>
      <w:tr>
        <w:trPr>
          <w:trHeight w:val="259"/>
        </w:trPr>
        <w:tc>
          <w:tcPr>
            <w:tcW w:w="7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Prepaid income taxes</w:t>
            </w:r>
          </w:p>
        </w:tc>
        <w:tc>
          <w:tcPr>
            <w:tcW w:w="26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17,880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13,290</w:t>
            </w:r>
          </w:p>
        </w:tc>
        <w:tc>
          <w:tcPr>
            <w:tcW w:w="0" w:type="dxa"/>
            <w:vAlign w:val="bottom"/>
          </w:tcPr>
          <w:p>
            <w:pPr>
              <w:spacing w:after="0"/>
              <w:rPr>
                <w:sz w:val="1"/>
                <w:szCs w:val="1"/>
                <w:color w:val="auto"/>
              </w:rPr>
            </w:pPr>
          </w:p>
        </w:tc>
      </w:tr>
      <w:tr>
        <w:trPr>
          <w:trHeight w:val="254"/>
        </w:trPr>
        <w:tc>
          <w:tcPr>
            <w:tcW w:w="74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current assets</w:t>
            </w:r>
          </w:p>
        </w:tc>
        <w:tc>
          <w:tcPr>
            <w:tcW w:w="2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6,410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3,906</w:t>
            </w:r>
          </w:p>
        </w:tc>
        <w:tc>
          <w:tcPr>
            <w:tcW w:w="0" w:type="dxa"/>
            <w:vAlign w:val="bottom"/>
          </w:tcPr>
          <w:p>
            <w:pPr>
              <w:spacing w:after="0"/>
              <w:rPr>
                <w:sz w:val="1"/>
                <w:szCs w:val="1"/>
                <w:color w:val="auto"/>
              </w:rPr>
            </w:pPr>
          </w:p>
        </w:tc>
      </w:tr>
      <w:tr>
        <w:trPr>
          <w:trHeight w:val="253"/>
        </w:trPr>
        <w:tc>
          <w:tcPr>
            <w:tcW w:w="74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current assets</w:t>
            </w:r>
          </w:p>
        </w:tc>
        <w:tc>
          <w:tcPr>
            <w:tcW w:w="26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485,970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346,917</w:t>
            </w:r>
          </w:p>
        </w:tc>
        <w:tc>
          <w:tcPr>
            <w:tcW w:w="0" w:type="dxa"/>
            <w:vAlign w:val="bottom"/>
          </w:tcPr>
          <w:p>
            <w:pPr>
              <w:spacing w:after="0"/>
              <w:rPr>
                <w:sz w:val="1"/>
                <w:szCs w:val="1"/>
                <w:color w:val="auto"/>
              </w:rPr>
            </w:pPr>
          </w:p>
        </w:tc>
      </w:tr>
      <w:tr>
        <w:trPr>
          <w:trHeight w:val="223"/>
        </w:trPr>
        <w:tc>
          <w:tcPr>
            <w:tcW w:w="7480" w:type="dxa"/>
            <w:vAlign w:val="bottom"/>
          </w:tcPr>
          <w:p>
            <w:pPr>
              <w:ind w:left="20"/>
              <w:spacing w:after="0"/>
              <w:rPr>
                <w:sz w:val="20"/>
                <w:szCs w:val="20"/>
                <w:color w:val="auto"/>
              </w:rPr>
            </w:pPr>
            <w:r>
              <w:rPr>
                <w:rFonts w:ascii="Arial" w:cs="Arial" w:eastAsia="Arial" w:hAnsi="Arial"/>
                <w:sz w:val="16"/>
                <w:szCs w:val="16"/>
                <w:color w:val="auto"/>
              </w:rPr>
              <w:t>Other intangible assets, net</w:t>
            </w:r>
          </w:p>
        </w:tc>
        <w:tc>
          <w:tcPr>
            <w:tcW w:w="260" w:type="dxa"/>
            <w:vAlign w:val="bottom"/>
          </w:tcPr>
          <w:p>
            <w:pPr>
              <w:spacing w:after="0"/>
              <w:rPr>
                <w:sz w:val="19"/>
                <w:szCs w:val="19"/>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555,495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575,103</w:t>
            </w:r>
          </w:p>
        </w:tc>
        <w:tc>
          <w:tcPr>
            <w:tcW w:w="0" w:type="dxa"/>
            <w:vAlign w:val="bottom"/>
          </w:tcPr>
          <w:p>
            <w:pPr>
              <w:spacing w:after="0"/>
              <w:rPr>
                <w:sz w:val="1"/>
                <w:szCs w:val="1"/>
                <w:color w:val="auto"/>
              </w:rPr>
            </w:pPr>
          </w:p>
        </w:tc>
      </w:tr>
      <w:tr>
        <w:trPr>
          <w:trHeight w:val="33"/>
        </w:trPr>
        <w:tc>
          <w:tcPr>
            <w:tcW w:w="7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2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349,103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366,931</w:t>
            </w:r>
          </w:p>
        </w:tc>
        <w:tc>
          <w:tcPr>
            <w:tcW w:w="0" w:type="dxa"/>
            <w:vAlign w:val="bottom"/>
          </w:tcPr>
          <w:p>
            <w:pPr>
              <w:spacing w:after="0"/>
              <w:rPr>
                <w:sz w:val="1"/>
                <w:szCs w:val="1"/>
                <w:color w:val="auto"/>
              </w:rPr>
            </w:pPr>
          </w:p>
        </w:tc>
      </w:tr>
      <w:tr>
        <w:trPr>
          <w:trHeight w:val="224"/>
        </w:trPr>
        <w:tc>
          <w:tcPr>
            <w:tcW w:w="7480" w:type="dxa"/>
            <w:vAlign w:val="bottom"/>
          </w:tcPr>
          <w:p>
            <w:pPr>
              <w:ind w:left="20"/>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19"/>
                <w:szCs w:val="19"/>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251,628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343,862</w:t>
            </w:r>
          </w:p>
        </w:tc>
        <w:tc>
          <w:tcPr>
            <w:tcW w:w="0" w:type="dxa"/>
            <w:vAlign w:val="bottom"/>
          </w:tcPr>
          <w:p>
            <w:pPr>
              <w:spacing w:after="0"/>
              <w:rPr>
                <w:sz w:val="1"/>
                <w:szCs w:val="1"/>
                <w:color w:val="auto"/>
              </w:rPr>
            </w:pPr>
          </w:p>
        </w:tc>
      </w:tr>
      <w:tr>
        <w:trPr>
          <w:trHeight w:val="33"/>
        </w:trPr>
        <w:tc>
          <w:tcPr>
            <w:tcW w:w="7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2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203,540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216,420</w:t>
            </w:r>
          </w:p>
        </w:tc>
        <w:tc>
          <w:tcPr>
            <w:tcW w:w="0" w:type="dxa"/>
            <w:vAlign w:val="bottom"/>
          </w:tcPr>
          <w:p>
            <w:pPr>
              <w:spacing w:after="0"/>
              <w:rPr>
                <w:sz w:val="1"/>
                <w:szCs w:val="1"/>
                <w:color w:val="auto"/>
              </w:rPr>
            </w:pPr>
          </w:p>
        </w:tc>
      </w:tr>
      <w:tr>
        <w:trPr>
          <w:trHeight w:val="253"/>
        </w:trPr>
        <w:tc>
          <w:tcPr>
            <w:tcW w:w="7480" w:type="dxa"/>
            <w:vAlign w:val="bottom"/>
          </w:tcPr>
          <w:p>
            <w:pPr>
              <w:ind w:left="20"/>
              <w:spacing w:after="0"/>
              <w:rPr>
                <w:sz w:val="20"/>
                <w:szCs w:val="20"/>
                <w:color w:val="auto"/>
              </w:rPr>
            </w:pPr>
            <w:r>
              <w:rPr>
                <w:rFonts w:ascii="Arial" w:cs="Arial" w:eastAsia="Arial" w:hAnsi="Arial"/>
                <w:sz w:val="16"/>
                <w:szCs w:val="16"/>
                <w:color w:val="auto"/>
              </w:rPr>
              <w:t>Long-term receivables, net of allowance of $7,981 (2020) and $8,155 (2019)</w:t>
            </w:r>
          </w:p>
        </w:tc>
        <w:tc>
          <w:tcPr>
            <w:tcW w:w="260" w:type="dxa"/>
            <w:vAlign w:val="bottom"/>
          </w:tcPr>
          <w:p>
            <w:pPr>
              <w:spacing w:after="0"/>
              <w:rPr>
                <w:sz w:val="22"/>
                <w:szCs w:val="22"/>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74,015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85,999</w:t>
            </w:r>
          </w:p>
        </w:tc>
        <w:tc>
          <w:tcPr>
            <w:tcW w:w="0" w:type="dxa"/>
            <w:vAlign w:val="bottom"/>
          </w:tcPr>
          <w:p>
            <w:pPr>
              <w:spacing w:after="0"/>
              <w:rPr>
                <w:sz w:val="1"/>
                <w:szCs w:val="1"/>
                <w:color w:val="auto"/>
              </w:rPr>
            </w:pPr>
          </w:p>
        </w:tc>
      </w:tr>
      <w:tr>
        <w:trPr>
          <w:trHeight w:val="239"/>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rent receivable</w:t>
            </w:r>
          </w:p>
        </w:tc>
        <w:tc>
          <w:tcPr>
            <w:tcW w:w="2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65,126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70,308</w:t>
            </w:r>
          </w:p>
        </w:tc>
        <w:tc>
          <w:tcPr>
            <w:tcW w:w="0" w:type="dxa"/>
            <w:vAlign w:val="bottom"/>
          </w:tcPr>
          <w:p>
            <w:pPr>
              <w:spacing w:after="0"/>
              <w:rPr>
                <w:sz w:val="1"/>
                <w:szCs w:val="1"/>
                <w:color w:val="auto"/>
              </w:rPr>
            </w:pPr>
          </w:p>
        </w:tc>
      </w:tr>
      <w:tr>
        <w:trPr>
          <w:trHeight w:val="224"/>
        </w:trPr>
        <w:tc>
          <w:tcPr>
            <w:tcW w:w="7480" w:type="dxa"/>
            <w:vAlign w:val="bottom"/>
          </w:tcPr>
          <w:p>
            <w:pPr>
              <w:ind w:left="20"/>
              <w:spacing w:after="0"/>
              <w:rPr>
                <w:sz w:val="20"/>
                <w:szCs w:val="20"/>
                <w:color w:val="auto"/>
              </w:rPr>
            </w:pPr>
            <w:r>
              <w:rPr>
                <w:rFonts w:ascii="Arial" w:cs="Arial" w:eastAsia="Arial" w:hAnsi="Arial"/>
                <w:sz w:val="16"/>
                <w:szCs w:val="16"/>
                <w:color w:val="auto"/>
              </w:rPr>
              <w:t>Non-current restricted cash</w:t>
            </w:r>
          </w:p>
        </w:tc>
        <w:tc>
          <w:tcPr>
            <w:tcW w:w="260" w:type="dxa"/>
            <w:vAlign w:val="bottom"/>
          </w:tcPr>
          <w:p>
            <w:pPr>
              <w:spacing w:after="0"/>
              <w:rPr>
                <w:sz w:val="19"/>
                <w:szCs w:val="19"/>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32,800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15,700</w:t>
            </w:r>
          </w:p>
        </w:tc>
        <w:tc>
          <w:tcPr>
            <w:tcW w:w="0" w:type="dxa"/>
            <w:vAlign w:val="bottom"/>
          </w:tcPr>
          <w:p>
            <w:pPr>
              <w:spacing w:after="0"/>
              <w:rPr>
                <w:sz w:val="1"/>
                <w:szCs w:val="1"/>
                <w:color w:val="auto"/>
              </w:rPr>
            </w:pPr>
          </w:p>
        </w:tc>
      </w:tr>
      <w:tr>
        <w:trPr>
          <w:trHeight w:val="33"/>
        </w:trPr>
        <w:tc>
          <w:tcPr>
            <w:tcW w:w="7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non-current assets, net</w:t>
            </w:r>
          </w:p>
        </w:tc>
        <w:tc>
          <w:tcPr>
            <w:tcW w:w="2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25,590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28,271</w:t>
            </w:r>
          </w:p>
        </w:tc>
        <w:tc>
          <w:tcPr>
            <w:tcW w:w="0" w:type="dxa"/>
            <w:vAlign w:val="bottom"/>
          </w:tcPr>
          <w:p>
            <w:pPr>
              <w:spacing w:after="0"/>
              <w:rPr>
                <w:sz w:val="1"/>
                <w:szCs w:val="1"/>
                <w:color w:val="auto"/>
              </w:rPr>
            </w:pPr>
          </w:p>
        </w:tc>
      </w:tr>
      <w:tr>
        <w:trPr>
          <w:trHeight w:val="217"/>
        </w:trPr>
        <w:tc>
          <w:tcPr>
            <w:tcW w:w="7480" w:type="dxa"/>
            <w:vAlign w:val="bottom"/>
            <w:vMerge w:val="restart"/>
          </w:tcPr>
          <w:p>
            <w:pPr>
              <w:ind w:left="380"/>
              <w:spacing w:after="0"/>
              <w:rPr>
                <w:sz w:val="20"/>
                <w:szCs w:val="20"/>
                <w:color w:val="auto"/>
              </w:rPr>
            </w:pPr>
            <w:r>
              <w:rPr>
                <w:rFonts w:ascii="Arial" w:cs="Arial" w:eastAsia="Arial" w:hAnsi="Arial"/>
                <w:sz w:val="16"/>
                <w:szCs w:val="16"/>
                <w:color w:val="auto"/>
              </w:rPr>
              <w:t>Total assets</w:t>
            </w:r>
          </w:p>
        </w:tc>
        <w:tc>
          <w:tcPr>
            <w:tcW w:w="260" w:type="dxa"/>
            <w:vAlign w:val="bottom"/>
            <w:tcBorders>
              <w:top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2,043,267</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2,049,511</w:t>
            </w:r>
          </w:p>
        </w:tc>
        <w:tc>
          <w:tcPr>
            <w:tcW w:w="0" w:type="dxa"/>
            <w:vAlign w:val="bottom"/>
          </w:tcPr>
          <w:p>
            <w:pPr>
              <w:spacing w:after="0"/>
              <w:rPr>
                <w:sz w:val="1"/>
                <w:szCs w:val="1"/>
                <w:color w:val="auto"/>
              </w:rPr>
            </w:pPr>
          </w:p>
        </w:tc>
      </w:tr>
      <w:tr>
        <w:trPr>
          <w:trHeight w:val="33"/>
        </w:trPr>
        <w:tc>
          <w:tcPr>
            <w:tcW w:w="7480" w:type="dxa"/>
            <w:vAlign w:val="bottom"/>
            <w:vMerge w:val="continue"/>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480" w:type="dxa"/>
            <w:vAlign w:val="bottom"/>
            <w:vMerge w:val="restart"/>
          </w:tcPr>
          <w:p>
            <w:pPr>
              <w:ind w:left="2980"/>
              <w:spacing w:after="0"/>
              <w:rPr>
                <w:sz w:val="20"/>
                <w:szCs w:val="20"/>
                <w:color w:val="auto"/>
              </w:rPr>
            </w:pPr>
            <w:r>
              <w:rPr>
                <w:rFonts w:ascii="Arial" w:cs="Arial" w:eastAsia="Arial" w:hAnsi="Arial"/>
                <w:sz w:val="16"/>
                <w:szCs w:val="16"/>
                <w:color w:val="auto"/>
              </w:rPr>
              <w:t>Liabilities and Stockholders’ Deficit</w:t>
            </w: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48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48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Current maturities of long-term debt</w:t>
            </w:r>
          </w:p>
        </w:tc>
        <w:tc>
          <w:tcPr>
            <w:tcW w:w="26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9,750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748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260" w:type="dxa"/>
            <w:vAlign w:val="bottom"/>
          </w:tcPr>
          <w:p>
            <w:pPr>
              <w:spacing w:after="0"/>
              <w:rPr>
                <w:sz w:val="22"/>
                <w:szCs w:val="22"/>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19,181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40,925</w:t>
            </w:r>
          </w:p>
        </w:tc>
        <w:tc>
          <w:tcPr>
            <w:tcW w:w="0" w:type="dxa"/>
            <w:vAlign w:val="bottom"/>
          </w:tcPr>
          <w:p>
            <w:pPr>
              <w:spacing w:after="0"/>
              <w:rPr>
                <w:sz w:val="1"/>
                <w:szCs w:val="1"/>
                <w:color w:val="auto"/>
              </w:rPr>
            </w:pPr>
          </w:p>
        </w:tc>
      </w:tr>
      <w:tr>
        <w:trPr>
          <w:trHeight w:val="260"/>
        </w:trPr>
        <w:tc>
          <w:tcPr>
            <w:tcW w:w="7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Gift card liability</w:t>
            </w:r>
          </w:p>
        </w:tc>
        <w:tc>
          <w:tcPr>
            <w:tcW w:w="26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121,994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159,019</w:t>
            </w:r>
          </w:p>
        </w:tc>
        <w:tc>
          <w:tcPr>
            <w:tcW w:w="0" w:type="dxa"/>
            <w:vAlign w:val="bottom"/>
          </w:tcPr>
          <w:p>
            <w:pPr>
              <w:spacing w:after="0"/>
              <w:rPr>
                <w:sz w:val="1"/>
                <w:szCs w:val="1"/>
                <w:color w:val="auto"/>
              </w:rPr>
            </w:pPr>
          </w:p>
        </w:tc>
      </w:tr>
      <w:tr>
        <w:trPr>
          <w:trHeight w:val="253"/>
        </w:trPr>
        <w:tc>
          <w:tcPr>
            <w:tcW w:w="7480" w:type="dxa"/>
            <w:vAlign w:val="bottom"/>
          </w:tcPr>
          <w:p>
            <w:pPr>
              <w:ind w:left="140"/>
              <w:spacing w:after="0"/>
              <w:rPr>
                <w:sz w:val="20"/>
                <w:szCs w:val="20"/>
                <w:color w:val="auto"/>
              </w:rPr>
            </w:pPr>
            <w:r>
              <w:rPr>
                <w:rFonts w:ascii="Arial" w:cs="Arial" w:eastAsia="Arial" w:hAnsi="Arial"/>
                <w:sz w:val="16"/>
                <w:szCs w:val="16"/>
                <w:color w:val="auto"/>
              </w:rPr>
              <w:t>Current maturities of operating lease obligations</w:t>
            </w:r>
          </w:p>
        </w:tc>
        <w:tc>
          <w:tcPr>
            <w:tcW w:w="260" w:type="dxa"/>
            <w:vAlign w:val="bottom"/>
          </w:tcPr>
          <w:p>
            <w:pPr>
              <w:spacing w:after="0"/>
              <w:rPr>
                <w:sz w:val="22"/>
                <w:szCs w:val="22"/>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71,837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72,815</w:t>
            </w:r>
          </w:p>
        </w:tc>
        <w:tc>
          <w:tcPr>
            <w:tcW w:w="0" w:type="dxa"/>
            <w:vAlign w:val="bottom"/>
          </w:tcPr>
          <w:p>
            <w:pPr>
              <w:spacing w:after="0"/>
              <w:rPr>
                <w:sz w:val="1"/>
                <w:szCs w:val="1"/>
                <w:color w:val="auto"/>
              </w:rPr>
            </w:pPr>
          </w:p>
        </w:tc>
      </w:tr>
      <w:tr>
        <w:trPr>
          <w:trHeight w:val="260"/>
        </w:trPr>
        <w:tc>
          <w:tcPr>
            <w:tcW w:w="7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maturities of finance lease and financing obligations</w:t>
            </w:r>
          </w:p>
        </w:tc>
        <w:tc>
          <w:tcPr>
            <w:tcW w:w="26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13,307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13,669</w:t>
            </w:r>
          </w:p>
        </w:tc>
        <w:tc>
          <w:tcPr>
            <w:tcW w:w="0" w:type="dxa"/>
            <w:vAlign w:val="bottom"/>
          </w:tcPr>
          <w:p>
            <w:pPr>
              <w:spacing w:after="0"/>
              <w:rPr>
                <w:sz w:val="1"/>
                <w:szCs w:val="1"/>
                <w:color w:val="auto"/>
              </w:rPr>
            </w:pPr>
          </w:p>
        </w:tc>
      </w:tr>
      <w:tr>
        <w:trPr>
          <w:trHeight w:val="253"/>
        </w:trPr>
        <w:tc>
          <w:tcPr>
            <w:tcW w:w="7480" w:type="dxa"/>
            <w:vAlign w:val="bottom"/>
          </w:tcPr>
          <w:p>
            <w:pPr>
              <w:ind w:left="140"/>
              <w:spacing w:after="0"/>
              <w:rPr>
                <w:sz w:val="20"/>
                <w:szCs w:val="20"/>
                <w:color w:val="auto"/>
              </w:rPr>
            </w:pPr>
            <w:r>
              <w:rPr>
                <w:rFonts w:ascii="Arial" w:cs="Arial" w:eastAsia="Arial" w:hAnsi="Arial"/>
                <w:sz w:val="16"/>
                <w:szCs w:val="16"/>
                <w:color w:val="auto"/>
              </w:rPr>
              <w:t>Accrued employee compensation and benefits</w:t>
            </w:r>
          </w:p>
        </w:tc>
        <w:tc>
          <w:tcPr>
            <w:tcW w:w="260" w:type="dxa"/>
            <w:vAlign w:val="bottom"/>
          </w:tcPr>
          <w:p>
            <w:pPr>
              <w:spacing w:after="0"/>
              <w:rPr>
                <w:sz w:val="22"/>
                <w:szCs w:val="22"/>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10,568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23,904</w:t>
            </w:r>
          </w:p>
        </w:tc>
        <w:tc>
          <w:tcPr>
            <w:tcW w:w="0" w:type="dxa"/>
            <w:vAlign w:val="bottom"/>
          </w:tcPr>
          <w:p>
            <w:pPr>
              <w:spacing w:after="0"/>
              <w:rPr>
                <w:sz w:val="1"/>
                <w:szCs w:val="1"/>
                <w:color w:val="auto"/>
              </w:rPr>
            </w:pPr>
          </w:p>
        </w:tc>
      </w:tr>
      <w:tr>
        <w:trPr>
          <w:trHeight w:val="260"/>
        </w:trPr>
        <w:tc>
          <w:tcPr>
            <w:tcW w:w="7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payable</w:t>
            </w:r>
          </w:p>
        </w:tc>
        <w:tc>
          <w:tcPr>
            <w:tcW w:w="260" w:type="dxa"/>
            <w:vAlign w:val="bottom"/>
            <w:shd w:val="clear" w:color="auto" w:fill="CCEEFF"/>
          </w:tcPr>
          <w:p>
            <w:pPr>
              <w:spacing w:after="0"/>
              <w:rPr>
                <w:sz w:val="22"/>
                <w:szCs w:val="22"/>
                <w:color w:val="auto"/>
              </w:rPr>
            </w:pPr>
          </w:p>
        </w:tc>
        <w:tc>
          <w:tcPr>
            <w:tcW w:w="16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11,702</w:t>
            </w:r>
          </w:p>
        </w:tc>
        <w:tc>
          <w:tcPr>
            <w:tcW w:w="0" w:type="dxa"/>
            <w:vAlign w:val="bottom"/>
          </w:tcPr>
          <w:p>
            <w:pPr>
              <w:spacing w:after="0"/>
              <w:rPr>
                <w:sz w:val="1"/>
                <w:szCs w:val="1"/>
                <w:color w:val="auto"/>
              </w:rPr>
            </w:pPr>
          </w:p>
        </w:tc>
      </w:tr>
      <w:tr>
        <w:trPr>
          <w:trHeight w:val="254"/>
        </w:trPr>
        <w:tc>
          <w:tcPr>
            <w:tcW w:w="7480" w:type="dxa"/>
            <w:vAlign w:val="bottom"/>
          </w:tcPr>
          <w:p>
            <w:pPr>
              <w:ind w:left="140"/>
              <w:spacing w:after="0"/>
              <w:rPr>
                <w:sz w:val="20"/>
                <w:szCs w:val="20"/>
                <w:color w:val="auto"/>
              </w:rPr>
            </w:pPr>
            <w:r>
              <w:rPr>
                <w:rFonts w:ascii="Arial" w:cs="Arial" w:eastAsia="Arial" w:hAnsi="Arial"/>
                <w:sz w:val="16"/>
                <w:szCs w:val="16"/>
                <w:color w:val="auto"/>
              </w:rPr>
              <w:t>Deferred franchise revenue, short-term</w:t>
            </w:r>
          </w:p>
        </w:tc>
        <w:tc>
          <w:tcPr>
            <w:tcW w:w="260" w:type="dxa"/>
            <w:vAlign w:val="bottom"/>
          </w:tcPr>
          <w:p>
            <w:pPr>
              <w:spacing w:after="0"/>
              <w:rPr>
                <w:sz w:val="22"/>
                <w:szCs w:val="22"/>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8,921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10,086</w:t>
            </w:r>
          </w:p>
        </w:tc>
        <w:tc>
          <w:tcPr>
            <w:tcW w:w="0" w:type="dxa"/>
            <w:vAlign w:val="bottom"/>
          </w:tcPr>
          <w:p>
            <w:pPr>
              <w:spacing w:after="0"/>
              <w:rPr>
                <w:sz w:val="1"/>
                <w:szCs w:val="1"/>
                <w:color w:val="auto"/>
              </w:rPr>
            </w:pPr>
          </w:p>
        </w:tc>
      </w:tr>
      <w:tr>
        <w:trPr>
          <w:trHeight w:val="259"/>
        </w:trPr>
        <w:tc>
          <w:tcPr>
            <w:tcW w:w="7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advertising expenses</w:t>
            </w:r>
          </w:p>
        </w:tc>
        <w:tc>
          <w:tcPr>
            <w:tcW w:w="26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21,772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8,760</w:t>
            </w:r>
          </w:p>
        </w:tc>
        <w:tc>
          <w:tcPr>
            <w:tcW w:w="0" w:type="dxa"/>
            <w:vAlign w:val="bottom"/>
          </w:tcPr>
          <w:p>
            <w:pPr>
              <w:spacing w:after="0"/>
              <w:rPr>
                <w:sz w:val="1"/>
                <w:szCs w:val="1"/>
                <w:color w:val="auto"/>
              </w:rPr>
            </w:pPr>
          </w:p>
        </w:tc>
      </w:tr>
      <w:tr>
        <w:trPr>
          <w:trHeight w:val="253"/>
        </w:trPr>
        <w:tc>
          <w:tcPr>
            <w:tcW w:w="74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accrued expenses</w:t>
            </w:r>
          </w:p>
        </w:tc>
        <w:tc>
          <w:tcPr>
            <w:tcW w:w="2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23,376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17,032</w:t>
            </w:r>
          </w:p>
        </w:tc>
        <w:tc>
          <w:tcPr>
            <w:tcW w:w="0" w:type="dxa"/>
            <w:vAlign w:val="bottom"/>
          </w:tcPr>
          <w:p>
            <w:pPr>
              <w:spacing w:after="0"/>
              <w:rPr>
                <w:sz w:val="1"/>
                <w:szCs w:val="1"/>
                <w:color w:val="auto"/>
              </w:rPr>
            </w:pPr>
          </w:p>
        </w:tc>
      </w:tr>
      <w:tr>
        <w:trPr>
          <w:trHeight w:val="253"/>
        </w:trPr>
        <w:tc>
          <w:tcPr>
            <w:tcW w:w="74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current liabilities</w:t>
            </w:r>
          </w:p>
        </w:tc>
        <w:tc>
          <w:tcPr>
            <w:tcW w:w="26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300,706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357,912</w:t>
            </w:r>
          </w:p>
        </w:tc>
        <w:tc>
          <w:tcPr>
            <w:tcW w:w="0" w:type="dxa"/>
            <w:vAlign w:val="bottom"/>
          </w:tcPr>
          <w:p>
            <w:pPr>
              <w:spacing w:after="0"/>
              <w:rPr>
                <w:sz w:val="1"/>
                <w:szCs w:val="1"/>
                <w:color w:val="auto"/>
              </w:rPr>
            </w:pPr>
          </w:p>
        </w:tc>
      </w:tr>
      <w:tr>
        <w:trPr>
          <w:trHeight w:val="223"/>
        </w:trPr>
        <w:tc>
          <w:tcPr>
            <w:tcW w:w="748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260" w:type="dxa"/>
            <w:vAlign w:val="bottom"/>
          </w:tcPr>
          <w:p>
            <w:pPr>
              <w:spacing w:after="0"/>
              <w:rPr>
                <w:sz w:val="19"/>
                <w:szCs w:val="19"/>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1,497,116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1,288,248</w:t>
            </w:r>
          </w:p>
        </w:tc>
        <w:tc>
          <w:tcPr>
            <w:tcW w:w="0" w:type="dxa"/>
            <w:vAlign w:val="bottom"/>
          </w:tcPr>
          <w:p>
            <w:pPr>
              <w:spacing w:after="0"/>
              <w:rPr>
                <w:sz w:val="1"/>
                <w:szCs w:val="1"/>
                <w:color w:val="auto"/>
              </w:rPr>
            </w:pPr>
          </w:p>
        </w:tc>
      </w:tr>
      <w:tr>
        <w:trPr>
          <w:trHeight w:val="33"/>
        </w:trPr>
        <w:tc>
          <w:tcPr>
            <w:tcW w:w="7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lease obligations, less current maturities</w:t>
            </w:r>
          </w:p>
        </w:tc>
        <w:tc>
          <w:tcPr>
            <w:tcW w:w="2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350,418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359,025</w:t>
            </w:r>
          </w:p>
        </w:tc>
        <w:tc>
          <w:tcPr>
            <w:tcW w:w="0" w:type="dxa"/>
            <w:vAlign w:val="bottom"/>
          </w:tcPr>
          <w:p>
            <w:pPr>
              <w:spacing w:after="0"/>
              <w:rPr>
                <w:sz w:val="1"/>
                <w:szCs w:val="1"/>
                <w:color w:val="auto"/>
              </w:rPr>
            </w:pPr>
          </w:p>
        </w:tc>
      </w:tr>
      <w:tr>
        <w:trPr>
          <w:trHeight w:val="223"/>
        </w:trPr>
        <w:tc>
          <w:tcPr>
            <w:tcW w:w="7480" w:type="dxa"/>
            <w:vAlign w:val="bottom"/>
          </w:tcPr>
          <w:p>
            <w:pPr>
              <w:ind w:left="20"/>
              <w:spacing w:after="0"/>
              <w:rPr>
                <w:sz w:val="20"/>
                <w:szCs w:val="20"/>
                <w:color w:val="auto"/>
              </w:rPr>
            </w:pPr>
            <w:r>
              <w:rPr>
                <w:rFonts w:ascii="Arial" w:cs="Arial" w:eastAsia="Arial" w:hAnsi="Arial"/>
                <w:sz w:val="16"/>
                <w:szCs w:val="16"/>
                <w:color w:val="auto"/>
              </w:rPr>
              <w:t>Finance lease obligations, less current maturities</w:t>
            </w:r>
          </w:p>
        </w:tc>
        <w:tc>
          <w:tcPr>
            <w:tcW w:w="260" w:type="dxa"/>
            <w:vAlign w:val="bottom"/>
          </w:tcPr>
          <w:p>
            <w:pPr>
              <w:spacing w:after="0"/>
              <w:rPr>
                <w:sz w:val="19"/>
                <w:szCs w:val="19"/>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74,051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77,393</w:t>
            </w:r>
          </w:p>
        </w:tc>
        <w:tc>
          <w:tcPr>
            <w:tcW w:w="0" w:type="dxa"/>
            <w:vAlign w:val="bottom"/>
          </w:tcPr>
          <w:p>
            <w:pPr>
              <w:spacing w:after="0"/>
              <w:rPr>
                <w:sz w:val="1"/>
                <w:szCs w:val="1"/>
                <w:color w:val="auto"/>
              </w:rPr>
            </w:pPr>
          </w:p>
        </w:tc>
      </w:tr>
      <w:tr>
        <w:trPr>
          <w:trHeight w:val="33"/>
        </w:trPr>
        <w:tc>
          <w:tcPr>
            <w:tcW w:w="7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Financing obligations, less current maturities</w:t>
            </w:r>
          </w:p>
        </w:tc>
        <w:tc>
          <w:tcPr>
            <w:tcW w:w="2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34,682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37,682</w:t>
            </w:r>
          </w:p>
        </w:tc>
        <w:tc>
          <w:tcPr>
            <w:tcW w:w="0" w:type="dxa"/>
            <w:vAlign w:val="bottom"/>
          </w:tcPr>
          <w:p>
            <w:pPr>
              <w:spacing w:after="0"/>
              <w:rPr>
                <w:sz w:val="1"/>
                <w:szCs w:val="1"/>
                <w:color w:val="auto"/>
              </w:rPr>
            </w:pPr>
          </w:p>
        </w:tc>
      </w:tr>
      <w:tr>
        <w:trPr>
          <w:trHeight w:val="223"/>
        </w:trPr>
        <w:tc>
          <w:tcPr>
            <w:tcW w:w="7480" w:type="dxa"/>
            <w:vAlign w:val="bottom"/>
          </w:tcPr>
          <w:p>
            <w:pPr>
              <w:ind w:left="20"/>
              <w:spacing w:after="0"/>
              <w:rPr>
                <w:sz w:val="20"/>
                <w:szCs w:val="20"/>
                <w:color w:val="auto"/>
              </w:rPr>
            </w:pPr>
            <w:r>
              <w:rPr>
                <w:rFonts w:ascii="Arial" w:cs="Arial" w:eastAsia="Arial" w:hAnsi="Arial"/>
                <w:sz w:val="16"/>
                <w:szCs w:val="16"/>
                <w:color w:val="auto"/>
              </w:rPr>
              <w:t>Deferred income taxes, net</w:t>
            </w:r>
          </w:p>
        </w:tc>
        <w:tc>
          <w:tcPr>
            <w:tcW w:w="260" w:type="dxa"/>
            <w:vAlign w:val="bottom"/>
          </w:tcPr>
          <w:p>
            <w:pPr>
              <w:spacing w:after="0"/>
              <w:rPr>
                <w:sz w:val="19"/>
                <w:szCs w:val="19"/>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86,221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98,499</w:t>
            </w:r>
          </w:p>
        </w:tc>
        <w:tc>
          <w:tcPr>
            <w:tcW w:w="0" w:type="dxa"/>
            <w:vAlign w:val="bottom"/>
          </w:tcPr>
          <w:p>
            <w:pPr>
              <w:spacing w:after="0"/>
              <w:rPr>
                <w:sz w:val="1"/>
                <w:szCs w:val="1"/>
                <w:color w:val="auto"/>
              </w:rPr>
            </w:pPr>
          </w:p>
        </w:tc>
      </w:tr>
      <w:tr>
        <w:trPr>
          <w:trHeight w:val="33"/>
        </w:trPr>
        <w:tc>
          <w:tcPr>
            <w:tcW w:w="7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franchise revenue, long-term</w:t>
            </w:r>
          </w:p>
        </w:tc>
        <w:tc>
          <w:tcPr>
            <w:tcW w:w="2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53,269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56,944</w:t>
            </w:r>
          </w:p>
        </w:tc>
        <w:tc>
          <w:tcPr>
            <w:tcW w:w="0" w:type="dxa"/>
            <w:vAlign w:val="bottom"/>
          </w:tcPr>
          <w:p>
            <w:pPr>
              <w:spacing w:after="0"/>
              <w:rPr>
                <w:sz w:val="1"/>
                <w:szCs w:val="1"/>
                <w:color w:val="auto"/>
              </w:rPr>
            </w:pPr>
          </w:p>
        </w:tc>
      </w:tr>
      <w:tr>
        <w:trPr>
          <w:trHeight w:val="223"/>
        </w:trPr>
        <w:tc>
          <w:tcPr>
            <w:tcW w:w="7480" w:type="dxa"/>
            <w:vAlign w:val="bottom"/>
          </w:tcPr>
          <w:p>
            <w:pPr>
              <w:ind w:left="20"/>
              <w:spacing w:after="0"/>
              <w:rPr>
                <w:sz w:val="20"/>
                <w:szCs w:val="20"/>
                <w:color w:val="auto"/>
              </w:rPr>
            </w:pPr>
            <w:r>
              <w:rPr>
                <w:rFonts w:ascii="Arial" w:cs="Arial" w:eastAsia="Arial" w:hAnsi="Arial"/>
                <w:sz w:val="16"/>
                <w:szCs w:val="16"/>
                <w:color w:val="auto"/>
              </w:rPr>
              <w:t>Other non-current liabilities</w:t>
            </w:r>
          </w:p>
        </w:tc>
        <w:tc>
          <w:tcPr>
            <w:tcW w:w="260" w:type="dxa"/>
            <w:vAlign w:val="bottom"/>
          </w:tcPr>
          <w:p>
            <w:pPr>
              <w:spacing w:after="0"/>
              <w:rPr>
                <w:sz w:val="19"/>
                <w:szCs w:val="19"/>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15,375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15,582</w:t>
            </w:r>
          </w:p>
        </w:tc>
        <w:tc>
          <w:tcPr>
            <w:tcW w:w="0" w:type="dxa"/>
            <w:vAlign w:val="bottom"/>
          </w:tcPr>
          <w:p>
            <w:pPr>
              <w:spacing w:after="0"/>
              <w:rPr>
                <w:sz w:val="1"/>
                <w:szCs w:val="1"/>
                <w:color w:val="auto"/>
              </w:rPr>
            </w:pPr>
          </w:p>
        </w:tc>
      </w:tr>
      <w:tr>
        <w:trPr>
          <w:trHeight w:val="33"/>
        </w:trPr>
        <w:tc>
          <w:tcPr>
            <w:tcW w:w="7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liabilities</w:t>
            </w:r>
          </w:p>
        </w:tc>
        <w:tc>
          <w:tcPr>
            <w:tcW w:w="26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2,411,838</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2,291,285</w:t>
            </w:r>
          </w:p>
        </w:tc>
        <w:tc>
          <w:tcPr>
            <w:tcW w:w="0" w:type="dxa"/>
            <w:vAlign w:val="bottom"/>
          </w:tcPr>
          <w:p>
            <w:pPr>
              <w:spacing w:after="0"/>
              <w:rPr>
                <w:sz w:val="1"/>
                <w:szCs w:val="1"/>
                <w:color w:val="auto"/>
              </w:rPr>
            </w:pPr>
          </w:p>
        </w:tc>
      </w:tr>
      <w:tr>
        <w:trPr>
          <w:trHeight w:val="203"/>
        </w:trPr>
        <w:tc>
          <w:tcPr>
            <w:tcW w:w="7480" w:type="dxa"/>
            <w:vAlign w:val="bottom"/>
          </w:tcPr>
          <w:p>
            <w:pPr>
              <w:ind w:left="20"/>
              <w:spacing w:after="0"/>
              <w:rPr>
                <w:sz w:val="20"/>
                <w:szCs w:val="20"/>
                <w:color w:val="auto"/>
              </w:rPr>
            </w:pPr>
            <w:r>
              <w:rPr>
                <w:rFonts w:ascii="Arial" w:cs="Arial" w:eastAsia="Arial" w:hAnsi="Arial"/>
                <w:sz w:val="16"/>
                <w:szCs w:val="16"/>
                <w:color w:val="auto"/>
              </w:rPr>
              <w:t>Commitments and contingencies</w:t>
            </w: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7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Stockholders’ deficit:</w:t>
            </w:r>
          </w:p>
        </w:tc>
        <w:tc>
          <w:tcPr>
            <w:tcW w:w="2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7480" w:type="dxa"/>
            <w:vAlign w:val="bottom"/>
          </w:tcPr>
          <w:p>
            <w:pPr>
              <w:ind w:left="220"/>
              <w:spacing w:after="0"/>
              <w:rPr>
                <w:sz w:val="20"/>
                <w:szCs w:val="20"/>
                <w:color w:val="auto"/>
              </w:rPr>
            </w:pPr>
            <w:r>
              <w:rPr>
                <w:rFonts w:ascii="Arial" w:cs="Arial" w:eastAsia="Arial" w:hAnsi="Arial"/>
                <w:sz w:val="16"/>
                <w:szCs w:val="16"/>
                <w:color w:val="auto"/>
              </w:rPr>
              <w:t>Preferred stock, $1 par value, 10,000,000 shares authorized; no shares issued or outstanding</w:t>
            </w:r>
          </w:p>
        </w:tc>
        <w:tc>
          <w:tcPr>
            <w:tcW w:w="260" w:type="dxa"/>
            <w:vAlign w:val="bottom"/>
          </w:tcPr>
          <w:p>
            <w:pPr>
              <w:spacing w:after="0"/>
              <w:rPr>
                <w:sz w:val="22"/>
                <w:szCs w:val="22"/>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748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rPr>
              <w:t>Common stock, $0.01 par value; shares: 40,000,000 authorized; June 30, 2020 - 24,900,436 issued,</w:t>
            </w:r>
          </w:p>
        </w:tc>
        <w:tc>
          <w:tcPr>
            <w:tcW w:w="26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249</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12"/>
        </w:trPr>
        <w:tc>
          <w:tcPr>
            <w:tcW w:w="7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16,417,618 outstanding; December 31, 2019 - 24,925,447 issued, 16,521,921 outstanding</w:t>
            </w:r>
          </w:p>
        </w:tc>
        <w:tc>
          <w:tcPr>
            <w:tcW w:w="260" w:type="dxa"/>
            <w:vAlign w:val="bottom"/>
            <w:shd w:val="clear" w:color="auto" w:fill="CCEEFF"/>
          </w:tcPr>
          <w:p>
            <w:pPr>
              <w:spacing w:after="0"/>
              <w:rPr>
                <w:sz w:val="18"/>
                <w:szCs w:val="18"/>
                <w:color w:val="auto"/>
              </w:rPr>
            </w:pPr>
          </w:p>
        </w:tc>
        <w:tc>
          <w:tcPr>
            <w:tcW w:w="15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7480" w:type="dxa"/>
            <w:vAlign w:val="bottom"/>
          </w:tcPr>
          <w:p>
            <w:pPr>
              <w:ind w:left="180"/>
              <w:spacing w:after="0"/>
              <w:rPr>
                <w:sz w:val="20"/>
                <w:szCs w:val="20"/>
                <w:color w:val="auto"/>
              </w:rPr>
            </w:pPr>
            <w:r>
              <w:rPr>
                <w:rFonts w:ascii="Arial" w:cs="Arial" w:eastAsia="Arial" w:hAnsi="Arial"/>
                <w:sz w:val="16"/>
                <w:szCs w:val="16"/>
                <w:color w:val="auto"/>
              </w:rPr>
              <w:t>Additional paid-in-capital</w:t>
            </w:r>
          </w:p>
        </w:tc>
        <w:tc>
          <w:tcPr>
            <w:tcW w:w="260" w:type="dxa"/>
            <w:vAlign w:val="bottom"/>
          </w:tcPr>
          <w:p>
            <w:pPr>
              <w:spacing w:after="0"/>
              <w:rPr>
                <w:sz w:val="22"/>
                <w:szCs w:val="22"/>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254,429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246,192</w:t>
            </w:r>
          </w:p>
        </w:tc>
        <w:tc>
          <w:tcPr>
            <w:tcW w:w="0" w:type="dxa"/>
            <w:vAlign w:val="bottom"/>
          </w:tcPr>
          <w:p>
            <w:pPr>
              <w:spacing w:after="0"/>
              <w:rPr>
                <w:sz w:val="1"/>
                <w:szCs w:val="1"/>
                <w:color w:val="auto"/>
              </w:rPr>
            </w:pPr>
          </w:p>
        </w:tc>
      </w:tr>
      <w:tr>
        <w:trPr>
          <w:trHeight w:val="259"/>
        </w:trPr>
        <w:tc>
          <w:tcPr>
            <w:tcW w:w="7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deficit) retained earnings</w:t>
            </w:r>
          </w:p>
        </w:tc>
        <w:tc>
          <w:tcPr>
            <w:tcW w:w="26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(64,010)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61,653</w:t>
            </w:r>
          </w:p>
        </w:tc>
        <w:tc>
          <w:tcPr>
            <w:tcW w:w="0" w:type="dxa"/>
            <w:vAlign w:val="bottom"/>
          </w:tcPr>
          <w:p>
            <w:pPr>
              <w:spacing w:after="0"/>
              <w:rPr>
                <w:sz w:val="1"/>
                <w:szCs w:val="1"/>
                <w:color w:val="auto"/>
              </w:rPr>
            </w:pPr>
          </w:p>
        </w:tc>
      </w:tr>
      <w:tr>
        <w:trPr>
          <w:trHeight w:val="253"/>
        </w:trPr>
        <w:tc>
          <w:tcPr>
            <w:tcW w:w="7480" w:type="dxa"/>
            <w:vAlign w:val="bottom"/>
          </w:tcPr>
          <w:p>
            <w:pPr>
              <w:ind w:left="18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Pr>
          <w:p>
            <w:pPr>
              <w:spacing w:after="0"/>
              <w:rPr>
                <w:sz w:val="22"/>
                <w:szCs w:val="22"/>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57"/>
        </w:trPr>
        <w:tc>
          <w:tcPr>
            <w:tcW w:w="7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Treasury stock, at cost; shares: June 30, 2020 - 8,482,818; December 31, 2019 - 8,403,526</w:t>
            </w:r>
          </w:p>
        </w:tc>
        <w:tc>
          <w:tcPr>
            <w:tcW w:w="26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(559,181)</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(549,810)</w:t>
            </w:r>
          </w:p>
        </w:tc>
        <w:tc>
          <w:tcPr>
            <w:tcW w:w="0" w:type="dxa"/>
            <w:vAlign w:val="bottom"/>
          </w:tcPr>
          <w:p>
            <w:pPr>
              <w:spacing w:after="0"/>
              <w:rPr>
                <w:sz w:val="1"/>
                <w:szCs w:val="1"/>
                <w:color w:val="auto"/>
              </w:rPr>
            </w:pPr>
          </w:p>
        </w:tc>
      </w:tr>
      <w:tr>
        <w:trPr>
          <w:trHeight w:val="250"/>
        </w:trPr>
        <w:tc>
          <w:tcPr>
            <w:tcW w:w="748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stockholders’ deficit</w:t>
            </w:r>
          </w:p>
        </w:tc>
        <w:tc>
          <w:tcPr>
            <w:tcW w:w="2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(368,571)</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(241,774)</w:t>
            </w:r>
          </w:p>
        </w:tc>
        <w:tc>
          <w:tcPr>
            <w:tcW w:w="0" w:type="dxa"/>
            <w:vAlign w:val="bottom"/>
          </w:tcPr>
          <w:p>
            <w:pPr>
              <w:spacing w:after="0"/>
              <w:rPr>
                <w:sz w:val="1"/>
                <w:szCs w:val="1"/>
                <w:color w:val="auto"/>
              </w:rPr>
            </w:pPr>
          </w:p>
        </w:tc>
      </w:tr>
      <w:tr>
        <w:trPr>
          <w:trHeight w:val="278"/>
        </w:trPr>
        <w:tc>
          <w:tcPr>
            <w:tcW w:w="7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liabilities and stockholders’ deficit</w:t>
            </w:r>
          </w:p>
        </w:tc>
        <w:tc>
          <w:tcPr>
            <w:tcW w:w="26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2,043,267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2,049,511</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See the accompanying Notes to Consolidated Financial Statements.</w:t>
      </w:r>
    </w:p>
    <w:p>
      <w:pPr>
        <w:sectPr>
          <w:pgSz w:w="11900" w:h="16972" w:orient="portrait"/>
          <w:cols w:equalWidth="0" w:num="1">
            <w:col w:w="11220"/>
          </w:cols>
          <w:pgMar w:left="320" w:top="122" w:right="359" w:bottom="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ectPr>
          <w:pgSz w:w="11900" w:h="16972" w:orient="portrait"/>
          <w:cols w:equalWidth="0" w:num="1">
            <w:col w:w="11220"/>
          </w:cols>
          <w:pgMar w:left="320" w:top="122" w:right="359" w:bottom="0"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119380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46" w:right="1440" w:bottom="1440" w:gutter="0" w:footer="0" w:header="0"/>
        </w:sectPr>
      </w:pPr>
    </w:p>
    <w:bookmarkStart w:id="5" w:name="page6"/>
    <w:bookmarkEnd w:id="5"/>
    <w:p>
      <w:pPr>
        <w:ind w:left="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(Loss)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80" w:type="dxa"/>
            <w:vAlign w:val="bottom"/>
            <w:gridSpan w:val="4"/>
          </w:tcPr>
          <w:p>
            <w:pPr>
              <w:jc w:val="right"/>
              <w:ind w:right="45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00" w:type="dxa"/>
            <w:vAlign w:val="bottom"/>
            <w:gridSpan w:val="4"/>
          </w:tcPr>
          <w:p>
            <w:pPr>
              <w:jc w:val="right"/>
              <w:ind w:right="550"/>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0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 2020</w:t>
            </w: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0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 2020</w:t>
            </w: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5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ind w:right="350"/>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5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ind w:right="370"/>
              <w:spacing w:after="0"/>
              <w:rPr>
                <w:sz w:val="20"/>
                <w:szCs w:val="20"/>
                <w:color w:val="auto"/>
              </w:rPr>
            </w:pPr>
            <w:r>
              <w:rPr>
                <w:rFonts w:ascii="Arial" w:cs="Arial" w:eastAsia="Arial" w:hAnsi="Arial"/>
                <w:sz w:val="16"/>
                <w:szCs w:val="16"/>
                <w:b w:val="1"/>
                <w:bCs w:val="1"/>
                <w:color w:val="auto"/>
                <w:w w:val="89"/>
              </w:rPr>
              <w:t>2019</w:t>
            </w:r>
          </w:p>
        </w:tc>
        <w:tc>
          <w:tcPr>
            <w:tcW w:w="0" w:type="dxa"/>
            <w:vAlign w:val="bottom"/>
          </w:tcPr>
          <w:p>
            <w:pPr>
              <w:spacing w:after="0"/>
              <w:rPr>
                <w:sz w:val="1"/>
                <w:szCs w:val="1"/>
                <w:color w:val="auto"/>
              </w:rPr>
            </w:pPr>
          </w:p>
        </w:tc>
      </w:tr>
      <w:tr>
        <w:trPr>
          <w:trHeight w:val="33"/>
        </w:trPr>
        <w:tc>
          <w:tcPr>
            <w:tcW w:w="6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40" w:type="dxa"/>
            <w:vAlign w:val="bottom"/>
            <w:gridSpan w:val="2"/>
            <w:vMerge w:val="continue"/>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Franchise revenues:</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020" w:type="dxa"/>
            <w:vAlign w:val="bottom"/>
          </w:tcPr>
          <w:p>
            <w:pPr>
              <w:ind w:left="400"/>
              <w:spacing w:after="0"/>
              <w:rPr>
                <w:sz w:val="20"/>
                <w:szCs w:val="20"/>
                <w:color w:val="auto"/>
              </w:rPr>
            </w:pPr>
            <w:r>
              <w:rPr>
                <w:rFonts w:ascii="Arial" w:cs="Arial" w:eastAsia="Arial" w:hAnsi="Arial"/>
                <w:sz w:val="18"/>
                <w:szCs w:val="18"/>
                <w:color w:val="auto"/>
              </w:rPr>
              <w:t>Royalties, franchise fees and other</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38,781</w:t>
            </w:r>
          </w:p>
        </w:tc>
        <w:tc>
          <w:tcPr>
            <w:tcW w:w="5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90,930</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122,095</w:t>
            </w:r>
          </w:p>
        </w:tc>
        <w:tc>
          <w:tcPr>
            <w:tcW w:w="12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w w:val="95"/>
              </w:rPr>
              <w:t>187,226</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Advertising revenues</w:t>
            </w: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29,095</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71,738</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90,818</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5"/>
              </w:rPr>
              <w:t>144,368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20" w:type="dxa"/>
            <w:vAlign w:val="bottom"/>
          </w:tcPr>
          <w:p>
            <w:pPr>
              <w:ind w:left="220"/>
              <w:spacing w:after="0"/>
              <w:rPr>
                <w:sz w:val="20"/>
                <w:szCs w:val="20"/>
                <w:color w:val="auto"/>
              </w:rPr>
            </w:pPr>
            <w:r>
              <w:rPr>
                <w:rFonts w:ascii="Arial" w:cs="Arial" w:eastAsia="Arial" w:hAnsi="Arial"/>
                <w:sz w:val="18"/>
                <w:szCs w:val="18"/>
                <w:color w:val="auto"/>
              </w:rPr>
              <w:t>Total franchise revenues</w:t>
            </w:r>
          </w:p>
        </w:tc>
        <w:tc>
          <w:tcPr>
            <w:tcW w:w="260" w:type="dxa"/>
            <w:vAlign w:val="bottom"/>
          </w:tcPr>
          <w:p>
            <w:pPr>
              <w:spacing w:after="0"/>
              <w:rPr>
                <w:sz w:val="20"/>
                <w:szCs w:val="20"/>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67,876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w w:val="95"/>
              </w:rPr>
              <w:t>162,668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212,913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w w:val="95"/>
              </w:rPr>
              <w:t>331,594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Company restaurant sales</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16,774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33,751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48,074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69,486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20" w:type="dxa"/>
            <w:vAlign w:val="bottom"/>
          </w:tcPr>
          <w:p>
            <w:pPr>
              <w:ind w:left="220"/>
              <w:spacing w:after="0"/>
              <w:rPr>
                <w:sz w:val="20"/>
                <w:szCs w:val="20"/>
                <w:color w:val="auto"/>
              </w:rPr>
            </w:pPr>
            <w:r>
              <w:rPr>
                <w:rFonts w:ascii="Arial" w:cs="Arial" w:eastAsia="Arial" w:hAnsi="Arial"/>
                <w:sz w:val="18"/>
                <w:szCs w:val="18"/>
                <w:color w:val="auto"/>
              </w:rPr>
              <w:t>Rental revenues</w:t>
            </w:r>
          </w:p>
        </w:tc>
        <w:tc>
          <w:tcPr>
            <w:tcW w:w="26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23,707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29,878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52,716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60,589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Financing revenues</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1,355</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1,783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2,893</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3,593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20" w:type="dxa"/>
            <w:vAlign w:val="bottom"/>
          </w:tcPr>
          <w:p>
            <w:pPr>
              <w:ind w:left="460"/>
              <w:spacing w:after="0"/>
              <w:rPr>
                <w:sz w:val="20"/>
                <w:szCs w:val="20"/>
                <w:color w:val="auto"/>
              </w:rPr>
            </w:pPr>
            <w:r>
              <w:rPr>
                <w:rFonts w:ascii="Arial" w:cs="Arial" w:eastAsia="Arial" w:hAnsi="Arial"/>
                <w:sz w:val="18"/>
                <w:szCs w:val="18"/>
                <w:color w:val="auto"/>
              </w:rPr>
              <w:t>Total revenues</w:t>
            </w: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109,712</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5"/>
              </w:rPr>
              <w:t>228,080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316,596</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5"/>
              </w:rPr>
              <w:t>465,262</w:t>
            </w:r>
          </w:p>
        </w:tc>
        <w:tc>
          <w:tcPr>
            <w:tcW w:w="0" w:type="dxa"/>
            <w:vAlign w:val="bottom"/>
          </w:tcPr>
          <w:p>
            <w:pPr>
              <w:spacing w:after="0"/>
              <w:rPr>
                <w:sz w:val="1"/>
                <w:szCs w:val="1"/>
                <w:color w:val="auto"/>
              </w:rPr>
            </w:pPr>
          </w:p>
        </w:tc>
      </w:tr>
      <w:tr>
        <w:trPr>
          <w:trHeight w:val="27"/>
        </w:trPr>
        <w:tc>
          <w:tcPr>
            <w:tcW w:w="60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26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20" w:type="dxa"/>
            <w:vAlign w:val="bottom"/>
          </w:tcPr>
          <w:p>
            <w:pPr>
              <w:ind w:left="220"/>
              <w:spacing w:after="0"/>
              <w:rPr>
                <w:sz w:val="20"/>
                <w:szCs w:val="20"/>
                <w:color w:val="auto"/>
              </w:rPr>
            </w:pPr>
            <w:r>
              <w:rPr>
                <w:rFonts w:ascii="Arial" w:cs="Arial" w:eastAsia="Arial" w:hAnsi="Arial"/>
                <w:sz w:val="18"/>
                <w:szCs w:val="18"/>
                <w:color w:val="auto"/>
              </w:rPr>
              <w:t>Franchise expenses:</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Advertising expenses</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29,095</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71,738</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90,818</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5"/>
              </w:rPr>
              <w:t>144,368</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020" w:type="dxa"/>
            <w:vAlign w:val="bottom"/>
          </w:tcPr>
          <w:p>
            <w:pPr>
              <w:ind w:left="400"/>
              <w:spacing w:after="0"/>
              <w:rPr>
                <w:sz w:val="20"/>
                <w:szCs w:val="20"/>
                <w:color w:val="auto"/>
              </w:rPr>
            </w:pPr>
            <w:r>
              <w:rPr>
                <w:rFonts w:ascii="Arial" w:cs="Arial" w:eastAsia="Arial" w:hAnsi="Arial"/>
                <w:sz w:val="18"/>
                <w:szCs w:val="18"/>
                <w:color w:val="auto"/>
              </w:rPr>
              <w:t>Bad debt expense (credit)</w:t>
            </w:r>
          </w:p>
        </w:tc>
        <w:tc>
          <w:tcPr>
            <w:tcW w:w="260" w:type="dxa"/>
            <w:vAlign w:val="bottom"/>
          </w:tcPr>
          <w:p>
            <w:pPr>
              <w:spacing w:after="0"/>
              <w:rPr>
                <w:sz w:val="23"/>
                <w:szCs w:val="23"/>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5,053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5,571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franchise expenses</w:t>
            </w: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2,932</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7,295</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10,141</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15,435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20" w:type="dxa"/>
            <w:vAlign w:val="bottom"/>
          </w:tcPr>
          <w:p>
            <w:pPr>
              <w:ind w:left="220"/>
              <w:spacing w:after="0"/>
              <w:rPr>
                <w:sz w:val="20"/>
                <w:szCs w:val="20"/>
                <w:color w:val="auto"/>
              </w:rPr>
            </w:pPr>
            <w:r>
              <w:rPr>
                <w:rFonts w:ascii="Arial" w:cs="Arial" w:eastAsia="Arial" w:hAnsi="Arial"/>
                <w:sz w:val="18"/>
                <w:szCs w:val="18"/>
                <w:color w:val="auto"/>
              </w:rPr>
              <w:t>Total franchise expenses</w:t>
            </w:r>
          </w:p>
        </w:tc>
        <w:tc>
          <w:tcPr>
            <w:tcW w:w="260" w:type="dxa"/>
            <w:vAlign w:val="bottom"/>
          </w:tcPr>
          <w:p>
            <w:pPr>
              <w:spacing w:after="0"/>
              <w:rPr>
                <w:sz w:val="20"/>
                <w:szCs w:val="20"/>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37,080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78,907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106,530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w w:val="95"/>
              </w:rPr>
              <w:t>159,210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Company restaurant expenses</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21,139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31,232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51,471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62,770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20" w:type="dxa"/>
            <w:vAlign w:val="bottom"/>
          </w:tcPr>
          <w:p>
            <w:pPr>
              <w:ind w:left="220"/>
              <w:spacing w:after="0"/>
              <w:rPr>
                <w:sz w:val="20"/>
                <w:szCs w:val="20"/>
                <w:color w:val="auto"/>
              </w:rPr>
            </w:pPr>
            <w:r>
              <w:rPr>
                <w:rFonts w:ascii="Arial" w:cs="Arial" w:eastAsia="Arial" w:hAnsi="Arial"/>
                <w:sz w:val="18"/>
                <w:szCs w:val="18"/>
                <w:color w:val="auto"/>
              </w:rPr>
              <w:t>Rental expenses:</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expense from finance leases</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1,137</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1,445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2,347</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2,974</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02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Other rental expenses</w:t>
            </w: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20,106</w:t>
            </w:r>
          </w:p>
        </w:tc>
        <w:tc>
          <w:tcPr>
            <w:tcW w:w="1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21,495</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41,429</w:t>
            </w:r>
          </w:p>
        </w:tc>
        <w:tc>
          <w:tcPr>
            <w:tcW w:w="1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42,590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rental expenses</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21,243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22,940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43,776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45,564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20" w:type="dxa"/>
            <w:vAlign w:val="bottom"/>
          </w:tcPr>
          <w:p>
            <w:pPr>
              <w:ind w:left="220"/>
              <w:spacing w:after="0"/>
              <w:rPr>
                <w:sz w:val="20"/>
                <w:szCs w:val="20"/>
                <w:color w:val="auto"/>
              </w:rPr>
            </w:pPr>
            <w:r>
              <w:rPr>
                <w:rFonts w:ascii="Arial" w:cs="Arial" w:eastAsia="Arial" w:hAnsi="Arial"/>
                <w:sz w:val="18"/>
                <w:szCs w:val="18"/>
                <w:color w:val="auto"/>
              </w:rPr>
              <w:t>Financing expenses</w:t>
            </w:r>
          </w:p>
        </w:tc>
        <w:tc>
          <w:tcPr>
            <w:tcW w:w="26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cost of revenues</w:t>
            </w: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79,590</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5"/>
              </w:rPr>
              <w:t>133,225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202,047</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5"/>
              </w:rPr>
              <w:t>267,836</w:t>
            </w:r>
          </w:p>
        </w:tc>
        <w:tc>
          <w:tcPr>
            <w:tcW w:w="0" w:type="dxa"/>
            <w:vAlign w:val="bottom"/>
          </w:tcPr>
          <w:p>
            <w:pPr>
              <w:spacing w:after="0"/>
              <w:rPr>
                <w:sz w:val="1"/>
                <w:szCs w:val="1"/>
                <w:color w:val="auto"/>
              </w:rPr>
            </w:pPr>
          </w:p>
        </w:tc>
      </w:tr>
      <w:tr>
        <w:trPr>
          <w:trHeight w:val="263"/>
        </w:trPr>
        <w:tc>
          <w:tcPr>
            <w:tcW w:w="6040" w:type="dxa"/>
            <w:vAlign w:val="bottom"/>
            <w:gridSpan w:val="2"/>
          </w:tcPr>
          <w:p>
            <w:pPr>
              <w:spacing w:after="0"/>
              <w:rPr>
                <w:sz w:val="20"/>
                <w:szCs w:val="20"/>
                <w:color w:val="auto"/>
              </w:rPr>
            </w:pPr>
            <w:r>
              <w:rPr>
                <w:rFonts w:ascii="Arial" w:cs="Arial" w:eastAsia="Arial" w:hAnsi="Arial"/>
                <w:sz w:val="18"/>
                <w:szCs w:val="18"/>
                <w:b w:val="1"/>
                <w:bCs w:val="1"/>
                <w:color w:val="auto"/>
              </w:rPr>
              <w:t>Gross profit</w:t>
            </w:r>
          </w:p>
        </w:tc>
        <w:tc>
          <w:tcPr>
            <w:tcW w:w="26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30,122</w:t>
            </w:r>
          </w:p>
        </w:tc>
        <w:tc>
          <w:tcPr>
            <w:tcW w:w="12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94,855</w:t>
            </w: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114,549</w:t>
            </w:r>
          </w:p>
        </w:tc>
        <w:tc>
          <w:tcPr>
            <w:tcW w:w="12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5"/>
              </w:rPr>
              <w:t>197,426</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30,870</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39,364</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68,478</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82,183</w:t>
            </w:r>
          </w:p>
        </w:tc>
        <w:tc>
          <w:tcPr>
            <w:tcW w:w="0" w:type="dxa"/>
            <w:vAlign w:val="bottom"/>
          </w:tcPr>
          <w:p>
            <w:pPr>
              <w:spacing w:after="0"/>
              <w:rPr>
                <w:sz w:val="1"/>
                <w:szCs w:val="1"/>
                <w:color w:val="auto"/>
              </w:rPr>
            </w:pPr>
          </w:p>
        </w:tc>
      </w:tr>
      <w:tr>
        <w:trPr>
          <w:trHeight w:val="270"/>
        </w:trPr>
        <w:tc>
          <w:tcPr>
            <w:tcW w:w="604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23"/>
                <w:szCs w:val="23"/>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17,127</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14,602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32,299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29,995</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Impairment and closure charges</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124,365</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289</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124,353</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70"/>
        </w:trPr>
        <w:tc>
          <w:tcPr>
            <w:tcW w:w="6040" w:type="dxa"/>
            <w:vAlign w:val="bottom"/>
            <w:gridSpan w:val="2"/>
          </w:tcPr>
          <w:p>
            <w:pPr>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tcPr>
          <w:p>
            <w:pPr>
              <w:spacing w:after="0"/>
              <w:rPr>
                <w:sz w:val="23"/>
                <w:szCs w:val="23"/>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2,755</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2,925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5,581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5,849</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8,276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8,276</w:t>
            </w:r>
          </w:p>
        </w:tc>
        <w:tc>
          <w:tcPr>
            <w:tcW w:w="0" w:type="dxa"/>
            <w:vAlign w:val="bottom"/>
          </w:tcPr>
          <w:p>
            <w:pPr>
              <w:spacing w:after="0"/>
              <w:rPr>
                <w:sz w:val="1"/>
                <w:szCs w:val="1"/>
                <w:color w:val="auto"/>
              </w:rPr>
            </w:pPr>
          </w:p>
        </w:tc>
      </w:tr>
      <w:tr>
        <w:trPr>
          <w:trHeight w:val="270"/>
        </w:trPr>
        <w:tc>
          <w:tcPr>
            <w:tcW w:w="6040" w:type="dxa"/>
            <w:vAlign w:val="bottom"/>
            <w:gridSpan w:val="2"/>
          </w:tcPr>
          <w:p>
            <w:pPr>
              <w:spacing w:after="0"/>
              <w:rPr>
                <w:sz w:val="20"/>
                <w:szCs w:val="20"/>
                <w:color w:val="auto"/>
              </w:rPr>
            </w:pPr>
            <w:r>
              <w:rPr>
                <w:rFonts w:ascii="Arial" w:cs="Arial" w:eastAsia="Arial" w:hAnsi="Arial"/>
                <w:sz w:val="18"/>
                <w:szCs w:val="18"/>
                <w:color w:val="auto"/>
              </w:rPr>
              <w:t>Loss on disposition of assets</w:t>
            </w:r>
          </w:p>
        </w:tc>
        <w:tc>
          <w:tcPr>
            <w:tcW w:w="260" w:type="dxa"/>
            <w:vAlign w:val="bottom"/>
          </w:tcPr>
          <w:p>
            <w:pPr>
              <w:spacing w:after="0"/>
              <w:rPr>
                <w:sz w:val="23"/>
                <w:szCs w:val="23"/>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1,776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1,543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income before income tax provision</w:t>
            </w:r>
          </w:p>
        </w:tc>
        <w:tc>
          <w:tcPr>
            <w:tcW w:w="26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(146,771)</w:t>
            </w:r>
          </w:p>
        </w:tc>
        <w:tc>
          <w:tcPr>
            <w:tcW w:w="12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29,067</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(117,705)</w:t>
            </w:r>
          </w:p>
        </w:tc>
        <w:tc>
          <w:tcPr>
            <w:tcW w:w="12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70,199</w:t>
            </w:r>
          </w:p>
        </w:tc>
        <w:tc>
          <w:tcPr>
            <w:tcW w:w="0" w:type="dxa"/>
            <w:vAlign w:val="bottom"/>
          </w:tcPr>
          <w:p>
            <w:pPr>
              <w:spacing w:after="0"/>
              <w:rPr>
                <w:sz w:val="1"/>
                <w:szCs w:val="1"/>
                <w:color w:val="auto"/>
              </w:rPr>
            </w:pPr>
          </w:p>
        </w:tc>
      </w:tr>
      <w:tr>
        <w:trPr>
          <w:trHeight w:val="270"/>
        </w:trPr>
        <w:tc>
          <w:tcPr>
            <w:tcW w:w="6040" w:type="dxa"/>
            <w:vAlign w:val="bottom"/>
            <w:gridSpan w:val="2"/>
          </w:tcPr>
          <w:p>
            <w:pPr>
              <w:spacing w:after="0"/>
              <w:rPr>
                <w:sz w:val="20"/>
                <w:szCs w:val="20"/>
                <w:color w:val="auto"/>
              </w:rPr>
            </w:pPr>
            <w:r>
              <w:rPr>
                <w:rFonts w:ascii="Arial" w:cs="Arial" w:eastAsia="Arial" w:hAnsi="Arial"/>
                <w:sz w:val="18"/>
                <w:szCs w:val="18"/>
                <w:color w:val="auto"/>
              </w:rPr>
              <w:t>Income tax benefit (provision)</w:t>
            </w:r>
          </w:p>
        </w:tc>
        <w:tc>
          <w:tcPr>
            <w:tcW w:w="260" w:type="dxa"/>
            <w:vAlign w:val="bottom"/>
          </w:tcPr>
          <w:p>
            <w:pPr>
              <w:spacing w:after="0"/>
              <w:rPr>
                <w:sz w:val="23"/>
                <w:szCs w:val="23"/>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11,992</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(7,677)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5,254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(17,166)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income</w:t>
            </w:r>
          </w:p>
        </w:tc>
        <w:tc>
          <w:tcPr>
            <w:tcW w:w="26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(134,779)</w:t>
            </w:r>
          </w:p>
        </w:tc>
        <w:tc>
          <w:tcPr>
            <w:tcW w:w="12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21,390</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(112,451)</w:t>
            </w:r>
          </w:p>
        </w:tc>
        <w:tc>
          <w:tcPr>
            <w:tcW w:w="12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53,033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b w:val="1"/>
                <w:bCs w:val="1"/>
                <w:color w:val="auto"/>
              </w:rPr>
              <w:t>Other comprehensive income net of tax:</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020" w:type="dxa"/>
            <w:vAlign w:val="bottom"/>
          </w:tcPr>
          <w:p>
            <w:pPr>
              <w:ind w:left="460"/>
              <w:spacing w:after="0"/>
              <w:rPr>
                <w:sz w:val="20"/>
                <w:szCs w:val="20"/>
                <w:color w:val="auto"/>
              </w:rPr>
            </w:pPr>
            <w:r>
              <w:rPr>
                <w:rFonts w:ascii="Arial" w:cs="Arial" w:eastAsia="Arial" w:hAnsi="Arial"/>
                <w:sz w:val="18"/>
                <w:szCs w:val="18"/>
                <w:color w:val="auto"/>
              </w:rPr>
              <w:t>Foreign currency translation adjustment</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6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comprehensive (loss) income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(134,779)</w:t>
            </w:r>
          </w:p>
        </w:tc>
        <w:tc>
          <w:tcPr>
            <w:tcW w:w="120" w:type="dxa"/>
            <w:vAlign w:val="bottom"/>
          </w:tcPr>
          <w:p>
            <w:pPr>
              <w:spacing w:after="0"/>
              <w:rPr>
                <w:sz w:val="24"/>
                <w:szCs w:val="24"/>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21,392</w:t>
            </w:r>
          </w:p>
        </w:tc>
        <w:tc>
          <w:tcPr>
            <w:tcW w:w="120" w:type="dxa"/>
            <w:vAlign w:val="bottom"/>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(112,451)</w:t>
            </w:r>
          </w:p>
        </w:tc>
        <w:tc>
          <w:tcPr>
            <w:tcW w:w="120" w:type="dxa"/>
            <w:vAlign w:val="bottom"/>
          </w:tcPr>
          <w:p>
            <w:pPr>
              <w:spacing w:after="0"/>
              <w:rPr>
                <w:sz w:val="24"/>
                <w:szCs w:val="24"/>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53,034</w:t>
            </w: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(loss) income available to common stockholders:</w:t>
            </w: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04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(134,779)</w:t>
            </w:r>
          </w:p>
        </w:tc>
        <w:tc>
          <w:tcPr>
            <w:tcW w:w="5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21,390</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(112,451)</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53,033</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0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w w:val="97"/>
              </w:rPr>
              <w:t>Less: Net loss (income) allocated to unvested participating restricted stock</w:t>
            </w: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4,763</w:t>
            </w:r>
          </w:p>
        </w:tc>
        <w:tc>
          <w:tcPr>
            <w:tcW w:w="1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(719)</w:t>
            </w: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3,961</w:t>
            </w:r>
          </w:p>
        </w:tc>
        <w:tc>
          <w:tcPr>
            <w:tcW w:w="1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(1,827)</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income available to common stockholders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(130,016)</w:t>
            </w:r>
          </w:p>
        </w:tc>
        <w:tc>
          <w:tcPr>
            <w:tcW w:w="120" w:type="dxa"/>
            <w:vAlign w:val="bottom"/>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20,671</w:t>
            </w:r>
          </w:p>
        </w:tc>
        <w:tc>
          <w:tcPr>
            <w:tcW w:w="120" w:type="dxa"/>
            <w:vAlign w:val="bottom"/>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(108,490)</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51,206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(loss) income available to common stockholders per share:</w:t>
            </w: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04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020" w:type="dxa"/>
            <w:vAlign w:val="bottom"/>
          </w:tcPr>
          <w:p>
            <w:pPr>
              <w:ind w:left="22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(8.04)</w:t>
            </w:r>
          </w:p>
        </w:tc>
        <w:tc>
          <w:tcPr>
            <w:tcW w:w="5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1.20</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(6.69)</w:t>
            </w:r>
          </w:p>
        </w:tc>
        <w:tc>
          <w:tcPr>
            <w:tcW w:w="12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0" w:type="dxa"/>
            <w:vAlign w:val="bottom"/>
          </w:tcPr>
          <w:p>
            <w:pPr>
              <w:spacing w:after="0"/>
              <w:rPr>
                <w:sz w:val="24"/>
                <w:szCs w:val="24"/>
                <w:color w:val="auto"/>
              </w:rPr>
            </w:pPr>
          </w:p>
        </w:tc>
        <w:tc>
          <w:tcPr>
            <w:tcW w:w="6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(8.04)</w:t>
            </w: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(6.69)</w:t>
            </w: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04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020" w:type="dxa"/>
            <w:vAlign w:val="bottom"/>
          </w:tcPr>
          <w:p>
            <w:pPr>
              <w:ind w:left="22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16,177</w:t>
            </w:r>
          </w:p>
        </w:tc>
        <w:tc>
          <w:tcPr>
            <w:tcW w:w="1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17,181</w:t>
            </w: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16,215</w:t>
            </w:r>
          </w:p>
        </w:tc>
        <w:tc>
          <w:tcPr>
            <w:tcW w:w="1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17,262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20" w:type="dxa"/>
            <w:vAlign w:val="bottom"/>
          </w:tcPr>
          <w:p>
            <w:pPr>
              <w:spacing w:after="0"/>
              <w:rPr>
                <w:sz w:val="24"/>
                <w:szCs w:val="24"/>
                <w:color w:val="auto"/>
              </w:rPr>
            </w:pPr>
          </w:p>
        </w:tc>
        <w:tc>
          <w:tcPr>
            <w:tcW w:w="6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16,177</w:t>
            </w: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17,563</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16,215</w:t>
            </w: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17,626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the accompanying Notes to Consolidated Financial Statements.</w:t>
      </w:r>
    </w:p>
    <w:p>
      <w:pPr>
        <w:sectPr>
          <w:pgSz w:w="11900" w:h="16838" w:orient="portrait"/>
          <w:cols w:equalWidth="0" w:num="1">
            <w:col w:w="11260"/>
          </w:cols>
          <w:pgMar w:left="300" w:top="121"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60"/>
          </w:cols>
          <w:pgMar w:left="300" w:top="121" w:right="339" w:bottom="0" w:gutter="0" w:footer="0" w:header="0"/>
          <w:type w:val="continuous"/>
        </w:sectPr>
      </w:pPr>
    </w:p>
    <w:bookmarkStart w:id="6" w:name="page7"/>
    <w:bookmarkEnd w:id="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Stockholders' Deficit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540" w:type="dxa"/>
            <w:vAlign w:val="bottom"/>
            <w:gridSpan w:val="7"/>
          </w:tcPr>
          <w:p>
            <w:pPr>
              <w:spacing w:after="0"/>
              <w:rPr>
                <w:sz w:val="20"/>
                <w:szCs w:val="20"/>
                <w:color w:val="auto"/>
              </w:rPr>
            </w:pPr>
            <w:r>
              <w:rPr>
                <w:rFonts w:ascii="Arial" w:cs="Arial" w:eastAsia="Arial" w:hAnsi="Arial"/>
                <w:sz w:val="16"/>
                <w:szCs w:val="16"/>
                <w:b w:val="1"/>
                <w:bCs w:val="1"/>
                <w:color w:val="auto"/>
                <w:w w:val="95"/>
              </w:rPr>
              <w:t>Three Months ended June 30, 2020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33"/>
        </w:trPr>
        <w:tc>
          <w:tcPr>
            <w:tcW w:w="3380" w:type="dxa"/>
            <w:vAlign w:val="bottom"/>
          </w:tcPr>
          <w:p>
            <w:pPr>
              <w:spacing w:after="0"/>
              <w:rPr>
                <w:sz w:val="2"/>
                <w:szCs w:val="2"/>
                <w:color w:val="auto"/>
              </w:rPr>
            </w:pPr>
          </w:p>
        </w:tc>
        <w:tc>
          <w:tcPr>
            <w:tcW w:w="184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96"/>
        </w:trPr>
        <w:tc>
          <w:tcPr>
            <w:tcW w:w="3380" w:type="dxa"/>
            <w:vAlign w:val="bottom"/>
          </w:tcPr>
          <w:p>
            <w:pPr>
              <w:spacing w:after="0"/>
              <w:rPr>
                <w:sz w:val="17"/>
                <w:szCs w:val="17"/>
                <w:color w:val="auto"/>
              </w:rPr>
            </w:pPr>
          </w:p>
        </w:tc>
        <w:tc>
          <w:tcPr>
            <w:tcW w:w="1840" w:type="dxa"/>
            <w:vAlign w:val="bottom"/>
            <w:gridSpan w:val="5"/>
          </w:tcPr>
          <w:p>
            <w:pPr>
              <w:ind w:left="44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Accumulated</w:t>
            </w:r>
          </w:p>
        </w:tc>
        <w:tc>
          <w:tcPr>
            <w:tcW w:w="1660" w:type="dxa"/>
            <w:vAlign w:val="bottom"/>
            <w:gridSpan w:val="5"/>
          </w:tcPr>
          <w:p>
            <w:pPr>
              <w:jc w:val="center"/>
              <w:ind w:right="120"/>
              <w:spacing w:after="0"/>
              <w:rPr>
                <w:sz w:val="20"/>
                <w:szCs w:val="20"/>
                <w:color w:val="auto"/>
              </w:rPr>
            </w:pPr>
            <w:r>
              <w:rPr>
                <w:rFonts w:ascii="Arial" w:cs="Arial" w:eastAsia="Arial" w:hAnsi="Arial"/>
                <w:sz w:val="13"/>
                <w:szCs w:val="13"/>
                <w:b w:val="1"/>
                <w:bCs w:val="1"/>
                <w:color w:val="auto"/>
                <w:w w:val="87"/>
              </w:rPr>
              <w:t>Treasury Stock</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24"/>
        </w:trPr>
        <w:tc>
          <w:tcPr>
            <w:tcW w:w="338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ind w:right="70"/>
              <w:spacing w:after="0" w:line="124" w:lineRule="exact"/>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40"/>
              <w:spacing w:after="0" w:line="124" w:lineRule="exact"/>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0"/>
                <w:szCs w:val="10"/>
                <w:color w:val="auto"/>
              </w:rPr>
            </w:pPr>
          </w:p>
        </w:tc>
        <w:tc>
          <w:tcPr>
            <w:tcW w:w="1160" w:type="dxa"/>
            <w:vAlign w:val="bottom"/>
            <w:gridSpan w:val="2"/>
          </w:tcPr>
          <w:p>
            <w:pPr>
              <w:jc w:val="center"/>
              <w:ind w:right="240"/>
              <w:spacing w:after="0" w:line="124" w:lineRule="exact"/>
              <w:rPr>
                <w:sz w:val="20"/>
                <w:szCs w:val="20"/>
                <w:color w:val="auto"/>
              </w:rPr>
            </w:pPr>
            <w:r>
              <w:rPr>
                <w:rFonts w:ascii="Arial" w:cs="Arial" w:eastAsia="Arial" w:hAnsi="Arial"/>
                <w:sz w:val="13"/>
                <w:szCs w:val="13"/>
                <w:b w:val="1"/>
                <w:bCs w:val="1"/>
                <w:color w:val="auto"/>
                <w:w w:val="92"/>
              </w:rPr>
              <w:t>Other</w:t>
            </w:r>
          </w:p>
        </w:tc>
        <w:tc>
          <w:tcPr>
            <w:tcW w:w="5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35"/>
        </w:trPr>
        <w:tc>
          <w:tcPr>
            <w:tcW w:w="3380" w:type="dxa"/>
            <w:vAlign w:val="bottom"/>
          </w:tcPr>
          <w:p>
            <w:pPr>
              <w:spacing w:after="0"/>
              <w:rPr>
                <w:sz w:val="11"/>
                <w:szCs w:val="11"/>
                <w:color w:val="auto"/>
              </w:rPr>
            </w:pPr>
          </w:p>
        </w:tc>
        <w:tc>
          <w:tcPr>
            <w:tcW w:w="1080" w:type="dxa"/>
            <w:vAlign w:val="bottom"/>
            <w:gridSpan w:val="2"/>
          </w:tcPr>
          <w:p>
            <w:pPr>
              <w:ind w:left="300"/>
              <w:spacing w:after="0" w:line="135" w:lineRule="exact"/>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ind w:right="170"/>
              <w:spacing w:after="0" w:line="135" w:lineRule="exact"/>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1"/>
                <w:szCs w:val="11"/>
                <w:color w:val="auto"/>
              </w:rPr>
            </w:pPr>
          </w:p>
        </w:tc>
        <w:tc>
          <w:tcPr>
            <w:tcW w:w="116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Deficit) Retained</w:t>
            </w:r>
          </w:p>
        </w:tc>
        <w:tc>
          <w:tcPr>
            <w:tcW w:w="120" w:type="dxa"/>
            <w:vAlign w:val="bottom"/>
          </w:tcPr>
          <w:p>
            <w:pPr>
              <w:spacing w:after="0"/>
              <w:rPr>
                <w:sz w:val="11"/>
                <w:szCs w:val="11"/>
                <w:color w:val="auto"/>
              </w:rPr>
            </w:pPr>
          </w:p>
        </w:tc>
        <w:tc>
          <w:tcPr>
            <w:tcW w:w="11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74"/>
        </w:trPr>
        <w:tc>
          <w:tcPr>
            <w:tcW w:w="338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3"/>
                <w:szCs w:val="13"/>
                <w:b w:val="1"/>
                <w:bCs w:val="1"/>
                <w:color w:val="auto"/>
              </w:rPr>
              <w:t>Outstanding</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85"/>
              </w:rPr>
              <w:t>Amount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3"/>
                <w:szCs w:val="13"/>
                <w:b w:val="1"/>
                <w:bCs w:val="1"/>
                <w:color w:val="auto"/>
              </w:rPr>
              <w:t>Capital</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0"/>
              <w:spacing w:after="0"/>
              <w:rPr>
                <w:sz w:val="20"/>
                <w:szCs w:val="20"/>
                <w:color w:val="auto"/>
              </w:rPr>
            </w:pPr>
            <w:r>
              <w:rPr>
                <w:rFonts w:ascii="Arial" w:cs="Arial" w:eastAsia="Arial" w:hAnsi="Arial"/>
                <w:sz w:val="13"/>
                <w:szCs w:val="13"/>
                <w:b w:val="1"/>
                <w:bCs w:val="1"/>
                <w:color w:val="auto"/>
                <w:w w:val="86"/>
              </w:rPr>
              <w:t>Earnings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51"/>
              <w:spacing w:after="0"/>
              <w:rPr>
                <w:sz w:val="20"/>
                <w:szCs w:val="20"/>
                <w:color w:val="auto"/>
              </w:rPr>
            </w:pPr>
            <w:r>
              <w:rPr>
                <w:rFonts w:ascii="Arial" w:cs="Arial" w:eastAsia="Arial" w:hAnsi="Arial"/>
                <w:sz w:val="13"/>
                <w:szCs w:val="13"/>
                <w:b w:val="1"/>
                <w:bCs w:val="1"/>
                <w:color w:val="auto"/>
                <w:w w:val="78"/>
              </w:rPr>
              <w:t>Loss</w:t>
            </w:r>
          </w:p>
        </w:tc>
        <w:tc>
          <w:tcPr>
            <w:tcW w:w="1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b w:val="1"/>
                <w:bCs w:val="1"/>
                <w:color w:val="auto"/>
              </w:rPr>
              <w:t>Cost</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b w:val="1"/>
                <w:bCs w:val="1"/>
                <w:color w:val="auto"/>
              </w:rPr>
              <w:t>Total</w:t>
            </w:r>
          </w:p>
        </w:tc>
      </w:tr>
      <w:tr>
        <w:trPr>
          <w:trHeight w:val="243"/>
        </w:trPr>
        <w:tc>
          <w:tcPr>
            <w:tcW w:w="3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2020</w:t>
            </w: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16,421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249</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252,443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70,769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center"/>
              <w:ind w:left="531"/>
              <w:spacing w:after="0"/>
              <w:rPr>
                <w:sz w:val="20"/>
                <w:szCs w:val="20"/>
                <w:color w:val="auto"/>
              </w:rPr>
            </w:pPr>
            <w:r>
              <w:rPr>
                <w:rFonts w:ascii="Arial" w:cs="Arial" w:eastAsia="Arial" w:hAnsi="Arial"/>
                <w:sz w:val="14"/>
                <w:szCs w:val="14"/>
                <w:color w:val="auto"/>
                <w:w w:val="96"/>
              </w:rPr>
              <w:t>(58)</w:t>
            </w: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8,496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(559,780)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(236,377)</w:t>
            </w:r>
          </w:p>
        </w:tc>
      </w:tr>
      <w:tr>
        <w:trPr>
          <w:trHeight w:val="251"/>
        </w:trPr>
        <w:tc>
          <w:tcPr>
            <w:tcW w:w="3380" w:type="dxa"/>
            <w:vAlign w:val="bottom"/>
          </w:tcPr>
          <w:p>
            <w:pPr>
              <w:ind w:left="20"/>
              <w:spacing w:after="0"/>
              <w:rPr>
                <w:sz w:val="20"/>
                <w:szCs w:val="20"/>
                <w:color w:val="auto"/>
              </w:rPr>
            </w:pPr>
            <w:r>
              <w:rPr>
                <w:rFonts w:ascii="Arial" w:cs="Arial" w:eastAsia="Arial" w:hAnsi="Arial"/>
                <w:sz w:val="16"/>
                <w:szCs w:val="16"/>
                <w:color w:val="auto"/>
              </w:rPr>
              <w:t>Net loss</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4"/>
                <w:szCs w:val="14"/>
                <w:color w:val="auto"/>
              </w:rPr>
              <w:t>(134,779)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center"/>
              <w:ind w:left="431"/>
              <w:spacing w:after="0"/>
              <w:rPr>
                <w:sz w:val="20"/>
                <w:szCs w:val="20"/>
                <w:color w:val="auto"/>
              </w:rPr>
            </w:pPr>
            <w:r>
              <w:rPr>
                <w:rFonts w:ascii="Arial" w:cs="Arial" w:eastAsia="Arial" w:hAnsi="Arial"/>
                <w:sz w:val="14"/>
                <w:szCs w:val="14"/>
                <w:color w:val="auto"/>
                <w:w w:val="99"/>
              </w:rPr>
              <w:t>—</w:t>
            </w:r>
          </w:p>
        </w:tc>
        <w:tc>
          <w:tcPr>
            <w:tcW w:w="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(134,779)</w:t>
            </w:r>
          </w:p>
        </w:tc>
      </w:tr>
      <w:tr>
        <w:trPr>
          <w:trHeight w:val="263"/>
        </w:trPr>
        <w:tc>
          <w:tcPr>
            <w:tcW w:w="3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Reissuance of treasury stock</w:t>
            </w: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(600)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center"/>
              <w:ind w:left="431"/>
              <w:spacing w:after="0"/>
              <w:rPr>
                <w:sz w:val="20"/>
                <w:szCs w:val="20"/>
                <w:color w:val="auto"/>
              </w:rPr>
            </w:pPr>
            <w:r>
              <w:rPr>
                <w:rFonts w:ascii="Arial" w:cs="Arial" w:eastAsia="Arial" w:hAnsi="Arial"/>
                <w:sz w:val="14"/>
                <w:szCs w:val="14"/>
                <w:color w:val="auto"/>
                <w:w w:val="99"/>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599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w:t>
            </w:r>
          </w:p>
        </w:tc>
      </w:tr>
      <w:tr>
        <w:trPr>
          <w:trHeight w:val="250"/>
        </w:trPr>
        <w:tc>
          <w:tcPr>
            <w:tcW w:w="3380" w:type="dxa"/>
            <w:vAlign w:val="bottom"/>
          </w:tcPr>
          <w:p>
            <w:pPr>
              <w:ind w:left="20"/>
              <w:spacing w:after="0"/>
              <w:rPr>
                <w:sz w:val="20"/>
                <w:szCs w:val="20"/>
                <w:color w:val="auto"/>
              </w:rPr>
            </w:pPr>
            <w:r>
              <w:rPr>
                <w:rFonts w:ascii="Arial" w:cs="Arial" w:eastAsia="Arial" w:hAnsi="Arial"/>
                <w:sz w:val="16"/>
                <w:szCs w:val="16"/>
                <w:color w:val="auto"/>
              </w:rPr>
              <w:t>Net issuance of shares for stock plans</w:t>
            </w:r>
          </w:p>
        </w:tc>
        <w:tc>
          <w:tcPr>
            <w:tcW w:w="980" w:type="dxa"/>
            <w:vAlign w:val="bottom"/>
          </w:tcPr>
          <w:p>
            <w:pPr>
              <w:jc w:val="right"/>
              <w:ind w:right="50"/>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160" w:type="dxa"/>
            <w:vAlign w:val="bottom"/>
            <w:gridSpan w:val="2"/>
          </w:tcPr>
          <w:p>
            <w:pPr>
              <w:jc w:val="center"/>
              <w:ind w:left="431"/>
              <w:spacing w:after="0"/>
              <w:rPr>
                <w:sz w:val="20"/>
                <w:szCs w:val="20"/>
                <w:color w:val="auto"/>
              </w:rPr>
            </w:pPr>
            <w:r>
              <w:rPr>
                <w:rFonts w:ascii="Arial" w:cs="Arial" w:eastAsia="Arial" w:hAnsi="Arial"/>
                <w:sz w:val="14"/>
                <w:szCs w:val="14"/>
                <w:color w:val="auto"/>
                <w:w w:val="99"/>
              </w:rPr>
              <w:t>—</w:t>
            </w:r>
          </w:p>
        </w:tc>
        <w:tc>
          <w:tcPr>
            <w:tcW w:w="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760" w:type="dxa"/>
            <w:vAlign w:val="bottom"/>
          </w:tcPr>
          <w:p>
            <w:pPr>
              <w:jc w:val="right"/>
              <w:ind w:right="89"/>
              <w:spacing w:after="0"/>
              <w:rPr>
                <w:sz w:val="20"/>
                <w:szCs w:val="20"/>
                <w:color w:val="auto"/>
              </w:rPr>
            </w:pPr>
            <w:r>
              <w:rPr>
                <w:rFonts w:ascii="Arial" w:cs="Arial" w:eastAsia="Arial" w:hAnsi="Arial"/>
                <w:sz w:val="14"/>
                <w:szCs w:val="14"/>
                <w:color w:val="auto"/>
              </w:rPr>
              <w:t>—</w:t>
            </w:r>
          </w:p>
        </w:tc>
      </w:tr>
      <w:tr>
        <w:trPr>
          <w:trHeight w:val="263"/>
        </w:trPr>
        <w:tc>
          <w:tcPr>
            <w:tcW w:w="3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 of restricted shares for taxes</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center"/>
              <w:ind w:left="431"/>
              <w:spacing w:after="0"/>
              <w:rPr>
                <w:sz w:val="20"/>
                <w:szCs w:val="20"/>
                <w:color w:val="auto"/>
              </w:rPr>
            </w:pPr>
            <w:r>
              <w:rPr>
                <w:rFonts w:ascii="Arial" w:cs="Arial" w:eastAsia="Arial" w:hAnsi="Arial"/>
                <w:sz w:val="14"/>
                <w:szCs w:val="14"/>
                <w:color w:val="auto"/>
                <w:w w:val="99"/>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(129)</w:t>
            </w:r>
          </w:p>
        </w:tc>
      </w:tr>
      <w:tr>
        <w:trPr>
          <w:trHeight w:val="250"/>
        </w:trPr>
        <w:tc>
          <w:tcPr>
            <w:tcW w:w="338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2,632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160" w:type="dxa"/>
            <w:vAlign w:val="bottom"/>
            <w:gridSpan w:val="2"/>
          </w:tcPr>
          <w:p>
            <w:pPr>
              <w:jc w:val="center"/>
              <w:ind w:left="431"/>
              <w:spacing w:after="0"/>
              <w:rPr>
                <w:sz w:val="20"/>
                <w:szCs w:val="20"/>
                <w:color w:val="auto"/>
              </w:rPr>
            </w:pPr>
            <w:r>
              <w:rPr>
                <w:rFonts w:ascii="Arial" w:cs="Arial" w:eastAsia="Arial" w:hAnsi="Arial"/>
                <w:sz w:val="14"/>
                <w:szCs w:val="14"/>
                <w:color w:val="auto"/>
                <w:w w:val="99"/>
              </w:rPr>
              <w:t>—</w:t>
            </w:r>
          </w:p>
        </w:tc>
        <w:tc>
          <w:tcPr>
            <w:tcW w:w="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760" w:type="dxa"/>
            <w:vAlign w:val="bottom"/>
          </w:tcPr>
          <w:p>
            <w:pPr>
              <w:jc w:val="right"/>
              <w:ind w:right="89"/>
              <w:spacing w:after="0"/>
              <w:rPr>
                <w:sz w:val="20"/>
                <w:szCs w:val="20"/>
                <w:color w:val="auto"/>
              </w:rPr>
            </w:pPr>
            <w:r>
              <w:rPr>
                <w:rFonts w:ascii="Arial" w:cs="Arial" w:eastAsia="Arial" w:hAnsi="Arial"/>
                <w:sz w:val="14"/>
                <w:szCs w:val="14"/>
                <w:color w:val="auto"/>
              </w:rPr>
              <w:t>2,632</w:t>
            </w:r>
          </w:p>
        </w:tc>
      </w:tr>
      <w:tr>
        <w:trPr>
          <w:trHeight w:val="263"/>
        </w:trPr>
        <w:tc>
          <w:tcPr>
            <w:tcW w:w="3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on common stock</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261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center"/>
              <w:ind w:left="431"/>
              <w:spacing w:after="0"/>
              <w:rPr>
                <w:sz w:val="20"/>
                <w:szCs w:val="20"/>
                <w:color w:val="auto"/>
              </w:rPr>
            </w:pPr>
            <w:r>
              <w:rPr>
                <w:rFonts w:ascii="Arial" w:cs="Arial" w:eastAsia="Arial" w:hAnsi="Arial"/>
                <w:sz w:val="14"/>
                <w:szCs w:val="14"/>
                <w:color w:val="auto"/>
                <w:w w:val="99"/>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261</w:t>
            </w:r>
          </w:p>
        </w:tc>
      </w:tr>
      <w:tr>
        <w:trPr>
          <w:trHeight w:val="250"/>
        </w:trPr>
        <w:tc>
          <w:tcPr>
            <w:tcW w:w="3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(178)</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left="551"/>
              <w:spacing w:after="0"/>
              <w:rPr>
                <w:sz w:val="20"/>
                <w:szCs w:val="20"/>
                <w:color w:val="auto"/>
              </w:rPr>
            </w:pPr>
            <w:r>
              <w:rPr>
                <w:rFonts w:ascii="Arial" w:cs="Arial" w:eastAsia="Arial" w:hAnsi="Arial"/>
                <w:sz w:val="14"/>
                <w:szCs w:val="14"/>
                <w:color w:val="auto"/>
                <w:w w:val="99"/>
              </w:rPr>
              <w:t>—</w:t>
            </w:r>
          </w:p>
        </w:tc>
        <w:tc>
          <w:tcPr>
            <w:tcW w:w="12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(178)</w:t>
            </w:r>
          </w:p>
        </w:tc>
      </w:tr>
      <w:tr>
        <w:trPr>
          <w:trHeight w:val="233"/>
        </w:trPr>
        <w:tc>
          <w:tcPr>
            <w:tcW w:w="3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2020</w:t>
            </w: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16,418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249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254,429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(64,010)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center"/>
              <w:ind w:left="531"/>
              <w:spacing w:after="0"/>
              <w:rPr>
                <w:sz w:val="20"/>
                <w:szCs w:val="20"/>
                <w:color w:val="auto"/>
              </w:rPr>
            </w:pPr>
            <w:r>
              <w:rPr>
                <w:rFonts w:ascii="Arial" w:cs="Arial" w:eastAsia="Arial" w:hAnsi="Arial"/>
                <w:sz w:val="14"/>
                <w:szCs w:val="14"/>
                <w:color w:val="auto"/>
                <w:w w:val="96"/>
              </w:rPr>
              <w:t>(58)</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8,483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(559,181)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(368,571)</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6"/>
          </w:tcPr>
          <w:p>
            <w:pPr>
              <w:spacing w:after="0"/>
              <w:rPr>
                <w:sz w:val="20"/>
                <w:szCs w:val="20"/>
                <w:color w:val="auto"/>
              </w:rPr>
            </w:pPr>
            <w:r>
              <w:rPr>
                <w:rFonts w:ascii="Arial" w:cs="Arial" w:eastAsia="Arial" w:hAnsi="Arial"/>
                <w:sz w:val="16"/>
                <w:szCs w:val="16"/>
                <w:b w:val="1"/>
                <w:bCs w:val="1"/>
                <w:color w:val="auto"/>
                <w:w w:val="97"/>
              </w:rPr>
              <w:t>Six Months ended June 30, 2020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33"/>
        </w:trPr>
        <w:tc>
          <w:tcPr>
            <w:tcW w:w="3420" w:type="dxa"/>
            <w:vAlign w:val="bottom"/>
          </w:tcPr>
          <w:p>
            <w:pPr>
              <w:spacing w:after="0"/>
              <w:rPr>
                <w:sz w:val="2"/>
                <w:szCs w:val="2"/>
                <w:color w:val="auto"/>
              </w:rPr>
            </w:pPr>
          </w:p>
        </w:tc>
        <w:tc>
          <w:tcPr>
            <w:tcW w:w="182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96"/>
        </w:trPr>
        <w:tc>
          <w:tcPr>
            <w:tcW w:w="3420" w:type="dxa"/>
            <w:vAlign w:val="bottom"/>
          </w:tcPr>
          <w:p>
            <w:pPr>
              <w:spacing w:after="0"/>
              <w:rPr>
                <w:sz w:val="17"/>
                <w:szCs w:val="17"/>
                <w:color w:val="auto"/>
              </w:rPr>
            </w:pPr>
          </w:p>
        </w:tc>
        <w:tc>
          <w:tcPr>
            <w:tcW w:w="1820" w:type="dxa"/>
            <w:vAlign w:val="bottom"/>
            <w:gridSpan w:val="5"/>
          </w:tcPr>
          <w:p>
            <w:pPr>
              <w:ind w:left="44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Accumulated</w:t>
            </w:r>
          </w:p>
        </w:tc>
        <w:tc>
          <w:tcPr>
            <w:tcW w:w="1660" w:type="dxa"/>
            <w:vAlign w:val="bottom"/>
            <w:gridSpan w:val="5"/>
          </w:tcPr>
          <w:p>
            <w:pPr>
              <w:jc w:val="center"/>
              <w:ind w:right="120"/>
              <w:spacing w:after="0"/>
              <w:rPr>
                <w:sz w:val="20"/>
                <w:szCs w:val="20"/>
                <w:color w:val="auto"/>
              </w:rPr>
            </w:pPr>
            <w:r>
              <w:rPr>
                <w:rFonts w:ascii="Arial" w:cs="Arial" w:eastAsia="Arial" w:hAnsi="Arial"/>
                <w:sz w:val="13"/>
                <w:szCs w:val="13"/>
                <w:b w:val="1"/>
                <w:bCs w:val="1"/>
                <w:color w:val="auto"/>
                <w:w w:val="87"/>
              </w:rPr>
              <w:t>Treasury Stock</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24"/>
        </w:trPr>
        <w:tc>
          <w:tcPr>
            <w:tcW w:w="342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220"/>
              <w:spacing w:after="0" w:line="124" w:lineRule="exact"/>
              <w:rPr>
                <w:sz w:val="20"/>
                <w:szCs w:val="20"/>
                <w:color w:val="auto"/>
              </w:rPr>
            </w:pPr>
            <w:r>
              <w:rPr>
                <w:rFonts w:ascii="Arial" w:cs="Arial" w:eastAsia="Arial" w:hAnsi="Arial"/>
                <w:sz w:val="13"/>
                <w:szCs w:val="13"/>
                <w:b w:val="1"/>
                <w:bCs w:val="1"/>
                <w:color w:val="auto"/>
                <w:w w:val="88"/>
              </w:rPr>
              <w:t>Additional</w:t>
            </w:r>
          </w:p>
        </w:tc>
        <w:tc>
          <w:tcPr>
            <w:tcW w:w="120" w:type="dxa"/>
            <w:vAlign w:val="bottom"/>
          </w:tcPr>
          <w:p>
            <w:pPr>
              <w:spacing w:after="0"/>
              <w:rPr>
                <w:sz w:val="10"/>
                <w:szCs w:val="10"/>
                <w:color w:val="auto"/>
              </w:rPr>
            </w:pPr>
          </w:p>
        </w:tc>
        <w:tc>
          <w:tcPr>
            <w:tcW w:w="1020" w:type="dxa"/>
            <w:vAlign w:val="bottom"/>
            <w:gridSpan w:val="2"/>
          </w:tcPr>
          <w:p>
            <w:pPr>
              <w:jc w:val="center"/>
              <w:ind w:right="220"/>
              <w:spacing w:after="0" w:line="124" w:lineRule="exact"/>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10"/>
                <w:szCs w:val="10"/>
                <w:color w:val="auto"/>
              </w:rPr>
            </w:pPr>
          </w:p>
        </w:tc>
        <w:tc>
          <w:tcPr>
            <w:tcW w:w="1140" w:type="dxa"/>
            <w:vAlign w:val="bottom"/>
            <w:gridSpan w:val="2"/>
          </w:tcPr>
          <w:p>
            <w:pPr>
              <w:jc w:val="center"/>
              <w:ind w:right="260"/>
              <w:spacing w:after="0" w:line="124" w:lineRule="exact"/>
              <w:rPr>
                <w:sz w:val="20"/>
                <w:szCs w:val="20"/>
                <w:color w:val="auto"/>
              </w:rPr>
            </w:pPr>
            <w:r>
              <w:rPr>
                <w:rFonts w:ascii="Arial" w:cs="Arial" w:eastAsia="Arial" w:hAnsi="Arial"/>
                <w:sz w:val="13"/>
                <w:szCs w:val="13"/>
                <w:b w:val="1"/>
                <w:bCs w:val="1"/>
                <w:color w:val="auto"/>
                <w:w w:val="92"/>
              </w:rPr>
              <w:t>Other</w:t>
            </w:r>
          </w:p>
        </w:tc>
        <w:tc>
          <w:tcPr>
            <w:tcW w:w="5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35"/>
        </w:trPr>
        <w:tc>
          <w:tcPr>
            <w:tcW w:w="3420" w:type="dxa"/>
            <w:vAlign w:val="bottom"/>
          </w:tcPr>
          <w:p>
            <w:pPr>
              <w:spacing w:after="0"/>
              <w:rPr>
                <w:sz w:val="11"/>
                <w:szCs w:val="11"/>
                <w:color w:val="auto"/>
              </w:rPr>
            </w:pPr>
          </w:p>
        </w:tc>
        <w:tc>
          <w:tcPr>
            <w:tcW w:w="10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2"/>
              </w:rPr>
              <w:t>Shares</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Paid-in</w:t>
            </w:r>
          </w:p>
        </w:tc>
        <w:tc>
          <w:tcPr>
            <w:tcW w:w="114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Deficit) Retained</w:t>
            </w:r>
          </w:p>
        </w:tc>
        <w:tc>
          <w:tcPr>
            <w:tcW w:w="14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74"/>
        </w:trPr>
        <w:tc>
          <w:tcPr>
            <w:tcW w:w="3420" w:type="dxa"/>
            <w:vAlign w:val="bottom"/>
          </w:tcPr>
          <w:p>
            <w:pPr>
              <w:spacing w:after="0"/>
              <w:rPr>
                <w:sz w:val="15"/>
                <w:szCs w:val="15"/>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Outstanding</w:t>
            </w:r>
          </w:p>
        </w:tc>
        <w:tc>
          <w:tcPr>
            <w:tcW w:w="8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5"/>
                <w:szCs w:val="15"/>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Earnings</w:t>
            </w:r>
          </w:p>
        </w:tc>
        <w:tc>
          <w:tcPr>
            <w:tcW w:w="14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78"/>
              </w:rPr>
              <w:t>Loss</w:t>
            </w:r>
          </w:p>
        </w:tc>
        <w:tc>
          <w:tcPr>
            <w:tcW w:w="700" w:type="dxa"/>
            <w:vAlign w:val="bottom"/>
            <w:gridSpan w:val="2"/>
          </w:tcPr>
          <w:p>
            <w:pPr>
              <w:ind w:left="12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5"/>
                <w:szCs w:val="15"/>
                <w:color w:val="auto"/>
              </w:rPr>
            </w:pPr>
          </w:p>
        </w:tc>
        <w:tc>
          <w:tcPr>
            <w:tcW w:w="820" w:type="dxa"/>
            <w:vAlign w:val="bottom"/>
            <w:gridSpan w:val="2"/>
          </w:tcPr>
          <w:p>
            <w:pPr>
              <w:ind w:left="160"/>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5"/>
                <w:szCs w:val="15"/>
                <w:color w:val="auto"/>
              </w:rPr>
            </w:pPr>
          </w:p>
        </w:tc>
        <w:tc>
          <w:tcPr>
            <w:tcW w:w="760" w:type="dxa"/>
            <w:vAlign w:val="bottom"/>
          </w:tcPr>
          <w:p>
            <w:pPr>
              <w:jc w:val="right"/>
              <w:ind w:right="249"/>
              <w:spacing w:after="0"/>
              <w:rPr>
                <w:sz w:val="20"/>
                <w:szCs w:val="20"/>
                <w:color w:val="auto"/>
              </w:rPr>
            </w:pPr>
            <w:r>
              <w:rPr>
                <w:rFonts w:ascii="Arial" w:cs="Arial" w:eastAsia="Arial" w:hAnsi="Arial"/>
                <w:sz w:val="13"/>
                <w:szCs w:val="13"/>
                <w:b w:val="1"/>
                <w:bCs w:val="1"/>
                <w:color w:val="auto"/>
              </w:rPr>
              <w:t>Total</w:t>
            </w:r>
          </w:p>
        </w:tc>
      </w:tr>
      <w:tr>
        <w:trPr>
          <w:trHeight w:val="243"/>
        </w:trPr>
        <w:tc>
          <w:tcPr>
            <w:tcW w:w="3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2019</w:t>
            </w:r>
          </w:p>
        </w:tc>
        <w:tc>
          <w:tcPr>
            <w:tcW w:w="9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16,522</w:t>
            </w:r>
          </w:p>
        </w:tc>
        <w:tc>
          <w:tcPr>
            <w:tcW w:w="1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249</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246,192</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61,653</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center"/>
              <w:ind w:left="510"/>
              <w:spacing w:after="0"/>
              <w:rPr>
                <w:sz w:val="20"/>
                <w:szCs w:val="20"/>
                <w:color w:val="auto"/>
              </w:rPr>
            </w:pPr>
            <w:r>
              <w:rPr>
                <w:rFonts w:ascii="Arial" w:cs="Arial" w:eastAsia="Arial" w:hAnsi="Arial"/>
                <w:sz w:val="14"/>
                <w:szCs w:val="14"/>
                <w:color w:val="auto"/>
                <w:w w:val="96"/>
              </w:rPr>
              <w:t>(58)</w:t>
            </w:r>
          </w:p>
        </w:tc>
        <w:tc>
          <w:tcPr>
            <w:tcW w:w="120" w:type="dxa"/>
            <w:vAlign w:val="bottom"/>
            <w:tcBorders>
              <w:top w:val="single" w:sz="8" w:color="CCEEFF"/>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8,404</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96"/>
              </w:rPr>
              <w:t>(549,810)</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(241,774)</w:t>
            </w:r>
          </w:p>
        </w:tc>
      </w:tr>
      <w:tr>
        <w:trPr>
          <w:trHeight w:val="220"/>
        </w:trPr>
        <w:tc>
          <w:tcPr>
            <w:tcW w:w="3420" w:type="dxa"/>
            <w:vAlign w:val="bottom"/>
          </w:tcPr>
          <w:p>
            <w:pPr>
              <w:ind w:left="20"/>
              <w:spacing w:after="0"/>
              <w:rPr>
                <w:sz w:val="20"/>
                <w:szCs w:val="20"/>
                <w:color w:val="auto"/>
              </w:rPr>
            </w:pPr>
            <w:r>
              <w:rPr>
                <w:rFonts w:ascii="Arial" w:cs="Arial" w:eastAsia="Arial" w:hAnsi="Arial"/>
                <w:sz w:val="16"/>
                <w:szCs w:val="16"/>
                <w:color w:val="auto"/>
              </w:rPr>
              <w:t>Adoption of credit loss accounting guidance</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3"/>
        </w:trPr>
        <w:tc>
          <w:tcPr>
            <w:tcW w:w="3420" w:type="dxa"/>
            <w:vAlign w:val="bottom"/>
          </w:tcPr>
          <w:p>
            <w:pPr>
              <w:ind w:left="20"/>
              <w:spacing w:after="0"/>
              <w:rPr>
                <w:sz w:val="20"/>
                <w:szCs w:val="20"/>
                <w:color w:val="auto"/>
              </w:rPr>
            </w:pPr>
            <w:r>
              <w:rPr>
                <w:rFonts w:ascii="Arial" w:cs="Arial" w:eastAsia="Arial" w:hAnsi="Arial"/>
                <w:sz w:val="16"/>
                <w:szCs w:val="16"/>
                <w:color w:val="auto"/>
              </w:rPr>
              <w:t>(Note 3)</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(497)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left="410"/>
              <w:spacing w:after="0"/>
              <w:rPr>
                <w:sz w:val="20"/>
                <w:szCs w:val="20"/>
                <w:color w:val="auto"/>
              </w:rPr>
            </w:pPr>
            <w:r>
              <w:rPr>
                <w:rFonts w:ascii="Arial" w:cs="Arial" w:eastAsia="Arial" w:hAnsi="Arial"/>
                <w:sz w:val="14"/>
                <w:szCs w:val="14"/>
                <w:color w:val="auto"/>
                <w:w w:val="99"/>
              </w:rPr>
              <w:t>—</w:t>
            </w:r>
          </w:p>
        </w:tc>
        <w:tc>
          <w:tcPr>
            <w:tcW w:w="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0"/>
                <w:szCs w:val="20"/>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(497)</w:t>
            </w:r>
          </w:p>
        </w:tc>
      </w:tr>
      <w:tr>
        <w:trPr>
          <w:trHeight w:val="263"/>
        </w:trPr>
        <w:tc>
          <w:tcPr>
            <w:tcW w:w="3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(112,451)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center"/>
              <w:ind w:left="410"/>
              <w:spacing w:after="0"/>
              <w:rPr>
                <w:sz w:val="20"/>
                <w:szCs w:val="20"/>
                <w:color w:val="auto"/>
              </w:rPr>
            </w:pPr>
            <w:r>
              <w:rPr>
                <w:rFonts w:ascii="Arial" w:cs="Arial" w:eastAsia="Arial" w:hAnsi="Arial"/>
                <w:sz w:val="14"/>
                <w:szCs w:val="14"/>
                <w:color w:val="auto"/>
                <w:w w:val="99"/>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(112,451)</w:t>
            </w:r>
          </w:p>
        </w:tc>
      </w:tr>
      <w:tr>
        <w:trPr>
          <w:trHeight w:val="250"/>
        </w:trPr>
        <w:tc>
          <w:tcPr>
            <w:tcW w:w="3420" w:type="dxa"/>
            <w:vAlign w:val="bottom"/>
          </w:tcPr>
          <w:p>
            <w:pPr>
              <w:ind w:left="20"/>
              <w:spacing w:after="0"/>
              <w:rPr>
                <w:sz w:val="20"/>
                <w:szCs w:val="20"/>
                <w:color w:val="auto"/>
              </w:rPr>
            </w:pPr>
            <w:r>
              <w:rPr>
                <w:rFonts w:ascii="Arial" w:cs="Arial" w:eastAsia="Arial" w:hAnsi="Arial"/>
                <w:sz w:val="16"/>
                <w:szCs w:val="16"/>
                <w:color w:val="auto"/>
              </w:rPr>
              <w:t>Purchase of Company common stock</w:t>
            </w: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(460)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140" w:type="dxa"/>
            <w:vAlign w:val="bottom"/>
            <w:gridSpan w:val="2"/>
          </w:tcPr>
          <w:p>
            <w:pPr>
              <w:jc w:val="center"/>
              <w:ind w:left="410"/>
              <w:spacing w:after="0"/>
              <w:rPr>
                <w:sz w:val="20"/>
                <w:szCs w:val="20"/>
                <w:color w:val="auto"/>
              </w:rPr>
            </w:pPr>
            <w:r>
              <w:rPr>
                <w:rFonts w:ascii="Arial" w:cs="Arial" w:eastAsia="Arial" w:hAnsi="Arial"/>
                <w:sz w:val="14"/>
                <w:szCs w:val="14"/>
                <w:color w:val="auto"/>
                <w:w w:val="99"/>
              </w:rPr>
              <w:t>—</w:t>
            </w:r>
          </w:p>
        </w:tc>
        <w:tc>
          <w:tcPr>
            <w:tcW w:w="580" w:type="dxa"/>
            <w:vAlign w:val="bottom"/>
          </w:tcPr>
          <w:p>
            <w:pPr>
              <w:jc w:val="right"/>
              <w:ind w:right="69"/>
              <w:spacing w:after="0"/>
              <w:rPr>
                <w:sz w:val="20"/>
                <w:szCs w:val="20"/>
                <w:color w:val="auto"/>
              </w:rPr>
            </w:pPr>
            <w:r>
              <w:rPr>
                <w:rFonts w:ascii="Arial" w:cs="Arial" w:eastAsia="Arial" w:hAnsi="Arial"/>
                <w:sz w:val="14"/>
                <w:szCs w:val="14"/>
                <w:color w:val="auto"/>
              </w:rPr>
              <w:t>460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(26,527)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(26,527)</w:t>
            </w:r>
          </w:p>
        </w:tc>
      </w:tr>
      <w:tr>
        <w:trPr>
          <w:trHeight w:val="263"/>
        </w:trPr>
        <w:tc>
          <w:tcPr>
            <w:tcW w:w="3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Reissuance of treasury stock</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381</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3,367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center"/>
              <w:ind w:left="410"/>
              <w:spacing w:after="0"/>
              <w:rPr>
                <w:sz w:val="20"/>
                <w:szCs w:val="20"/>
                <w:color w:val="auto"/>
              </w:rPr>
            </w:pPr>
            <w:r>
              <w:rPr>
                <w:rFonts w:ascii="Arial" w:cs="Arial" w:eastAsia="Arial" w:hAnsi="Arial"/>
                <w:sz w:val="14"/>
                <w:szCs w:val="14"/>
                <w:color w:val="auto"/>
                <w:w w:val="99"/>
              </w:rPr>
              <w:t>—</w:t>
            </w:r>
          </w:p>
        </w:tc>
        <w:tc>
          <w:tcPr>
            <w:tcW w:w="5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(381)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17,156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20,523</w:t>
            </w:r>
          </w:p>
        </w:tc>
      </w:tr>
      <w:tr>
        <w:trPr>
          <w:trHeight w:val="250"/>
        </w:trPr>
        <w:tc>
          <w:tcPr>
            <w:tcW w:w="3420" w:type="dxa"/>
            <w:vAlign w:val="bottom"/>
          </w:tcPr>
          <w:p>
            <w:pPr>
              <w:ind w:left="20"/>
              <w:spacing w:after="0"/>
              <w:rPr>
                <w:sz w:val="20"/>
                <w:szCs w:val="20"/>
                <w:color w:val="auto"/>
              </w:rPr>
            </w:pPr>
            <w:r>
              <w:rPr>
                <w:rFonts w:ascii="Arial" w:cs="Arial" w:eastAsia="Arial" w:hAnsi="Arial"/>
                <w:sz w:val="16"/>
                <w:szCs w:val="16"/>
                <w:color w:val="auto"/>
              </w:rPr>
              <w:t>Net issuance of shares for stock plans</w:t>
            </w: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140" w:type="dxa"/>
            <w:vAlign w:val="bottom"/>
            <w:gridSpan w:val="2"/>
          </w:tcPr>
          <w:p>
            <w:pPr>
              <w:jc w:val="center"/>
              <w:ind w:left="410"/>
              <w:spacing w:after="0"/>
              <w:rPr>
                <w:sz w:val="20"/>
                <w:szCs w:val="20"/>
                <w:color w:val="auto"/>
              </w:rPr>
            </w:pPr>
            <w:r>
              <w:rPr>
                <w:rFonts w:ascii="Arial" w:cs="Arial" w:eastAsia="Arial" w:hAnsi="Arial"/>
                <w:sz w:val="14"/>
                <w:szCs w:val="14"/>
                <w:color w:val="auto"/>
                <w:w w:val="99"/>
              </w:rPr>
              <w:t>—</w:t>
            </w:r>
          </w:p>
        </w:tc>
        <w:tc>
          <w:tcPr>
            <w:tcW w:w="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760" w:type="dxa"/>
            <w:vAlign w:val="bottom"/>
          </w:tcPr>
          <w:p>
            <w:pPr>
              <w:jc w:val="right"/>
              <w:ind w:right="89"/>
              <w:spacing w:after="0"/>
              <w:rPr>
                <w:sz w:val="20"/>
                <w:szCs w:val="20"/>
                <w:color w:val="auto"/>
              </w:rPr>
            </w:pPr>
            <w:r>
              <w:rPr>
                <w:rFonts w:ascii="Arial" w:cs="Arial" w:eastAsia="Arial" w:hAnsi="Arial"/>
                <w:sz w:val="14"/>
                <w:szCs w:val="14"/>
                <w:color w:val="auto"/>
              </w:rPr>
              <w:t>—</w:t>
            </w:r>
          </w:p>
        </w:tc>
      </w:tr>
      <w:tr>
        <w:trPr>
          <w:trHeight w:val="263"/>
        </w:trPr>
        <w:tc>
          <w:tcPr>
            <w:tcW w:w="3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 of restricted shares for taxes</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(2,129)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center"/>
              <w:ind w:left="410"/>
              <w:spacing w:after="0"/>
              <w:rPr>
                <w:sz w:val="20"/>
                <w:szCs w:val="20"/>
                <w:color w:val="auto"/>
              </w:rPr>
            </w:pPr>
            <w:r>
              <w:rPr>
                <w:rFonts w:ascii="Arial" w:cs="Arial" w:eastAsia="Arial" w:hAnsi="Arial"/>
                <w:sz w:val="14"/>
                <w:szCs w:val="14"/>
                <w:color w:val="auto"/>
                <w:w w:val="99"/>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(2,129)</w:t>
            </w:r>
          </w:p>
        </w:tc>
      </w:tr>
      <w:tr>
        <w:trPr>
          <w:trHeight w:val="250"/>
        </w:trPr>
        <w:tc>
          <w:tcPr>
            <w:tcW w:w="342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700" w:type="dxa"/>
            <w:vAlign w:val="bottom"/>
          </w:tcPr>
          <w:p>
            <w:pPr>
              <w:jc w:val="right"/>
              <w:ind w:right="70"/>
              <w:spacing w:after="0"/>
              <w:rPr>
                <w:sz w:val="20"/>
                <w:szCs w:val="20"/>
                <w:color w:val="auto"/>
              </w:rPr>
            </w:pPr>
            <w:r>
              <w:rPr>
                <w:rFonts w:ascii="Arial" w:cs="Arial" w:eastAsia="Arial" w:hAnsi="Arial"/>
                <w:sz w:val="14"/>
                <w:szCs w:val="14"/>
                <w:color w:val="auto"/>
              </w:rPr>
              <w:t>6,670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140" w:type="dxa"/>
            <w:vAlign w:val="bottom"/>
            <w:gridSpan w:val="2"/>
          </w:tcPr>
          <w:p>
            <w:pPr>
              <w:jc w:val="center"/>
              <w:ind w:left="410"/>
              <w:spacing w:after="0"/>
              <w:rPr>
                <w:sz w:val="20"/>
                <w:szCs w:val="20"/>
                <w:color w:val="auto"/>
              </w:rPr>
            </w:pPr>
            <w:r>
              <w:rPr>
                <w:rFonts w:ascii="Arial" w:cs="Arial" w:eastAsia="Arial" w:hAnsi="Arial"/>
                <w:sz w:val="14"/>
                <w:szCs w:val="14"/>
                <w:color w:val="auto"/>
                <w:w w:val="99"/>
              </w:rPr>
              <w:t>—</w:t>
            </w:r>
          </w:p>
        </w:tc>
        <w:tc>
          <w:tcPr>
            <w:tcW w:w="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760" w:type="dxa"/>
            <w:vAlign w:val="bottom"/>
          </w:tcPr>
          <w:p>
            <w:pPr>
              <w:jc w:val="right"/>
              <w:ind w:right="89"/>
              <w:spacing w:after="0"/>
              <w:rPr>
                <w:sz w:val="20"/>
                <w:szCs w:val="20"/>
                <w:color w:val="auto"/>
              </w:rPr>
            </w:pPr>
            <w:r>
              <w:rPr>
                <w:rFonts w:ascii="Arial" w:cs="Arial" w:eastAsia="Arial" w:hAnsi="Arial"/>
                <w:sz w:val="14"/>
                <w:szCs w:val="14"/>
                <w:color w:val="auto"/>
              </w:rPr>
              <w:t>6,670</w:t>
            </w:r>
          </w:p>
        </w:tc>
      </w:tr>
      <w:tr>
        <w:trPr>
          <w:trHeight w:val="263"/>
        </w:trPr>
        <w:tc>
          <w:tcPr>
            <w:tcW w:w="3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on common stock</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507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(12,715)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center"/>
              <w:ind w:left="410"/>
              <w:spacing w:after="0"/>
              <w:rPr>
                <w:sz w:val="20"/>
                <w:szCs w:val="20"/>
                <w:color w:val="auto"/>
              </w:rPr>
            </w:pPr>
            <w:r>
              <w:rPr>
                <w:rFonts w:ascii="Arial" w:cs="Arial" w:eastAsia="Arial" w:hAnsi="Arial"/>
                <w:sz w:val="14"/>
                <w:szCs w:val="14"/>
                <w:color w:val="auto"/>
                <w:w w:val="99"/>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(12,208)</w:t>
            </w:r>
          </w:p>
        </w:tc>
      </w:tr>
      <w:tr>
        <w:trPr>
          <w:trHeight w:val="250"/>
        </w:trPr>
        <w:tc>
          <w:tcPr>
            <w:tcW w:w="3420" w:type="dxa"/>
            <w:vAlign w:val="bottom"/>
          </w:tcPr>
          <w:p>
            <w:pPr>
              <w:ind w:left="20"/>
              <w:spacing w:after="0"/>
              <w:rPr>
                <w:sz w:val="20"/>
                <w:szCs w:val="20"/>
                <w:color w:val="auto"/>
              </w:rPr>
            </w:pPr>
            <w:r>
              <w:rPr>
                <w:rFonts w:ascii="Arial" w:cs="Arial" w:eastAsia="Arial" w:hAnsi="Arial"/>
                <w:sz w:val="16"/>
                <w:szCs w:val="16"/>
                <w:color w:val="auto"/>
              </w:rPr>
              <w:t>Other</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4"/>
                <w:szCs w:val="14"/>
                <w:color w:val="auto"/>
              </w:rPr>
              <w:t>(178)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140" w:type="dxa"/>
            <w:vAlign w:val="bottom"/>
            <w:gridSpan w:val="2"/>
          </w:tcPr>
          <w:p>
            <w:pPr>
              <w:jc w:val="center"/>
              <w:ind w:left="410"/>
              <w:spacing w:after="0"/>
              <w:rPr>
                <w:sz w:val="20"/>
                <w:szCs w:val="20"/>
                <w:color w:val="auto"/>
              </w:rPr>
            </w:pPr>
            <w:r>
              <w:rPr>
                <w:rFonts w:ascii="Arial" w:cs="Arial" w:eastAsia="Arial" w:hAnsi="Arial"/>
                <w:sz w:val="14"/>
                <w:szCs w:val="14"/>
                <w:color w:val="auto"/>
                <w:w w:val="99"/>
              </w:rPr>
              <w:t>—</w:t>
            </w:r>
          </w:p>
        </w:tc>
        <w:tc>
          <w:tcPr>
            <w:tcW w:w="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(178)</w:t>
            </w:r>
          </w:p>
        </w:tc>
      </w:tr>
      <w:tr>
        <w:trPr>
          <w:trHeight w:val="238"/>
        </w:trPr>
        <w:tc>
          <w:tcPr>
            <w:tcW w:w="3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2020</w:t>
            </w:r>
          </w:p>
        </w:tc>
        <w:tc>
          <w:tcPr>
            <w:tcW w:w="9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16,418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249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254,429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(64,010)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center"/>
              <w:ind w:left="510"/>
              <w:spacing w:after="0"/>
              <w:rPr>
                <w:sz w:val="20"/>
                <w:szCs w:val="20"/>
                <w:color w:val="auto"/>
              </w:rPr>
            </w:pPr>
            <w:r>
              <w:rPr>
                <w:rFonts w:ascii="Arial" w:cs="Arial" w:eastAsia="Arial" w:hAnsi="Arial"/>
                <w:sz w:val="14"/>
                <w:szCs w:val="14"/>
                <w:color w:val="auto"/>
                <w:w w:val="96"/>
              </w:rPr>
              <w:t>(58)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8,483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96"/>
              </w:rPr>
              <w:t>(559,181)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(368,571)</w:t>
            </w: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the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Stockholders' Deficit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49"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3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gridSpan w:val="8"/>
          </w:tcPr>
          <w:p>
            <w:pPr>
              <w:ind w:left="600"/>
              <w:spacing w:after="0"/>
              <w:rPr>
                <w:sz w:val="20"/>
                <w:szCs w:val="20"/>
                <w:color w:val="auto"/>
              </w:rPr>
            </w:pPr>
            <w:r>
              <w:rPr>
                <w:rFonts w:ascii="Arial" w:cs="Arial" w:eastAsia="Arial" w:hAnsi="Arial"/>
                <w:sz w:val="16"/>
                <w:szCs w:val="16"/>
                <w:b w:val="1"/>
                <w:bCs w:val="1"/>
                <w:color w:val="auto"/>
                <w:w w:val="95"/>
              </w:rPr>
              <w:t>Three Months ended June 30, 2019</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33"/>
        </w:trPr>
        <w:tc>
          <w:tcPr>
            <w:tcW w:w="3460" w:type="dxa"/>
            <w:vAlign w:val="bottom"/>
          </w:tcPr>
          <w:p>
            <w:pPr>
              <w:spacing w:after="0"/>
              <w:rPr>
                <w:sz w:val="2"/>
                <w:szCs w:val="2"/>
                <w:color w:val="auto"/>
              </w:rPr>
            </w:pPr>
          </w:p>
        </w:tc>
        <w:tc>
          <w:tcPr>
            <w:tcW w:w="190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3"/>
        </w:trPr>
        <w:tc>
          <w:tcPr>
            <w:tcW w:w="3460" w:type="dxa"/>
            <w:vAlign w:val="bottom"/>
          </w:tcPr>
          <w:p>
            <w:pPr>
              <w:spacing w:after="0"/>
              <w:rPr>
                <w:sz w:val="15"/>
                <w:szCs w:val="15"/>
                <w:color w:val="auto"/>
              </w:rPr>
            </w:pPr>
          </w:p>
        </w:tc>
        <w:tc>
          <w:tcPr>
            <w:tcW w:w="1900" w:type="dxa"/>
            <w:vAlign w:val="bottom"/>
            <w:gridSpan w:val="5"/>
          </w:tcPr>
          <w:p>
            <w:pPr>
              <w:ind w:left="46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Accumulated</w:t>
            </w:r>
          </w:p>
        </w:tc>
        <w:tc>
          <w:tcPr>
            <w:tcW w:w="1680" w:type="dxa"/>
            <w:vAlign w:val="bottom"/>
            <w:gridSpan w:val="4"/>
          </w:tcPr>
          <w:p>
            <w:pPr>
              <w:ind w:left="360"/>
              <w:spacing w:after="0"/>
              <w:rPr>
                <w:sz w:val="20"/>
                <w:szCs w:val="20"/>
                <w:color w:val="auto"/>
              </w:rPr>
            </w:pPr>
            <w:r>
              <w:rPr>
                <w:rFonts w:ascii="Arial" w:cs="Arial" w:eastAsia="Arial" w:hAnsi="Arial"/>
                <w:sz w:val="13"/>
                <w:szCs w:val="13"/>
                <w:b w:val="1"/>
                <w:bCs w:val="1"/>
                <w:color w:val="auto"/>
              </w:rPr>
              <w:t>Treasury Stock</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24"/>
        </w:trPr>
        <w:tc>
          <w:tcPr>
            <w:tcW w:w="346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center"/>
              <w:ind w:right="300"/>
              <w:spacing w:after="0" w:line="124" w:lineRule="exact"/>
              <w:rPr>
                <w:sz w:val="20"/>
                <w:szCs w:val="20"/>
                <w:color w:val="auto"/>
              </w:rPr>
            </w:pPr>
            <w:r>
              <w:rPr>
                <w:rFonts w:ascii="Arial" w:cs="Arial" w:eastAsia="Arial" w:hAnsi="Arial"/>
                <w:sz w:val="13"/>
                <w:szCs w:val="13"/>
                <w:b w:val="1"/>
                <w:bCs w:val="1"/>
                <w:color w:val="auto"/>
                <w:w w:val="88"/>
              </w:rPr>
              <w:t>Additional</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jc w:val="center"/>
              <w:ind w:right="220"/>
              <w:spacing w:after="0" w:line="124" w:lineRule="exact"/>
              <w:rPr>
                <w:sz w:val="20"/>
                <w:szCs w:val="20"/>
                <w:color w:val="auto"/>
              </w:rPr>
            </w:pPr>
            <w:r>
              <w:rPr>
                <w:rFonts w:ascii="Arial" w:cs="Arial" w:eastAsia="Arial" w:hAnsi="Arial"/>
                <w:sz w:val="13"/>
                <w:szCs w:val="13"/>
                <w:b w:val="1"/>
                <w:bCs w:val="1"/>
                <w:color w:val="auto"/>
                <w:w w:val="92"/>
              </w:rPr>
              <w:t>Other</w:t>
            </w:r>
          </w:p>
        </w:tc>
        <w:tc>
          <w:tcPr>
            <w:tcW w:w="5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35"/>
        </w:trPr>
        <w:tc>
          <w:tcPr>
            <w:tcW w:w="3460" w:type="dxa"/>
            <w:vAlign w:val="bottom"/>
          </w:tcPr>
          <w:p>
            <w:pPr>
              <w:spacing w:after="0"/>
              <w:rPr>
                <w:sz w:val="11"/>
                <w:szCs w:val="11"/>
                <w:color w:val="auto"/>
              </w:rPr>
            </w:pPr>
          </w:p>
        </w:tc>
        <w:tc>
          <w:tcPr>
            <w:tcW w:w="112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7"/>
              </w:rPr>
              <w:t>Shares</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2"/>
              </w:rPr>
              <w:t>Paid-in</w:t>
            </w:r>
          </w:p>
        </w:tc>
        <w:tc>
          <w:tcPr>
            <w:tcW w:w="120" w:type="dxa"/>
            <w:vAlign w:val="bottom"/>
          </w:tcPr>
          <w:p>
            <w:pPr>
              <w:spacing w:after="0"/>
              <w:rPr>
                <w:sz w:val="11"/>
                <w:szCs w:val="11"/>
                <w:color w:val="auto"/>
              </w:rPr>
            </w:pPr>
          </w:p>
        </w:tc>
        <w:tc>
          <w:tcPr>
            <w:tcW w:w="84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Retained</w:t>
            </w:r>
          </w:p>
        </w:tc>
        <w:tc>
          <w:tcPr>
            <w:tcW w:w="100" w:type="dxa"/>
            <w:vAlign w:val="bottom"/>
          </w:tcPr>
          <w:p>
            <w:pPr>
              <w:spacing w:after="0"/>
              <w:rPr>
                <w:sz w:val="11"/>
                <w:szCs w:val="11"/>
                <w:color w:val="auto"/>
              </w:rPr>
            </w:pPr>
          </w:p>
        </w:tc>
        <w:tc>
          <w:tcPr>
            <w:tcW w:w="11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74"/>
        </w:trPr>
        <w:tc>
          <w:tcPr>
            <w:tcW w:w="3460" w:type="dxa"/>
            <w:vAlign w:val="bottom"/>
          </w:tcPr>
          <w:p>
            <w:pPr>
              <w:spacing w:after="0"/>
              <w:rPr>
                <w:sz w:val="15"/>
                <w:szCs w:val="15"/>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6"/>
              </w:rPr>
              <w:t>Outstanding</w:t>
            </w:r>
          </w:p>
        </w:tc>
        <w:tc>
          <w:tcPr>
            <w:tcW w:w="8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89"/>
              </w:rPr>
              <w:t>Amount</w:t>
            </w:r>
          </w:p>
        </w:tc>
        <w:tc>
          <w:tcPr>
            <w:tcW w:w="120" w:type="dxa"/>
            <w:vAlign w:val="bottom"/>
          </w:tcPr>
          <w:p>
            <w:pPr>
              <w:spacing w:after="0"/>
              <w:rPr>
                <w:sz w:val="15"/>
                <w:szCs w:val="15"/>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5"/>
                <w:szCs w:val="15"/>
                <w:color w:val="auto"/>
              </w:rPr>
            </w:pPr>
          </w:p>
        </w:tc>
        <w:tc>
          <w:tcPr>
            <w:tcW w:w="840" w:type="dxa"/>
            <w:vAlign w:val="bottom"/>
            <w:gridSpan w:val="2"/>
          </w:tcPr>
          <w:p>
            <w:pPr>
              <w:ind w:left="40"/>
              <w:spacing w:after="0"/>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78"/>
              </w:rPr>
              <w:t>Loss</w:t>
            </w:r>
          </w:p>
        </w:tc>
        <w:tc>
          <w:tcPr>
            <w:tcW w:w="720" w:type="dxa"/>
            <w:vAlign w:val="bottom"/>
            <w:gridSpan w:val="2"/>
          </w:tcPr>
          <w:p>
            <w:pPr>
              <w:ind w:left="100"/>
              <w:spacing w:after="0"/>
              <w:rPr>
                <w:sz w:val="20"/>
                <w:szCs w:val="20"/>
                <w:color w:val="auto"/>
              </w:rPr>
            </w:pPr>
            <w:r>
              <w:rPr>
                <w:rFonts w:ascii="Arial" w:cs="Arial" w:eastAsia="Arial" w:hAnsi="Arial"/>
                <w:sz w:val="13"/>
                <w:szCs w:val="13"/>
                <w:b w:val="1"/>
                <w:bCs w:val="1"/>
                <w:color w:val="auto"/>
              </w:rPr>
              <w:t>Shares</w:t>
            </w:r>
          </w:p>
        </w:tc>
        <w:tc>
          <w:tcPr>
            <w:tcW w:w="960" w:type="dxa"/>
            <w:vAlign w:val="bottom"/>
            <w:gridSpan w:val="2"/>
          </w:tcPr>
          <w:p>
            <w:pPr>
              <w:ind w:left="280"/>
              <w:spacing w:after="0"/>
              <w:rPr>
                <w:sz w:val="20"/>
                <w:szCs w:val="20"/>
                <w:color w:val="auto"/>
              </w:rPr>
            </w:pPr>
            <w:r>
              <w:rPr>
                <w:rFonts w:ascii="Arial" w:cs="Arial" w:eastAsia="Arial" w:hAnsi="Arial"/>
                <w:sz w:val="13"/>
                <w:szCs w:val="13"/>
                <w:b w:val="1"/>
                <w:bCs w:val="1"/>
                <w:color w:val="auto"/>
              </w:rPr>
              <w:t>Cost</w:t>
            </w:r>
          </w:p>
        </w:tc>
        <w:tc>
          <w:tcPr>
            <w:tcW w:w="120" w:type="dxa"/>
            <w:vAlign w:val="bottom"/>
          </w:tcPr>
          <w:p>
            <w:pPr>
              <w:spacing w:after="0"/>
              <w:rPr>
                <w:sz w:val="15"/>
                <w:szCs w:val="15"/>
                <w:color w:val="auto"/>
              </w:rPr>
            </w:pPr>
          </w:p>
        </w:tc>
        <w:tc>
          <w:tcPr>
            <w:tcW w:w="720" w:type="dxa"/>
            <w:vAlign w:val="bottom"/>
          </w:tcPr>
          <w:p>
            <w:pPr>
              <w:jc w:val="right"/>
              <w:ind w:right="209"/>
              <w:spacing w:after="0"/>
              <w:rPr>
                <w:sz w:val="20"/>
                <w:szCs w:val="20"/>
                <w:color w:val="auto"/>
              </w:rPr>
            </w:pPr>
            <w:r>
              <w:rPr>
                <w:rFonts w:ascii="Arial" w:cs="Arial" w:eastAsia="Arial" w:hAnsi="Arial"/>
                <w:sz w:val="13"/>
                <w:szCs w:val="13"/>
                <w:b w:val="1"/>
                <w:bCs w:val="1"/>
                <w:color w:val="auto"/>
              </w:rPr>
              <w:t>Total</w:t>
            </w:r>
          </w:p>
        </w:tc>
      </w:tr>
      <w:tr>
        <w:trPr>
          <w:trHeight w:val="243"/>
        </w:trPr>
        <w:tc>
          <w:tcPr>
            <w:tcW w:w="3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2019</w:t>
            </w:r>
          </w:p>
        </w:tc>
        <w:tc>
          <w:tcPr>
            <w:tcW w:w="96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17,651</w:t>
            </w:r>
          </w:p>
        </w:tc>
        <w:tc>
          <w:tcPr>
            <w:tcW w:w="16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250</w:t>
            </w:r>
          </w:p>
        </w:tc>
        <w:tc>
          <w:tcPr>
            <w:tcW w:w="1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239,585</w:t>
            </w:r>
          </w:p>
        </w:tc>
        <w:tc>
          <w:tcPr>
            <w:tcW w:w="1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24,588</w:t>
            </w:r>
          </w:p>
        </w:tc>
        <w:tc>
          <w:tcPr>
            <w:tcW w:w="1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(61)</w:t>
            </w:r>
          </w:p>
        </w:tc>
        <w:tc>
          <w:tcPr>
            <w:tcW w:w="100" w:type="dxa"/>
            <w:vAlign w:val="bottom"/>
            <w:tcBorders>
              <w:top w:val="single" w:sz="8" w:color="CCEEFF"/>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7,324</w:t>
            </w:r>
          </w:p>
        </w:tc>
        <w:tc>
          <w:tcPr>
            <w:tcW w:w="140" w:type="dxa"/>
            <w:vAlign w:val="bottom"/>
            <w:tcBorders>
              <w:top w:val="single" w:sz="8" w:color="CCEEFF"/>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97"/>
              </w:rPr>
              <w:t>$ (455,183)</w:t>
            </w:r>
          </w:p>
        </w:tc>
        <w:tc>
          <w:tcPr>
            <w:tcW w:w="1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96"/>
              </w:rPr>
              <w:t>(190,821)</w:t>
            </w:r>
          </w:p>
        </w:tc>
      </w:tr>
      <w:tr>
        <w:trPr>
          <w:trHeight w:val="250"/>
        </w:trPr>
        <w:tc>
          <w:tcPr>
            <w:tcW w:w="34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700" w:type="dxa"/>
            <w:vAlign w:val="bottom"/>
          </w:tcPr>
          <w:p>
            <w:pPr>
              <w:jc w:val="right"/>
              <w:ind w:right="90"/>
              <w:spacing w:after="0"/>
              <w:rPr>
                <w:sz w:val="20"/>
                <w:szCs w:val="20"/>
                <w:color w:val="auto"/>
              </w:rPr>
            </w:pPr>
            <w:r>
              <w:rPr>
                <w:rFonts w:ascii="Arial" w:cs="Arial" w:eastAsia="Arial" w:hAnsi="Arial"/>
                <w:sz w:val="14"/>
                <w:szCs w:val="14"/>
                <w:color w:val="auto"/>
              </w:rPr>
              <w:t>21,390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720" w:type="dxa"/>
            <w:vAlign w:val="bottom"/>
          </w:tcPr>
          <w:p>
            <w:pPr>
              <w:jc w:val="right"/>
              <w:ind w:right="89"/>
              <w:spacing w:after="0"/>
              <w:rPr>
                <w:sz w:val="20"/>
                <w:szCs w:val="20"/>
                <w:color w:val="auto"/>
              </w:rPr>
            </w:pPr>
            <w:r>
              <w:rPr>
                <w:rFonts w:ascii="Arial" w:cs="Arial" w:eastAsia="Arial" w:hAnsi="Arial"/>
                <w:sz w:val="14"/>
                <w:szCs w:val="14"/>
                <w:color w:val="auto"/>
              </w:rPr>
              <w:t>21,390</w:t>
            </w:r>
          </w:p>
        </w:tc>
      </w:tr>
      <w:tr>
        <w:trPr>
          <w:trHeight w:val="263"/>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gain</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w:t>
            </w:r>
          </w:p>
        </w:tc>
      </w:tr>
      <w:tr>
        <w:trPr>
          <w:trHeight w:val="251"/>
        </w:trPr>
        <w:tc>
          <w:tcPr>
            <w:tcW w:w="3460" w:type="dxa"/>
            <w:vAlign w:val="bottom"/>
          </w:tcPr>
          <w:p>
            <w:pPr>
              <w:ind w:left="20"/>
              <w:spacing w:after="0"/>
              <w:rPr>
                <w:sz w:val="20"/>
                <w:szCs w:val="20"/>
                <w:color w:val="auto"/>
              </w:rPr>
            </w:pPr>
            <w:r>
              <w:rPr>
                <w:rFonts w:ascii="Arial" w:cs="Arial" w:eastAsia="Arial" w:hAnsi="Arial"/>
                <w:sz w:val="16"/>
                <w:szCs w:val="16"/>
                <w:color w:val="auto"/>
              </w:rPr>
              <w:t>Purchase of Company common stock</w:t>
            </w: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(392)</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70"/>
              <w:spacing w:after="0"/>
              <w:rPr>
                <w:sz w:val="20"/>
                <w:szCs w:val="20"/>
                <w:color w:val="auto"/>
              </w:rPr>
            </w:pPr>
            <w:r>
              <w:rPr>
                <w:rFonts w:ascii="Arial" w:cs="Arial" w:eastAsia="Arial" w:hAnsi="Arial"/>
                <w:sz w:val="14"/>
                <w:szCs w:val="14"/>
                <w:color w:val="auto"/>
              </w:rPr>
              <w:t>392</w:t>
            </w:r>
          </w:p>
        </w:tc>
        <w:tc>
          <w:tcPr>
            <w:tcW w:w="140" w:type="dxa"/>
            <w:vAlign w:val="bottom"/>
          </w:tcPr>
          <w:p>
            <w:pPr>
              <w:spacing w:after="0"/>
              <w:rPr>
                <w:sz w:val="21"/>
                <w:szCs w:val="21"/>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(35,341)</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(35,341)</w:t>
            </w:r>
          </w:p>
        </w:tc>
      </w:tr>
      <w:tr>
        <w:trPr>
          <w:trHeight w:val="263"/>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Reissuance of treasury stock</w:t>
            </w: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19</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(651)</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(19)</w:t>
            </w:r>
          </w:p>
        </w:tc>
        <w:tc>
          <w:tcPr>
            <w:tcW w:w="1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822</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170</w:t>
            </w:r>
          </w:p>
        </w:tc>
      </w:tr>
      <w:tr>
        <w:trPr>
          <w:trHeight w:val="251"/>
        </w:trPr>
        <w:tc>
          <w:tcPr>
            <w:tcW w:w="3460" w:type="dxa"/>
            <w:vAlign w:val="bottom"/>
          </w:tcPr>
          <w:p>
            <w:pPr>
              <w:ind w:left="20"/>
              <w:spacing w:after="0"/>
              <w:rPr>
                <w:sz w:val="20"/>
                <w:szCs w:val="20"/>
                <w:color w:val="auto"/>
              </w:rPr>
            </w:pPr>
            <w:r>
              <w:rPr>
                <w:rFonts w:ascii="Arial" w:cs="Arial" w:eastAsia="Arial" w:hAnsi="Arial"/>
                <w:sz w:val="16"/>
                <w:szCs w:val="16"/>
                <w:color w:val="auto"/>
              </w:rPr>
              <w:t>Net issuance of shares for stock plans</w:t>
            </w: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(21)</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720" w:type="dxa"/>
            <w:vAlign w:val="bottom"/>
          </w:tcPr>
          <w:p>
            <w:pPr>
              <w:jc w:val="right"/>
              <w:ind w:right="89"/>
              <w:spacing w:after="0"/>
              <w:rPr>
                <w:sz w:val="20"/>
                <w:szCs w:val="20"/>
                <w:color w:val="auto"/>
              </w:rPr>
            </w:pPr>
            <w:r>
              <w:rPr>
                <w:rFonts w:ascii="Arial" w:cs="Arial" w:eastAsia="Arial" w:hAnsi="Arial"/>
                <w:sz w:val="14"/>
                <w:szCs w:val="14"/>
                <w:color w:val="auto"/>
              </w:rPr>
              <w:t>—</w:t>
            </w:r>
          </w:p>
        </w:tc>
      </w:tr>
      <w:tr>
        <w:trPr>
          <w:trHeight w:val="262"/>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 of restricted shares for taxes</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(425)</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(425)</w:t>
            </w:r>
          </w:p>
        </w:tc>
      </w:tr>
      <w:tr>
        <w:trPr>
          <w:trHeight w:val="250"/>
        </w:trPr>
        <w:tc>
          <w:tcPr>
            <w:tcW w:w="346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1,787</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720" w:type="dxa"/>
            <w:vAlign w:val="bottom"/>
          </w:tcPr>
          <w:p>
            <w:pPr>
              <w:jc w:val="right"/>
              <w:ind w:right="89"/>
              <w:spacing w:after="0"/>
              <w:rPr>
                <w:sz w:val="20"/>
                <w:szCs w:val="20"/>
                <w:color w:val="auto"/>
              </w:rPr>
            </w:pPr>
            <w:r>
              <w:rPr>
                <w:rFonts w:ascii="Arial" w:cs="Arial" w:eastAsia="Arial" w:hAnsi="Arial"/>
                <w:sz w:val="14"/>
                <w:szCs w:val="14"/>
                <w:color w:val="auto"/>
              </w:rPr>
              <w:t>1,787</w:t>
            </w:r>
          </w:p>
        </w:tc>
      </w:tr>
      <w:tr>
        <w:trPr>
          <w:trHeight w:val="263"/>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on common stock</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259</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(12,146)</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(11,887)</w:t>
            </w:r>
          </w:p>
        </w:tc>
      </w:tr>
      <w:tr>
        <w:trPr>
          <w:trHeight w:val="207"/>
        </w:trPr>
        <w:tc>
          <w:tcPr>
            <w:tcW w:w="346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2019</w:t>
            </w:r>
          </w:p>
        </w:tc>
        <w:tc>
          <w:tcPr>
            <w:tcW w:w="9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4"/>
                <w:szCs w:val="14"/>
                <w:color w:val="auto"/>
              </w:rPr>
              <w:t>17,252</w:t>
            </w:r>
          </w:p>
        </w:tc>
        <w:tc>
          <w:tcPr>
            <w:tcW w:w="16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249</w:t>
            </w: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rPr>
              <w:t>240,555</w:t>
            </w: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4"/>
                <w:szCs w:val="14"/>
                <w:color w:val="auto"/>
              </w:rPr>
              <w:t>33,832</w:t>
            </w: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7,697</w:t>
            </w:r>
          </w:p>
        </w:tc>
        <w:tc>
          <w:tcPr>
            <w:tcW w:w="14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w w:val="97"/>
              </w:rPr>
              <w:t>$ (489,702)</w:t>
            </w: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w w:val="96"/>
              </w:rPr>
              <w:t>(215,125)</w:t>
            </w:r>
          </w:p>
        </w:tc>
      </w:tr>
      <w:tr>
        <w:trPr>
          <w:trHeight w:val="23"/>
        </w:trPr>
        <w:tc>
          <w:tcPr>
            <w:tcW w:w="34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540" w:type="dxa"/>
            <w:vAlign w:val="bottom"/>
            <w:gridSpan w:val="7"/>
          </w:tcPr>
          <w:p>
            <w:pPr>
              <w:jc w:val="right"/>
              <w:ind w:right="320"/>
              <w:spacing w:after="0"/>
              <w:rPr>
                <w:sz w:val="20"/>
                <w:szCs w:val="20"/>
                <w:color w:val="auto"/>
              </w:rPr>
            </w:pPr>
            <w:r>
              <w:rPr>
                <w:rFonts w:ascii="Arial" w:cs="Arial" w:eastAsia="Arial" w:hAnsi="Arial"/>
                <w:sz w:val="16"/>
                <w:szCs w:val="16"/>
                <w:b w:val="1"/>
                <w:bCs w:val="1"/>
                <w:color w:val="auto"/>
                <w:w w:val="89"/>
              </w:rPr>
              <w:t>Six Months ended June 30, 2019</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190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5"/>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83"/>
        </w:trPr>
        <w:tc>
          <w:tcPr>
            <w:tcW w:w="3340" w:type="dxa"/>
            <w:vAlign w:val="bottom"/>
          </w:tcPr>
          <w:p>
            <w:pPr>
              <w:spacing w:after="0"/>
              <w:rPr>
                <w:sz w:val="15"/>
                <w:szCs w:val="15"/>
                <w:color w:val="auto"/>
              </w:rPr>
            </w:pPr>
          </w:p>
        </w:tc>
        <w:tc>
          <w:tcPr>
            <w:tcW w:w="1900" w:type="dxa"/>
            <w:vAlign w:val="bottom"/>
            <w:gridSpan w:val="5"/>
          </w:tcPr>
          <w:p>
            <w:pPr>
              <w:ind w:left="46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8"/>
              </w:rPr>
              <w:t>Accumulated</w:t>
            </w:r>
          </w:p>
        </w:tc>
        <w:tc>
          <w:tcPr>
            <w:tcW w:w="1660" w:type="dxa"/>
            <w:vAlign w:val="bottom"/>
            <w:gridSpan w:val="5"/>
          </w:tcPr>
          <w:p>
            <w:pPr>
              <w:jc w:val="center"/>
              <w:ind w:right="120"/>
              <w:spacing w:after="0"/>
              <w:rPr>
                <w:sz w:val="20"/>
                <w:szCs w:val="20"/>
                <w:color w:val="auto"/>
              </w:rPr>
            </w:pPr>
            <w:r>
              <w:rPr>
                <w:rFonts w:ascii="Arial" w:cs="Arial" w:eastAsia="Arial" w:hAnsi="Arial"/>
                <w:sz w:val="13"/>
                <w:szCs w:val="13"/>
                <w:b w:val="1"/>
                <w:bCs w:val="1"/>
                <w:color w:val="auto"/>
                <w:w w:val="87"/>
              </w:rPr>
              <w:t>Treasury Stock</w:t>
            </w:r>
          </w:p>
        </w:tc>
        <w:tc>
          <w:tcPr>
            <w:tcW w:w="840" w:type="dxa"/>
            <w:vAlign w:val="bottom"/>
          </w:tcPr>
          <w:p>
            <w:pPr>
              <w:spacing w:after="0"/>
              <w:rPr>
                <w:sz w:val="15"/>
                <w:szCs w:val="15"/>
                <w:color w:val="auto"/>
              </w:rPr>
            </w:pPr>
          </w:p>
        </w:tc>
      </w:tr>
      <w:tr>
        <w:trPr>
          <w:trHeight w:val="124"/>
        </w:trPr>
        <w:tc>
          <w:tcPr>
            <w:tcW w:w="334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right"/>
              <w:ind w:right="90"/>
              <w:spacing w:after="0" w:line="124" w:lineRule="exact"/>
              <w:rPr>
                <w:sz w:val="20"/>
                <w:szCs w:val="20"/>
                <w:color w:val="auto"/>
              </w:rPr>
            </w:pPr>
            <w:r>
              <w:rPr>
                <w:rFonts w:ascii="Arial" w:cs="Arial" w:eastAsia="Arial" w:hAnsi="Arial"/>
                <w:sz w:val="13"/>
                <w:szCs w:val="13"/>
                <w:b w:val="1"/>
                <w:bCs w:val="1"/>
                <w:color w:val="auto"/>
                <w:w w:val="94"/>
              </w:rPr>
              <w:t>Additional</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tcPr>
          <w:p>
            <w:pPr>
              <w:jc w:val="center"/>
              <w:ind w:right="360"/>
              <w:spacing w:after="0" w:line="124" w:lineRule="exact"/>
              <w:rPr>
                <w:sz w:val="20"/>
                <w:szCs w:val="20"/>
                <w:color w:val="auto"/>
              </w:rPr>
            </w:pPr>
            <w:r>
              <w:rPr>
                <w:rFonts w:ascii="Arial" w:cs="Arial" w:eastAsia="Arial" w:hAnsi="Arial"/>
                <w:sz w:val="13"/>
                <w:szCs w:val="13"/>
                <w:b w:val="1"/>
                <w:bCs w:val="1"/>
                <w:color w:val="auto"/>
                <w:w w:val="92"/>
              </w:rPr>
              <w:t>Other</w:t>
            </w:r>
          </w:p>
        </w:tc>
        <w:tc>
          <w:tcPr>
            <w:tcW w:w="5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35"/>
        </w:trPr>
        <w:tc>
          <w:tcPr>
            <w:tcW w:w="3340" w:type="dxa"/>
            <w:vAlign w:val="bottom"/>
          </w:tcPr>
          <w:p>
            <w:pPr>
              <w:spacing w:after="0"/>
              <w:rPr>
                <w:sz w:val="11"/>
                <w:szCs w:val="11"/>
                <w:color w:val="auto"/>
              </w:rPr>
            </w:pPr>
          </w:p>
        </w:tc>
        <w:tc>
          <w:tcPr>
            <w:tcW w:w="1120" w:type="dxa"/>
            <w:vAlign w:val="bottom"/>
            <w:gridSpan w:val="2"/>
          </w:tcPr>
          <w:p>
            <w:pPr>
              <w:ind w:left="300"/>
              <w:spacing w:after="0" w:line="135" w:lineRule="exact"/>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ind w:right="190"/>
              <w:spacing w:after="0" w:line="135" w:lineRule="exact"/>
              <w:rPr>
                <w:sz w:val="20"/>
                <w:szCs w:val="20"/>
                <w:color w:val="auto"/>
              </w:rPr>
            </w:pPr>
            <w:r>
              <w:rPr>
                <w:rFonts w:ascii="Arial" w:cs="Arial" w:eastAsia="Arial" w:hAnsi="Arial"/>
                <w:sz w:val="13"/>
                <w:szCs w:val="13"/>
                <w:b w:val="1"/>
                <w:bCs w:val="1"/>
                <w:color w:val="auto"/>
              </w:rPr>
              <w:t>Paid-in</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1"/>
                <w:szCs w:val="11"/>
                <w:color w:val="auto"/>
              </w:rPr>
            </w:pPr>
          </w:p>
        </w:tc>
        <w:tc>
          <w:tcPr>
            <w:tcW w:w="128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74"/>
        </w:trPr>
        <w:tc>
          <w:tcPr>
            <w:tcW w:w="334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3"/>
                <w:szCs w:val="13"/>
                <w:b w:val="1"/>
                <w:bCs w:val="1"/>
                <w:color w:val="auto"/>
              </w:rPr>
              <w:t>Outstanding</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85"/>
              </w:rPr>
              <w:t>Amount</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3"/>
                <w:szCs w:val="13"/>
                <w:b w:val="1"/>
                <w:bCs w:val="1"/>
                <w:color w:val="auto"/>
              </w:rPr>
              <w:t>Capital</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Earnings</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78"/>
              </w:rPr>
              <w:t>Loss</w:t>
            </w:r>
          </w:p>
        </w:tc>
        <w:tc>
          <w:tcPr>
            <w:tcW w:w="2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rPr>
              <w:t>Shares</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b w:val="1"/>
                <w:bCs w:val="1"/>
                <w:color w:val="auto"/>
              </w:rPr>
              <w:t>Cost</w:t>
            </w: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b w:val="1"/>
                <w:bCs w:val="1"/>
                <w:color w:val="auto"/>
              </w:rPr>
              <w:t>Total</w:t>
            </w:r>
          </w:p>
        </w:tc>
      </w:tr>
      <w:tr>
        <w:trPr>
          <w:trHeight w:val="243"/>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2018</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17,644</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250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237,726</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10,414</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(60)</w:t>
            </w: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7,341</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96"/>
              </w:rPr>
              <w:t>(450,603)</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97"/>
              </w:rPr>
              <w:t>$ (202,273)</w:t>
            </w:r>
          </w:p>
        </w:tc>
      </w:tr>
      <w:tr>
        <w:trPr>
          <w:trHeight w:val="250"/>
        </w:trPr>
        <w:tc>
          <w:tcPr>
            <w:tcW w:w="3340" w:type="dxa"/>
            <w:vAlign w:val="bottom"/>
          </w:tcPr>
          <w:p>
            <w:pPr>
              <w:ind w:left="20"/>
              <w:spacing w:after="0"/>
              <w:rPr>
                <w:sz w:val="20"/>
                <w:szCs w:val="20"/>
                <w:color w:val="auto"/>
              </w:rPr>
            </w:pPr>
            <w:r>
              <w:rPr>
                <w:rFonts w:ascii="Arial" w:cs="Arial" w:eastAsia="Arial" w:hAnsi="Arial"/>
                <w:sz w:val="16"/>
                <w:szCs w:val="16"/>
                <w:color w:val="auto"/>
              </w:rPr>
              <w:t>Adoption of ASC 842 (Note 3)</w:t>
            </w:r>
          </w:p>
        </w:tc>
        <w:tc>
          <w:tcPr>
            <w:tcW w:w="11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78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(5,030)</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(5,030)</w:t>
            </w:r>
          </w:p>
        </w:tc>
      </w:tr>
      <w:tr>
        <w:trPr>
          <w:trHeight w:val="263"/>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53,033</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53,033</w:t>
            </w:r>
          </w:p>
        </w:tc>
      </w:tr>
      <w:tr>
        <w:trPr>
          <w:trHeight w:val="251"/>
        </w:trPr>
        <w:tc>
          <w:tcPr>
            <w:tcW w:w="3340" w:type="dxa"/>
            <w:vAlign w:val="bottom"/>
          </w:tcPr>
          <w:p>
            <w:pPr>
              <w:ind w:left="20"/>
              <w:spacing w:after="0"/>
              <w:rPr>
                <w:sz w:val="20"/>
                <w:szCs w:val="20"/>
                <w:color w:val="auto"/>
              </w:rPr>
            </w:pPr>
            <w:r>
              <w:rPr>
                <w:rFonts w:ascii="Arial" w:cs="Arial" w:eastAsia="Arial" w:hAnsi="Arial"/>
                <w:sz w:val="16"/>
                <w:szCs w:val="16"/>
                <w:color w:val="auto"/>
              </w:rPr>
              <w:t>Other comprehensive gain</w:t>
            </w:r>
          </w:p>
        </w:tc>
        <w:tc>
          <w:tcPr>
            <w:tcW w:w="11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78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21"/>
                <w:szCs w:val="21"/>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9"/>
              <w:spacing w:after="0"/>
              <w:rPr>
                <w:sz w:val="20"/>
                <w:szCs w:val="20"/>
                <w:color w:val="auto"/>
              </w:rPr>
            </w:pPr>
            <w:r>
              <w:rPr>
                <w:rFonts w:ascii="Arial" w:cs="Arial" w:eastAsia="Arial" w:hAnsi="Arial"/>
                <w:sz w:val="14"/>
                <w:szCs w:val="14"/>
                <w:color w:val="auto"/>
              </w:rPr>
              <w:t>1</w:t>
            </w:r>
          </w:p>
        </w:tc>
      </w:tr>
      <w:tr>
        <w:trPr>
          <w:trHeight w:val="262"/>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Company common stock</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(543)</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543</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(47,356)</w:t>
            </w: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(47,356)</w:t>
            </w:r>
          </w:p>
        </w:tc>
      </w:tr>
      <w:tr>
        <w:trPr>
          <w:trHeight w:val="250"/>
        </w:trPr>
        <w:tc>
          <w:tcPr>
            <w:tcW w:w="3340" w:type="dxa"/>
            <w:vAlign w:val="bottom"/>
          </w:tcPr>
          <w:p>
            <w:pPr>
              <w:ind w:left="20"/>
              <w:spacing w:after="0"/>
              <w:rPr>
                <w:sz w:val="20"/>
                <w:szCs w:val="20"/>
                <w:color w:val="auto"/>
              </w:rPr>
            </w:pPr>
            <w:r>
              <w:rPr>
                <w:rFonts w:ascii="Arial" w:cs="Arial" w:eastAsia="Arial" w:hAnsi="Arial"/>
                <w:sz w:val="16"/>
                <w:szCs w:val="16"/>
                <w:color w:val="auto"/>
              </w:rPr>
              <w:t>Reissuance of treasury stock</w:t>
            </w: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187</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9"/>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(1,318)</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29"/>
              <w:spacing w:after="0"/>
              <w:rPr>
                <w:sz w:val="20"/>
                <w:szCs w:val="20"/>
                <w:color w:val="auto"/>
              </w:rPr>
            </w:pPr>
            <w:r>
              <w:rPr>
                <w:rFonts w:ascii="Arial" w:cs="Arial" w:eastAsia="Arial" w:hAnsi="Arial"/>
                <w:sz w:val="14"/>
                <w:szCs w:val="14"/>
                <w:color w:val="auto"/>
              </w:rPr>
              <w:t>(187)</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8,257</w:t>
            </w:r>
          </w:p>
        </w:tc>
        <w:tc>
          <w:tcPr>
            <w:tcW w:w="100" w:type="dxa"/>
            <w:vAlign w:val="bottom"/>
          </w:tcPr>
          <w:p>
            <w:pPr>
              <w:spacing w:after="0"/>
              <w:rPr>
                <w:sz w:val="21"/>
                <w:szCs w:val="21"/>
                <w:color w:val="auto"/>
              </w:rPr>
            </w:pPr>
          </w:p>
        </w:tc>
        <w:tc>
          <w:tcPr>
            <w:tcW w:w="840" w:type="dxa"/>
            <w:vAlign w:val="bottom"/>
          </w:tcPr>
          <w:p>
            <w:pPr>
              <w:jc w:val="right"/>
              <w:ind w:right="89"/>
              <w:spacing w:after="0"/>
              <w:rPr>
                <w:sz w:val="20"/>
                <w:szCs w:val="20"/>
                <w:color w:val="auto"/>
              </w:rPr>
            </w:pPr>
            <w:r>
              <w:rPr>
                <w:rFonts w:ascii="Arial" w:cs="Arial" w:eastAsia="Arial" w:hAnsi="Arial"/>
                <w:sz w:val="14"/>
                <w:szCs w:val="14"/>
                <w:color w:val="auto"/>
              </w:rPr>
              <w:t>6,938</w:t>
            </w:r>
          </w:p>
        </w:tc>
      </w:tr>
      <w:tr>
        <w:trPr>
          <w:trHeight w:val="263"/>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issuance of shares for stock plans</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(12)</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r>
      <w:tr>
        <w:trPr>
          <w:trHeight w:val="251"/>
        </w:trPr>
        <w:tc>
          <w:tcPr>
            <w:tcW w:w="3340" w:type="dxa"/>
            <w:vAlign w:val="bottom"/>
          </w:tcPr>
          <w:p>
            <w:pPr>
              <w:ind w:left="20"/>
              <w:spacing w:after="0"/>
              <w:rPr>
                <w:sz w:val="20"/>
                <w:szCs w:val="20"/>
                <w:color w:val="auto"/>
              </w:rPr>
            </w:pPr>
            <w:r>
              <w:rPr>
                <w:rFonts w:ascii="Arial" w:cs="Arial" w:eastAsia="Arial" w:hAnsi="Arial"/>
                <w:sz w:val="16"/>
                <w:szCs w:val="16"/>
                <w:color w:val="auto"/>
              </w:rPr>
              <w:t>Repurchase of restricted shares for taxes</w:t>
            </w: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(24)</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(2,242)</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(2,242)</w:t>
            </w:r>
          </w:p>
        </w:tc>
      </w:tr>
      <w:tr>
        <w:trPr>
          <w:trHeight w:val="262"/>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5,894</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5,894</w:t>
            </w:r>
          </w:p>
        </w:tc>
      </w:tr>
      <w:tr>
        <w:trPr>
          <w:trHeight w:val="250"/>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Dividends on common stock</w:t>
            </w: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495</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(24,585)</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(24,090)</w:t>
            </w:r>
          </w:p>
        </w:tc>
      </w:tr>
      <w:tr>
        <w:trPr>
          <w:trHeight w:val="233"/>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2019</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17,252</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249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240,555</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33,832</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(59)</w:t>
            </w: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7,697</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96"/>
              </w:rPr>
              <w:t>(489,702)</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97"/>
              </w:rPr>
              <w:t>$ (215,125)</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the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Unaudited)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gridSpan w:val="4"/>
          </w:tcPr>
          <w:p>
            <w:pPr>
              <w:jc w:val="right"/>
              <w:ind w:right="490"/>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57"/>
        </w:trPr>
        <w:tc>
          <w:tcPr>
            <w:tcW w:w="8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340" w:type="dxa"/>
            <w:vAlign w:val="bottom"/>
            <w:gridSpan w:val="4"/>
          </w:tcPr>
          <w:p>
            <w:pPr>
              <w:jc w:val="right"/>
              <w:ind w:right="670"/>
              <w:spacing w:after="0"/>
              <w:rPr>
                <w:sz w:val="20"/>
                <w:szCs w:val="20"/>
                <w:color w:val="auto"/>
              </w:rPr>
            </w:pPr>
            <w:r>
              <w:rPr>
                <w:rFonts w:ascii="Arial" w:cs="Arial" w:eastAsia="Arial" w:hAnsi="Arial"/>
                <w:sz w:val="16"/>
                <w:szCs w:val="16"/>
                <w:b w:val="1"/>
                <w:bCs w:val="1"/>
                <w:color w:val="auto"/>
              </w:rPr>
              <w:t>June 30, 2020</w:t>
            </w:r>
          </w:p>
        </w:tc>
        <w:tc>
          <w:tcPr>
            <w:tcW w:w="0" w:type="dxa"/>
            <w:vAlign w:val="bottom"/>
          </w:tcPr>
          <w:p>
            <w:pPr>
              <w:spacing w:after="0"/>
              <w:rPr>
                <w:sz w:val="1"/>
                <w:szCs w:val="1"/>
                <w:color w:val="auto"/>
              </w:rPr>
            </w:pPr>
          </w:p>
        </w:tc>
      </w:tr>
      <w:tr>
        <w:trPr>
          <w:trHeight w:val="33"/>
        </w:trPr>
        <w:tc>
          <w:tcPr>
            <w:tcW w:w="87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6"/>
                <w:szCs w:val="16"/>
                <w:b w:val="1"/>
                <w:bCs w:val="1"/>
                <w:color w:val="auto"/>
              </w:rPr>
              <w:t>June 30, 2020</w:t>
            </w:r>
          </w:p>
        </w:tc>
        <w:tc>
          <w:tcPr>
            <w:tcW w:w="1120" w:type="dxa"/>
            <w:vAlign w:val="bottom"/>
            <w:gridSpan w:val="2"/>
          </w:tcPr>
          <w:p>
            <w:pPr>
              <w:jc w:val="right"/>
              <w:spacing w:after="0"/>
              <w:rPr>
                <w:sz w:val="20"/>
                <w:szCs w:val="20"/>
                <w:color w:val="auto"/>
              </w:rPr>
            </w:pPr>
            <w:r>
              <w:rPr>
                <w:rFonts w:ascii="Arial" w:cs="Arial" w:eastAsia="Arial" w:hAnsi="Arial"/>
                <w:sz w:val="16"/>
                <w:szCs w:val="16"/>
                <w:b w:val="1"/>
                <w:bCs w:val="1"/>
                <w:color w:val="auto"/>
                <w:w w:val="97"/>
              </w:rPr>
              <w:t>June 30, 2019</w:t>
            </w:r>
          </w:p>
        </w:tc>
        <w:tc>
          <w:tcPr>
            <w:tcW w:w="0" w:type="dxa"/>
            <w:vAlign w:val="bottom"/>
          </w:tcPr>
          <w:p>
            <w:pPr>
              <w:spacing w:after="0"/>
              <w:rPr>
                <w:sz w:val="1"/>
                <w:szCs w:val="1"/>
                <w:color w:val="auto"/>
              </w:rPr>
            </w:pPr>
          </w:p>
        </w:tc>
      </w:tr>
      <w:tr>
        <w:trPr>
          <w:trHeight w:val="33"/>
        </w:trPr>
        <w:tc>
          <w:tcPr>
            <w:tcW w:w="87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7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(112,451)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53,033</w:t>
            </w:r>
          </w:p>
        </w:tc>
        <w:tc>
          <w:tcPr>
            <w:tcW w:w="0" w:type="dxa"/>
            <w:vAlign w:val="bottom"/>
          </w:tcPr>
          <w:p>
            <w:pPr>
              <w:spacing w:after="0"/>
              <w:rPr>
                <w:sz w:val="1"/>
                <w:szCs w:val="1"/>
                <w:color w:val="auto"/>
              </w:rPr>
            </w:pPr>
          </w:p>
        </w:tc>
      </w:tr>
      <w:tr>
        <w:trPr>
          <w:trHeight w:val="243"/>
        </w:trPr>
        <w:tc>
          <w:tcPr>
            <w:tcW w:w="8780" w:type="dxa"/>
            <w:vAlign w:val="bottom"/>
          </w:tcPr>
          <w:p>
            <w:pPr>
              <w:ind w:left="220"/>
              <w:spacing w:after="0"/>
              <w:rPr>
                <w:sz w:val="20"/>
                <w:szCs w:val="20"/>
                <w:color w:val="auto"/>
              </w:rPr>
            </w:pPr>
            <w:r>
              <w:rPr>
                <w:rFonts w:ascii="Arial" w:cs="Arial" w:eastAsia="Arial" w:hAnsi="Arial"/>
                <w:sz w:val="18"/>
                <w:szCs w:val="18"/>
                <w:color w:val="auto"/>
              </w:rPr>
              <w:t>Adjustments to reconcile net (loss) income to cash flows (used in) provided by operating activities:</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21,345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20,800</w:t>
            </w:r>
          </w:p>
        </w:tc>
        <w:tc>
          <w:tcPr>
            <w:tcW w:w="0" w:type="dxa"/>
            <w:vAlign w:val="bottom"/>
          </w:tcPr>
          <w:p>
            <w:pPr>
              <w:spacing w:after="0"/>
              <w:rPr>
                <w:sz w:val="1"/>
                <w:szCs w:val="1"/>
                <w:color w:val="auto"/>
              </w:rPr>
            </w:pPr>
          </w:p>
        </w:tc>
      </w:tr>
      <w:tr>
        <w:trPr>
          <w:trHeight w:val="243"/>
        </w:trPr>
        <w:tc>
          <w:tcPr>
            <w:tcW w:w="8780" w:type="dxa"/>
            <w:vAlign w:val="bottom"/>
          </w:tcPr>
          <w:p>
            <w:pPr>
              <w:ind w:left="460"/>
              <w:spacing w:after="0"/>
              <w:rPr>
                <w:sz w:val="20"/>
                <w:szCs w:val="20"/>
                <w:color w:val="auto"/>
              </w:rPr>
            </w:pPr>
            <w:r>
              <w:rPr>
                <w:rFonts w:ascii="Arial" w:cs="Arial" w:eastAsia="Arial" w:hAnsi="Arial"/>
                <w:sz w:val="18"/>
                <w:szCs w:val="18"/>
                <w:color w:val="auto"/>
              </w:rPr>
              <w:t>Non-cash stock-based compensation expense</w:t>
            </w:r>
          </w:p>
        </w:tc>
        <w:tc>
          <w:tcPr>
            <w:tcW w:w="12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6,670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5,894</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Non-cash interest expense</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2,083</w:t>
            </w:r>
          </w:p>
        </w:tc>
        <w:tc>
          <w:tcPr>
            <w:tcW w:w="0" w:type="dxa"/>
            <w:vAlign w:val="bottom"/>
          </w:tcPr>
          <w:p>
            <w:pPr>
              <w:spacing w:after="0"/>
              <w:rPr>
                <w:sz w:val="1"/>
                <w:szCs w:val="1"/>
                <w:color w:val="auto"/>
              </w:rPr>
            </w:pPr>
          </w:p>
        </w:tc>
      </w:tr>
      <w:tr>
        <w:trPr>
          <w:trHeight w:val="243"/>
        </w:trPr>
        <w:tc>
          <w:tcPr>
            <w:tcW w:w="8780" w:type="dxa"/>
            <w:vAlign w:val="bottom"/>
          </w:tcPr>
          <w:p>
            <w:pPr>
              <w:ind w:left="460"/>
              <w:spacing w:after="0"/>
              <w:rPr>
                <w:sz w:val="20"/>
                <w:szCs w:val="20"/>
                <w:color w:val="auto"/>
              </w:rPr>
            </w:pPr>
            <w:r>
              <w:rPr>
                <w:rFonts w:ascii="Arial" w:cs="Arial" w:eastAsia="Arial" w:hAnsi="Arial"/>
                <w:sz w:val="18"/>
                <w:szCs w:val="18"/>
                <w:color w:val="auto"/>
              </w:rPr>
              <w:t>Loss on extinguishment of debt</w:t>
            </w:r>
          </w:p>
        </w:tc>
        <w:tc>
          <w:tcPr>
            <w:tcW w:w="12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8,276</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Impairment and closure charges</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124,343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43"/>
        </w:trPr>
        <w:tc>
          <w:tcPr>
            <w:tcW w:w="8780" w:type="dxa"/>
            <w:vAlign w:val="bottom"/>
          </w:tcPr>
          <w:p>
            <w:pPr>
              <w:ind w:left="46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(10,793)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(3,186)</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Deferred revenue</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(4,179)</w:t>
            </w:r>
          </w:p>
        </w:tc>
        <w:tc>
          <w:tcPr>
            <w:tcW w:w="0" w:type="dxa"/>
            <w:vAlign w:val="bottom"/>
          </w:tcPr>
          <w:p>
            <w:pPr>
              <w:spacing w:after="0"/>
              <w:rPr>
                <w:sz w:val="1"/>
                <w:szCs w:val="1"/>
                <w:color w:val="auto"/>
              </w:rPr>
            </w:pPr>
          </w:p>
        </w:tc>
      </w:tr>
      <w:tr>
        <w:trPr>
          <w:trHeight w:val="243"/>
        </w:trPr>
        <w:tc>
          <w:tcPr>
            <w:tcW w:w="8780" w:type="dxa"/>
            <w:vAlign w:val="bottom"/>
          </w:tcPr>
          <w:p>
            <w:pPr>
              <w:ind w:left="460"/>
              <w:spacing w:after="0"/>
              <w:rPr>
                <w:sz w:val="20"/>
                <w:szCs w:val="20"/>
                <w:color w:val="auto"/>
              </w:rPr>
            </w:pPr>
            <w:r>
              <w:rPr>
                <w:rFonts w:ascii="Arial" w:cs="Arial" w:eastAsia="Arial" w:hAnsi="Arial"/>
                <w:sz w:val="18"/>
                <w:szCs w:val="18"/>
                <w:color w:val="auto"/>
              </w:rPr>
              <w:t>Loss on disposition of assets</w:t>
            </w:r>
          </w:p>
        </w:tc>
        <w:tc>
          <w:tcPr>
            <w:tcW w:w="12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1,543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(3,499)</w:t>
            </w:r>
          </w:p>
        </w:tc>
        <w:tc>
          <w:tcPr>
            <w:tcW w:w="0" w:type="dxa"/>
            <w:vAlign w:val="bottom"/>
          </w:tcPr>
          <w:p>
            <w:pPr>
              <w:spacing w:after="0"/>
              <w:rPr>
                <w:sz w:val="1"/>
                <w:szCs w:val="1"/>
                <w:color w:val="auto"/>
              </w:rPr>
            </w:pPr>
          </w:p>
        </w:tc>
      </w:tr>
      <w:tr>
        <w:trPr>
          <w:trHeight w:val="243"/>
        </w:trPr>
        <w:tc>
          <w:tcPr>
            <w:tcW w:w="8780" w:type="dxa"/>
            <w:vAlign w:val="bottom"/>
          </w:tcPr>
          <w:p>
            <w:pPr>
              <w:ind w:left="46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Accounts receivable, net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(31,039)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43"/>
        </w:trPr>
        <w:tc>
          <w:tcPr>
            <w:tcW w:w="8780" w:type="dxa"/>
            <w:vAlign w:val="bottom"/>
          </w:tcPr>
          <w:p>
            <w:pPr>
              <w:ind w:left="660"/>
              <w:spacing w:after="0"/>
              <w:rPr>
                <w:sz w:val="20"/>
                <w:szCs w:val="20"/>
                <w:color w:val="auto"/>
              </w:rPr>
            </w:pPr>
            <w:r>
              <w:rPr>
                <w:rFonts w:ascii="Arial" w:cs="Arial" w:eastAsia="Arial" w:hAnsi="Arial"/>
                <w:sz w:val="18"/>
                <w:szCs w:val="18"/>
                <w:color w:val="auto"/>
              </w:rPr>
              <w:t>Current income tax receivables and payables</w:t>
            </w:r>
          </w:p>
        </w:tc>
        <w:tc>
          <w:tcPr>
            <w:tcW w:w="1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(5,456)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9,442</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Gift card receivables and payables</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(7,444)</w:t>
            </w:r>
          </w:p>
        </w:tc>
        <w:tc>
          <w:tcPr>
            <w:tcW w:w="0" w:type="dxa"/>
            <w:vAlign w:val="bottom"/>
          </w:tcPr>
          <w:p>
            <w:pPr>
              <w:spacing w:after="0"/>
              <w:rPr>
                <w:sz w:val="1"/>
                <w:szCs w:val="1"/>
                <w:color w:val="auto"/>
              </w:rPr>
            </w:pPr>
          </w:p>
        </w:tc>
      </w:tr>
      <w:tr>
        <w:trPr>
          <w:trHeight w:val="243"/>
        </w:trPr>
        <w:tc>
          <w:tcPr>
            <w:tcW w:w="8780" w:type="dxa"/>
            <w:vAlign w:val="bottom"/>
          </w:tcPr>
          <w:p>
            <w:pPr>
              <w:ind w:left="660"/>
              <w:spacing w:after="0"/>
              <w:rPr>
                <w:sz w:val="20"/>
                <w:szCs w:val="20"/>
                <w:color w:val="auto"/>
              </w:rPr>
            </w:pPr>
            <w:r>
              <w:rPr>
                <w:rFonts w:ascii="Arial" w:cs="Arial" w:eastAsia="Arial" w:hAnsi="Arial"/>
                <w:sz w:val="18"/>
                <w:szCs w:val="18"/>
                <w:color w:val="auto"/>
              </w:rPr>
              <w:t>Other current assets</w:t>
            </w:r>
          </w:p>
        </w:tc>
        <w:tc>
          <w:tcPr>
            <w:tcW w:w="1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(2,503)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(3,607)</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Accounts payable</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8,995</w:t>
            </w:r>
          </w:p>
        </w:tc>
        <w:tc>
          <w:tcPr>
            <w:tcW w:w="0" w:type="dxa"/>
            <w:vAlign w:val="bottom"/>
          </w:tcPr>
          <w:p>
            <w:pPr>
              <w:spacing w:after="0"/>
              <w:rPr>
                <w:sz w:val="1"/>
                <w:szCs w:val="1"/>
                <w:color w:val="auto"/>
              </w:rPr>
            </w:pPr>
          </w:p>
        </w:tc>
      </w:tr>
      <w:tr>
        <w:trPr>
          <w:trHeight w:val="243"/>
        </w:trPr>
        <w:tc>
          <w:tcPr>
            <w:tcW w:w="8780" w:type="dxa"/>
            <w:vAlign w:val="bottom"/>
          </w:tcPr>
          <w:p>
            <w:pPr>
              <w:ind w:left="660"/>
              <w:spacing w:after="0"/>
              <w:rPr>
                <w:sz w:val="20"/>
                <w:szCs w:val="20"/>
                <w:color w:val="auto"/>
              </w:rPr>
            </w:pPr>
            <w:r>
              <w:rPr>
                <w:rFonts w:ascii="Arial" w:cs="Arial" w:eastAsia="Arial" w:hAnsi="Arial"/>
                <w:sz w:val="18"/>
                <w:szCs w:val="18"/>
                <w:color w:val="auto"/>
              </w:rPr>
              <w:t>Accrued employee compensation and benefits</w:t>
            </w:r>
          </w:p>
        </w:tc>
        <w:tc>
          <w:tcPr>
            <w:tcW w:w="1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(13,336)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(9,872)</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Other current liabilities</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13,544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(6,355)</w:t>
            </w:r>
          </w:p>
        </w:tc>
        <w:tc>
          <w:tcPr>
            <w:tcW w:w="0" w:type="dxa"/>
            <w:vAlign w:val="bottom"/>
          </w:tcPr>
          <w:p>
            <w:pPr>
              <w:spacing w:after="0"/>
              <w:rPr>
                <w:sz w:val="1"/>
                <w:szCs w:val="1"/>
                <w:color w:val="auto"/>
              </w:rPr>
            </w:pPr>
          </w:p>
        </w:tc>
      </w:tr>
      <w:tr>
        <w:trPr>
          <w:trHeight w:val="237"/>
        </w:trPr>
        <w:tc>
          <w:tcPr>
            <w:tcW w:w="8780" w:type="dxa"/>
            <w:vAlign w:val="bottom"/>
          </w:tcPr>
          <w:p>
            <w:pPr>
              <w:ind w:left="860"/>
              <w:spacing w:after="0"/>
              <w:rPr>
                <w:sz w:val="20"/>
                <w:szCs w:val="20"/>
                <w:color w:val="auto"/>
              </w:rPr>
            </w:pPr>
            <w:r>
              <w:rPr>
                <w:rFonts w:ascii="Arial" w:cs="Arial" w:eastAsia="Arial" w:hAnsi="Arial"/>
                <w:sz w:val="18"/>
                <w:szCs w:val="18"/>
                <w:color w:val="auto"/>
              </w:rPr>
              <w:t>Cash flows (used in) provided by operating activities</w:t>
            </w: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(10,517)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69,329</w:t>
            </w:r>
          </w:p>
        </w:tc>
        <w:tc>
          <w:tcPr>
            <w:tcW w:w="0" w:type="dxa"/>
            <w:vAlign w:val="bottom"/>
          </w:tcPr>
          <w:p>
            <w:pPr>
              <w:spacing w:after="0"/>
              <w:rPr>
                <w:sz w:val="1"/>
                <w:szCs w:val="1"/>
                <w:color w:val="auto"/>
              </w:rPr>
            </w:pPr>
          </w:p>
        </w:tc>
      </w:tr>
      <w:tr>
        <w:trPr>
          <w:trHeight w:val="27"/>
        </w:trPr>
        <w:tc>
          <w:tcPr>
            <w:tcW w:w="8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780" w:type="dxa"/>
            <w:vAlign w:val="bottom"/>
          </w:tcPr>
          <w:p>
            <w:pPr>
              <w:ind w:left="460"/>
              <w:spacing w:after="0"/>
              <w:rPr>
                <w:sz w:val="20"/>
                <w:szCs w:val="20"/>
                <w:color w:val="auto"/>
              </w:rPr>
            </w:pPr>
            <w:r>
              <w:rPr>
                <w:rFonts w:ascii="Arial" w:cs="Arial" w:eastAsia="Arial" w:hAnsi="Arial"/>
                <w:sz w:val="18"/>
                <w:szCs w:val="18"/>
                <w:color w:val="auto"/>
              </w:rPr>
              <w:t>Principal receipts from notes, equipment contracts and other long-term receivables</w:t>
            </w:r>
          </w:p>
        </w:tc>
        <w:tc>
          <w:tcPr>
            <w:tcW w:w="12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10,772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11,386</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Net additions to property and equipment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(9,175)</w:t>
            </w:r>
          </w:p>
        </w:tc>
        <w:tc>
          <w:tcPr>
            <w:tcW w:w="0" w:type="dxa"/>
            <w:vAlign w:val="bottom"/>
          </w:tcPr>
          <w:p>
            <w:pPr>
              <w:spacing w:after="0"/>
              <w:rPr>
                <w:sz w:val="1"/>
                <w:szCs w:val="1"/>
                <w:color w:val="auto"/>
              </w:rPr>
            </w:pPr>
          </w:p>
        </w:tc>
      </w:tr>
      <w:tr>
        <w:trPr>
          <w:trHeight w:val="243"/>
        </w:trPr>
        <w:tc>
          <w:tcPr>
            <w:tcW w:w="8780" w:type="dxa"/>
            <w:vAlign w:val="bottom"/>
          </w:tcPr>
          <w:p>
            <w:pPr>
              <w:ind w:left="460"/>
              <w:spacing w:after="0"/>
              <w:rPr>
                <w:sz w:val="20"/>
                <w:szCs w:val="20"/>
                <w:color w:val="auto"/>
              </w:rPr>
            </w:pPr>
            <w:r>
              <w:rPr>
                <w:rFonts w:ascii="Arial" w:cs="Arial" w:eastAsia="Arial" w:hAnsi="Arial"/>
                <w:sz w:val="18"/>
                <w:szCs w:val="18"/>
                <w:color w:val="auto"/>
              </w:rPr>
              <w:t>Proceeds from sale of property and equipment</w:t>
            </w:r>
          </w:p>
        </w:tc>
        <w:tc>
          <w:tcPr>
            <w:tcW w:w="12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Additions to long-term receivables</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(1,555)</w:t>
            </w:r>
          </w:p>
        </w:tc>
        <w:tc>
          <w:tcPr>
            <w:tcW w:w="0" w:type="dxa"/>
            <w:vAlign w:val="bottom"/>
          </w:tcPr>
          <w:p>
            <w:pPr>
              <w:spacing w:after="0"/>
              <w:rPr>
                <w:sz w:val="1"/>
                <w:szCs w:val="1"/>
                <w:color w:val="auto"/>
              </w:rPr>
            </w:pPr>
          </w:p>
        </w:tc>
      </w:tr>
      <w:tr>
        <w:trPr>
          <w:trHeight w:val="243"/>
        </w:trPr>
        <w:tc>
          <w:tcPr>
            <w:tcW w:w="8780" w:type="dxa"/>
            <w:vAlign w:val="bottom"/>
          </w:tcPr>
          <w:p>
            <w:pPr>
              <w:ind w:left="46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8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78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Cash flows provided by investing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2,097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37"/>
        </w:trPr>
        <w:tc>
          <w:tcPr>
            <w:tcW w:w="878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Proceeds from issuance of long-term debt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1,300,000</w:t>
            </w:r>
          </w:p>
        </w:tc>
        <w:tc>
          <w:tcPr>
            <w:tcW w:w="0" w:type="dxa"/>
            <w:vAlign w:val="bottom"/>
          </w:tcPr>
          <w:p>
            <w:pPr>
              <w:spacing w:after="0"/>
              <w:rPr>
                <w:sz w:val="1"/>
                <w:szCs w:val="1"/>
                <w:color w:val="auto"/>
              </w:rPr>
            </w:pPr>
          </w:p>
        </w:tc>
      </w:tr>
      <w:tr>
        <w:trPr>
          <w:trHeight w:val="243"/>
        </w:trPr>
        <w:tc>
          <w:tcPr>
            <w:tcW w:w="8780" w:type="dxa"/>
            <w:vAlign w:val="bottom"/>
          </w:tcPr>
          <w:p>
            <w:pPr>
              <w:ind w:left="460"/>
              <w:spacing w:after="0"/>
              <w:rPr>
                <w:sz w:val="20"/>
                <w:szCs w:val="20"/>
                <w:color w:val="auto"/>
              </w:rPr>
            </w:pPr>
            <w:r>
              <w:rPr>
                <w:rFonts w:ascii="Arial" w:cs="Arial" w:eastAsia="Arial" w:hAnsi="Arial"/>
                <w:sz w:val="18"/>
                <w:szCs w:val="18"/>
                <w:color w:val="auto"/>
              </w:rPr>
              <w:t>Repayment of long-term debt</w:t>
            </w:r>
          </w:p>
        </w:tc>
        <w:tc>
          <w:tcPr>
            <w:tcW w:w="12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w w:val="93"/>
              </w:rPr>
              <w:t>(1,283,750)</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Borrowing from revolving credit facility</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780" w:type="dxa"/>
            <w:vAlign w:val="bottom"/>
          </w:tcPr>
          <w:p>
            <w:pPr>
              <w:ind w:left="460"/>
              <w:spacing w:after="0"/>
              <w:rPr>
                <w:sz w:val="20"/>
                <w:szCs w:val="20"/>
                <w:color w:val="auto"/>
              </w:rPr>
            </w:pPr>
            <w:r>
              <w:rPr>
                <w:rFonts w:ascii="Arial" w:cs="Arial" w:eastAsia="Arial" w:hAnsi="Arial"/>
                <w:sz w:val="18"/>
                <w:szCs w:val="18"/>
                <w:color w:val="auto"/>
              </w:rPr>
              <w:t>Repayment of revolving credit facility</w:t>
            </w:r>
          </w:p>
        </w:tc>
        <w:tc>
          <w:tcPr>
            <w:tcW w:w="12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Payment of debt issuance costs</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(12,189)</w:t>
            </w:r>
          </w:p>
        </w:tc>
        <w:tc>
          <w:tcPr>
            <w:tcW w:w="0" w:type="dxa"/>
            <w:vAlign w:val="bottom"/>
          </w:tcPr>
          <w:p>
            <w:pPr>
              <w:spacing w:after="0"/>
              <w:rPr>
                <w:sz w:val="1"/>
                <w:szCs w:val="1"/>
                <w:color w:val="auto"/>
              </w:rPr>
            </w:pPr>
          </w:p>
        </w:tc>
      </w:tr>
      <w:tr>
        <w:trPr>
          <w:trHeight w:val="243"/>
        </w:trPr>
        <w:tc>
          <w:tcPr>
            <w:tcW w:w="8780" w:type="dxa"/>
            <w:vAlign w:val="bottom"/>
          </w:tcPr>
          <w:p>
            <w:pPr>
              <w:ind w:left="460"/>
              <w:spacing w:after="0"/>
              <w:rPr>
                <w:sz w:val="20"/>
                <w:szCs w:val="20"/>
                <w:color w:val="auto"/>
              </w:rPr>
            </w:pPr>
            <w:r>
              <w:rPr>
                <w:rFonts w:ascii="Arial" w:cs="Arial" w:eastAsia="Arial" w:hAnsi="Arial"/>
                <w:sz w:val="18"/>
                <w:szCs w:val="18"/>
                <w:color w:val="auto"/>
              </w:rPr>
              <w:t>Dividends paid on common stock</w:t>
            </w:r>
          </w:p>
        </w:tc>
        <w:tc>
          <w:tcPr>
            <w:tcW w:w="1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(23,934)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(23,346)</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Repurchase of common stock</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(29,853)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(46,383)</w:t>
            </w:r>
          </w:p>
        </w:tc>
        <w:tc>
          <w:tcPr>
            <w:tcW w:w="0" w:type="dxa"/>
            <w:vAlign w:val="bottom"/>
          </w:tcPr>
          <w:p>
            <w:pPr>
              <w:spacing w:after="0"/>
              <w:rPr>
                <w:sz w:val="1"/>
                <w:szCs w:val="1"/>
                <w:color w:val="auto"/>
              </w:rPr>
            </w:pPr>
          </w:p>
        </w:tc>
      </w:tr>
      <w:tr>
        <w:trPr>
          <w:trHeight w:val="243"/>
        </w:trPr>
        <w:tc>
          <w:tcPr>
            <w:tcW w:w="8780" w:type="dxa"/>
            <w:vAlign w:val="bottom"/>
          </w:tcPr>
          <w:p>
            <w:pPr>
              <w:ind w:left="460"/>
              <w:spacing w:after="0"/>
              <w:rPr>
                <w:sz w:val="20"/>
                <w:szCs w:val="20"/>
                <w:color w:val="auto"/>
              </w:rPr>
            </w:pPr>
            <w:r>
              <w:rPr>
                <w:rFonts w:ascii="Arial" w:cs="Arial" w:eastAsia="Arial" w:hAnsi="Arial"/>
                <w:sz w:val="18"/>
                <w:szCs w:val="18"/>
                <w:color w:val="auto"/>
              </w:rPr>
              <w:t>Principal payments on finance lease obligations</w:t>
            </w:r>
          </w:p>
        </w:tc>
        <w:tc>
          <w:tcPr>
            <w:tcW w:w="1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(5,993)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(6,964)</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Proceeds from stock options exercised</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20,523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6,938</w:t>
            </w:r>
          </w:p>
        </w:tc>
        <w:tc>
          <w:tcPr>
            <w:tcW w:w="0" w:type="dxa"/>
            <w:vAlign w:val="bottom"/>
          </w:tcPr>
          <w:p>
            <w:pPr>
              <w:spacing w:after="0"/>
              <w:rPr>
                <w:sz w:val="1"/>
                <w:szCs w:val="1"/>
                <w:color w:val="auto"/>
              </w:rPr>
            </w:pPr>
          </w:p>
        </w:tc>
      </w:tr>
      <w:tr>
        <w:trPr>
          <w:trHeight w:val="243"/>
        </w:trPr>
        <w:tc>
          <w:tcPr>
            <w:tcW w:w="8780" w:type="dxa"/>
            <w:vAlign w:val="bottom"/>
          </w:tcPr>
          <w:p>
            <w:pPr>
              <w:ind w:left="460"/>
              <w:spacing w:after="0"/>
              <w:rPr>
                <w:sz w:val="20"/>
                <w:szCs w:val="20"/>
                <w:color w:val="auto"/>
              </w:rPr>
            </w:pPr>
            <w:r>
              <w:rPr>
                <w:rFonts w:ascii="Arial" w:cs="Arial" w:eastAsia="Arial" w:hAnsi="Arial"/>
                <w:sz w:val="18"/>
                <w:szCs w:val="18"/>
                <w:color w:val="auto"/>
              </w:rPr>
              <w:t>Tax payments for restricted stock upon vesting</w:t>
            </w:r>
          </w:p>
        </w:tc>
        <w:tc>
          <w:tcPr>
            <w:tcW w:w="1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(2,129)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(2,242)</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8780" w:type="dxa"/>
            <w:vAlign w:val="bottom"/>
          </w:tcPr>
          <w:p>
            <w:pPr>
              <w:ind w:left="860"/>
              <w:spacing w:after="0"/>
              <w:rPr>
                <w:sz w:val="20"/>
                <w:szCs w:val="20"/>
                <w:color w:val="auto"/>
              </w:rPr>
            </w:pPr>
            <w:r>
              <w:rPr>
                <w:rFonts w:ascii="Arial" w:cs="Arial" w:eastAsia="Arial" w:hAnsi="Arial"/>
                <w:sz w:val="18"/>
                <w:szCs w:val="18"/>
                <w:color w:val="auto"/>
              </w:rPr>
              <w:t>Cash flows provided by (used in) financing activities</w:t>
            </w: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178,436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(92,936)</w:t>
            </w:r>
          </w:p>
        </w:tc>
        <w:tc>
          <w:tcPr>
            <w:tcW w:w="0" w:type="dxa"/>
            <w:vAlign w:val="bottom"/>
          </w:tcPr>
          <w:p>
            <w:pPr>
              <w:spacing w:after="0"/>
              <w:rPr>
                <w:sz w:val="1"/>
                <w:szCs w:val="1"/>
                <w:color w:val="auto"/>
              </w:rPr>
            </w:pPr>
          </w:p>
        </w:tc>
      </w:tr>
      <w:tr>
        <w:trPr>
          <w:trHeight w:val="27"/>
        </w:trPr>
        <w:tc>
          <w:tcPr>
            <w:tcW w:w="8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Net change in cash, cash equivalents and restricted cash</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170,016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(22,737)</w:t>
            </w:r>
          </w:p>
        </w:tc>
        <w:tc>
          <w:tcPr>
            <w:tcW w:w="0" w:type="dxa"/>
            <w:vAlign w:val="bottom"/>
          </w:tcPr>
          <w:p>
            <w:pPr>
              <w:spacing w:after="0"/>
              <w:rPr>
                <w:sz w:val="1"/>
                <w:szCs w:val="1"/>
                <w:color w:val="auto"/>
              </w:rPr>
            </w:pPr>
          </w:p>
        </w:tc>
      </w:tr>
      <w:tr>
        <w:trPr>
          <w:trHeight w:val="243"/>
        </w:trPr>
        <w:tc>
          <w:tcPr>
            <w:tcW w:w="8780" w:type="dxa"/>
            <w:vAlign w:val="bottom"/>
          </w:tcPr>
          <w:p>
            <w:pPr>
              <w:ind w:left="460"/>
              <w:spacing w:after="0"/>
              <w:rPr>
                <w:sz w:val="20"/>
                <w:szCs w:val="20"/>
                <w:color w:val="auto"/>
              </w:rPr>
            </w:pPr>
            <w:r>
              <w:rPr>
                <w:rFonts w:ascii="Arial" w:cs="Arial" w:eastAsia="Arial" w:hAnsi="Arial"/>
                <w:sz w:val="18"/>
                <w:szCs w:val="18"/>
                <w:color w:val="auto"/>
              </w:rPr>
              <w:t>Cash, cash equivalents and restricted cash at beginning of period</w:t>
            </w:r>
          </w:p>
        </w:tc>
        <w:tc>
          <w:tcPr>
            <w:tcW w:w="12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172,475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200,379</w:t>
            </w:r>
          </w:p>
        </w:tc>
        <w:tc>
          <w:tcPr>
            <w:tcW w:w="0" w:type="dxa"/>
            <w:vAlign w:val="bottom"/>
          </w:tcPr>
          <w:p>
            <w:pPr>
              <w:spacing w:after="0"/>
              <w:rPr>
                <w:sz w:val="1"/>
                <w:szCs w:val="1"/>
                <w:color w:val="auto"/>
              </w:rPr>
            </w:pPr>
          </w:p>
        </w:tc>
      </w:tr>
      <w:tr>
        <w:trPr>
          <w:trHeight w:val="27"/>
        </w:trPr>
        <w:tc>
          <w:tcPr>
            <w:tcW w:w="8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Cash, cash equivalents and restricted cash at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342,491</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177,642</w:t>
            </w:r>
          </w:p>
        </w:tc>
        <w:tc>
          <w:tcPr>
            <w:tcW w:w="0" w:type="dxa"/>
            <w:vAlign w:val="bottom"/>
          </w:tcPr>
          <w:p>
            <w:pPr>
              <w:spacing w:after="0"/>
              <w:rPr>
                <w:sz w:val="1"/>
                <w:szCs w:val="1"/>
                <w:color w:val="auto"/>
              </w:rPr>
            </w:pPr>
          </w:p>
        </w:tc>
      </w:tr>
      <w:tr>
        <w:trPr>
          <w:trHeight w:val="20"/>
        </w:trPr>
        <w:tc>
          <w:tcPr>
            <w:tcW w:w="8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Supplemental disclosures: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Interest paid in cash</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34,108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32,954</w:t>
            </w:r>
          </w:p>
        </w:tc>
        <w:tc>
          <w:tcPr>
            <w:tcW w:w="0" w:type="dxa"/>
            <w:vAlign w:val="bottom"/>
          </w:tcPr>
          <w:p>
            <w:pPr>
              <w:spacing w:after="0"/>
              <w:rPr>
                <w:sz w:val="1"/>
                <w:szCs w:val="1"/>
                <w:color w:val="auto"/>
              </w:rPr>
            </w:pPr>
          </w:p>
        </w:tc>
      </w:tr>
      <w:tr>
        <w:trPr>
          <w:trHeight w:val="243"/>
        </w:trPr>
        <w:tc>
          <w:tcPr>
            <w:tcW w:w="8780" w:type="dxa"/>
            <w:vAlign w:val="bottom"/>
          </w:tcPr>
          <w:p>
            <w:pPr>
              <w:ind w:left="460"/>
              <w:spacing w:after="0"/>
              <w:rPr>
                <w:sz w:val="20"/>
                <w:szCs w:val="20"/>
                <w:color w:val="auto"/>
              </w:rPr>
            </w:pPr>
            <w:r>
              <w:rPr>
                <w:rFonts w:ascii="Arial" w:cs="Arial" w:eastAsia="Arial" w:hAnsi="Arial"/>
                <w:sz w:val="18"/>
                <w:szCs w:val="18"/>
                <w:color w:val="auto"/>
              </w:rPr>
              <w:t>Income taxes paid in cash</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11,103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24,205</w:t>
            </w:r>
          </w:p>
        </w:tc>
        <w:tc>
          <w:tcPr>
            <w:tcW w:w="0" w:type="dxa"/>
            <w:vAlign w:val="bottom"/>
          </w:tcPr>
          <w:p>
            <w:pPr>
              <w:spacing w:after="0"/>
              <w:rPr>
                <w:sz w:val="1"/>
                <w:szCs w:val="1"/>
                <w:color w:val="auto"/>
              </w:rPr>
            </w:pPr>
          </w:p>
        </w:tc>
      </w:tr>
      <w:tr>
        <w:trPr>
          <w:trHeight w:val="351"/>
        </w:trPr>
        <w:tc>
          <w:tcPr>
            <w:tcW w:w="8780" w:type="dxa"/>
            <w:vAlign w:val="bottom"/>
          </w:tcPr>
          <w:p>
            <w:pPr>
              <w:ind w:left="3200"/>
              <w:spacing w:after="0"/>
              <w:rPr>
                <w:sz w:val="20"/>
                <w:szCs w:val="20"/>
                <w:color w:val="auto"/>
              </w:rPr>
            </w:pPr>
            <w:r>
              <w:rPr>
                <w:rFonts w:ascii="Arial" w:cs="Arial" w:eastAsia="Arial" w:hAnsi="Arial"/>
                <w:sz w:val="18"/>
                <w:szCs w:val="18"/>
                <w:color w:val="auto"/>
              </w:rPr>
              <w:t>See the accompanying Notes to Consolidated Financial Statements.</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216" w:lineRule="exact"/>
        <w:rPr>
          <w:sz w:val="20"/>
          <w:szCs w:val="20"/>
          <w:color w:val="auto"/>
        </w:rPr>
      </w:pPr>
    </w:p>
    <w:p>
      <w:pPr>
        <w:ind w:right="20" w:firstLine="324"/>
        <w:spacing w:after="0"/>
        <w:rPr>
          <w:sz w:val="20"/>
          <w:szCs w:val="20"/>
          <w:color w:val="auto"/>
        </w:rPr>
      </w:pPr>
      <w:r>
        <w:rPr>
          <w:rFonts w:ascii="Arial" w:cs="Arial" w:eastAsia="Arial" w:hAnsi="Arial"/>
          <w:sz w:val="18"/>
          <w:szCs w:val="18"/>
          <w:color w:val="auto"/>
        </w:rPr>
        <w:t>The accompanying unaudited consolidated financial statements of Dine Brands Global, Inc. (the “Company” or “Dine Brands Global”) have been prepared in accordance with United States generally accepted accounting principles (“U.S. GAAP”) for interim financial information and with the instructions to Form 10-Q and Article 10 of Regulation S-X. Accordingly, they do not include all the information and footnotes required by U.S. GAAP for complete financial statements. In the opinion of management, all adjustments (consisting of normal recurring accruals) considered necessary for a fair presentation have been included. The operating results for the six months ended June 30, 2020 are not necessarily indicative of the results that may be expected for the twelve months ending December 31, 2020.</w:t>
      </w:r>
    </w:p>
    <w:p>
      <w:pPr>
        <w:spacing w:after="0" w:line="176" w:lineRule="exact"/>
        <w:rPr>
          <w:sz w:val="20"/>
          <w:szCs w:val="20"/>
          <w:color w:val="auto"/>
        </w:rPr>
      </w:pPr>
    </w:p>
    <w:p>
      <w:pPr>
        <w:ind w:right="340" w:firstLine="324"/>
        <w:spacing w:after="0" w:line="261" w:lineRule="auto"/>
        <w:rPr>
          <w:sz w:val="20"/>
          <w:szCs w:val="20"/>
          <w:color w:val="auto"/>
        </w:rPr>
      </w:pPr>
      <w:r>
        <w:rPr>
          <w:rFonts w:ascii="Arial" w:cs="Arial" w:eastAsia="Arial" w:hAnsi="Arial"/>
          <w:sz w:val="18"/>
          <w:szCs w:val="18"/>
          <w:color w:val="auto"/>
        </w:rPr>
        <w:t>The consolidated balance sheet at December 31, 2019 has been derived from the audited consolidated financial statements at that date but does not include all of information and footnotes required by U.S. GAAP for complete financial statements.</w:t>
      </w:r>
    </w:p>
    <w:p>
      <w:pPr>
        <w:spacing w:after="0" w:line="157" w:lineRule="exact"/>
        <w:rPr>
          <w:sz w:val="20"/>
          <w:szCs w:val="20"/>
          <w:color w:val="auto"/>
        </w:rPr>
      </w:pPr>
    </w:p>
    <w:p>
      <w:pPr>
        <w:ind w:right="120" w:firstLine="324"/>
        <w:spacing w:after="0" w:line="261" w:lineRule="auto"/>
        <w:rPr>
          <w:sz w:val="20"/>
          <w:szCs w:val="20"/>
          <w:color w:val="auto"/>
        </w:rPr>
      </w:pPr>
      <w:r>
        <w:rPr>
          <w:rFonts w:ascii="Arial" w:cs="Arial" w:eastAsia="Arial" w:hAnsi="Arial"/>
          <w:sz w:val="18"/>
          <w:szCs w:val="18"/>
          <w:color w:val="auto"/>
        </w:rPr>
        <w:t>These consolidated financial statements should be read in conjunction with the consolidated financial statements and footnotes thereto included in the Company’s Annual Report on Form 10-K for the year ended December 31, 2019.</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89" w:lineRule="exact"/>
        <w:rPr>
          <w:sz w:val="20"/>
          <w:szCs w:val="20"/>
          <w:color w:val="auto"/>
        </w:rPr>
      </w:pPr>
    </w:p>
    <w:p>
      <w:pPr>
        <w:ind w:right="120" w:firstLine="324"/>
        <w:spacing w:after="0" w:line="243" w:lineRule="auto"/>
        <w:rPr>
          <w:sz w:val="20"/>
          <w:szCs w:val="20"/>
          <w:color w:val="auto"/>
        </w:rPr>
      </w:pPr>
      <w:r>
        <w:rPr>
          <w:rFonts w:ascii="Arial" w:cs="Arial" w:eastAsia="Arial" w:hAnsi="Arial"/>
          <w:sz w:val="18"/>
          <w:szCs w:val="18"/>
          <w:color w:val="auto"/>
        </w:rPr>
        <w:t>The Company’s fiscal quarters end on the Sunday closest to the last day of each calendar quarter. For convenience, the fiscal quarters of each year are referred to as ending on March 31, June 30, September 30 and December 31. The first fiscal quarter of 2020 began on December 30, 2019 and ended on March 29, 2020; the second fiscal quarter of 2020 ended on June 28, 2020. The first fiscal quarter of 2019 began on December 31, 2018 and ended on March 31, 2019; the second fiscal quarter of 2019 ended on June 30, 2019.</w:t>
      </w:r>
    </w:p>
    <w:p>
      <w:pPr>
        <w:spacing w:after="0" w:line="215"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The accompanying consolidated financial statements include the accounts of the Company and its subsidiaries that are consolidated in accordance with U.S. GAAP. All intercompany balances and transactions have been eliminated.</w:t>
      </w:r>
    </w:p>
    <w:p>
      <w:pPr>
        <w:spacing w:after="0" w:line="157" w:lineRule="exact"/>
        <w:rPr>
          <w:sz w:val="20"/>
          <w:szCs w:val="20"/>
          <w:color w:val="auto"/>
        </w:rPr>
      </w:pPr>
    </w:p>
    <w:p>
      <w:pPr>
        <w:ind w:right="80" w:firstLine="324"/>
        <w:spacing w:after="0" w:line="274" w:lineRule="auto"/>
        <w:rPr>
          <w:sz w:val="20"/>
          <w:szCs w:val="20"/>
          <w:color w:val="auto"/>
        </w:rPr>
      </w:pPr>
      <w:r>
        <w:rPr>
          <w:rFonts w:ascii="Arial" w:cs="Arial" w:eastAsia="Arial" w:hAnsi="Arial"/>
          <w:sz w:val="16"/>
          <w:szCs w:val="16"/>
          <w:color w:val="auto"/>
        </w:rPr>
        <w:t>The preparation of financial statements in conformity with U.S. GAAP requires the Company’s management to make assumptions and estimates that affect the reported amounts of assets and liabilities, disclosures of contingent assets and liabilities, if any, at the date of the consolidated financial statements, and the reported amounts of revenues and expenses during the reporting period. Significant estimates are made in the calculation and assessment of the following: impairment of goodwill, other intangible assets and tangible assets; income taxes; allowance for doubtful accounts and notes receivables; lease accounting estimates; contingencies; and stock-based compensation. On an ongoing basis, the Company evaluates its estimates based on historical experience, current conditions and various other assumptions that are believed to be reasonable under the circumstances. The Company adjusts such estimates and assumptions when facts and circumstances dictate. Actual results could differ from those estimates.</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39" w:lineRule="exact"/>
        <w:rPr>
          <w:sz w:val="20"/>
          <w:szCs w:val="20"/>
          <w:color w:val="auto"/>
        </w:rPr>
      </w:pPr>
    </w:p>
    <w:p>
      <w:pPr>
        <w:ind w:firstLine="324"/>
        <w:spacing w:after="0" w:line="252" w:lineRule="auto"/>
        <w:rPr>
          <w:sz w:val="20"/>
          <w:szCs w:val="20"/>
          <w:color w:val="auto"/>
        </w:rPr>
      </w:pPr>
      <w:r>
        <w:rPr>
          <w:rFonts w:ascii="Arial" w:cs="Arial" w:eastAsia="Arial" w:hAnsi="Arial"/>
          <w:sz w:val="17"/>
          <w:szCs w:val="17"/>
          <w:color w:val="auto"/>
        </w:rPr>
        <w:t>The Company was subject to risks and uncertainties as a result of the rapidly spreading outbreak of a novel strain of coronavirus, designated “COVID-19.” The extent of the continued impact of the COVID-19 pandemic on the Company's business is highly uncertain and difficult to predict, as measures taken in response to and the effect of the pandemic has varied and continues to vary by state and municipalities within states. Assessments of the success of measures taken and the timing of any further restrictions, or lifting of such restrictions, is rapidly evolving. The Company first began to experience impacts from COVID-19 in March 2020, as federal, state and local governments began to react to the public health crisis by encouraging “social distancing” and requiring, in varying degrees, restaurant dine-in limitations and other restrictions that largely limited the restaurants of the Company's franchisees and its company-operated restaurants to take-out and delivery sales. Many international restaurants were temporarily closed for at least a part of March as well as a result of government restrictions put in place in various countries. During the three months ended June 30, 2020, government-imposed dine-in restrictions were relaxed in many of the locations in which we operate, although dining room capacity is limited to 50% or less at most restaurants. Additionally, economies worldwide also have been negatively impacted by the COVID-19 pandemic, which possibly could cause a domestic and/or global economic recession.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1" w:name="page12"/>
    <w:bookmarkEnd w:id="1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Basis of Presentation (Continued)</w:t>
      </w:r>
    </w:p>
    <w:p>
      <w:pPr>
        <w:spacing w:after="0" w:line="275" w:lineRule="exact"/>
        <w:rPr>
          <w:sz w:val="20"/>
          <w:szCs w:val="20"/>
          <w:color w:val="auto"/>
        </w:rPr>
      </w:pPr>
    </w:p>
    <w:p>
      <w:pPr>
        <w:ind w:right="80" w:firstLine="324"/>
        <w:spacing w:after="0" w:line="267" w:lineRule="auto"/>
        <w:rPr>
          <w:sz w:val="20"/>
          <w:szCs w:val="20"/>
          <w:color w:val="auto"/>
        </w:rPr>
      </w:pPr>
      <w:r>
        <w:rPr>
          <w:rFonts w:ascii="Arial" w:cs="Arial" w:eastAsia="Arial" w:hAnsi="Arial"/>
          <w:sz w:val="16"/>
          <w:szCs w:val="16"/>
          <w:color w:val="auto"/>
        </w:rPr>
        <w:t>The Company has taken several actions to mitigate the effects of the COVID-19 pandemic on its operations and its franchisees, as follows: (i) drew down $220 million from its revolving credit facility, leaving available remaining borrowing under the facility of approximately $2 million; (ii) terminated repurchases of common stock for the foreseeable future; (iii) the Company's Board of Directors decided not to declare a dividend for the second and third quarter of 2020; (iv) voluntarily increased the interest reserve for securitized debt from the required $16.4 million (one quarter of estimated interest) to $32.8 million; (v) reduced discretionary costs, limited new hiring and reduced the use of independent contractors; (vi) temporarily furloughed certain team members across various functional groups at its restaurant support centers; (vii) deferred franchisee payment of royalty, advertising and other fees, and lease obligations for up to two months on a case-by-case basis; (viii) deferred franchisee remodel and development obligations for up to 12 months; and</w:t>
      </w:r>
    </w:p>
    <w:p>
      <w:pPr>
        <w:spacing w:after="0" w:line="1" w:lineRule="exact"/>
        <w:rPr>
          <w:sz w:val="20"/>
          <w:szCs w:val="20"/>
          <w:color w:val="auto"/>
        </w:rPr>
      </w:pPr>
    </w:p>
    <w:p>
      <w:pPr>
        <w:ind w:right="420" w:firstLine="8"/>
        <w:spacing w:after="0" w:line="243" w:lineRule="auto"/>
        <w:tabs>
          <w:tab w:leader="none" w:pos="305" w:val="left"/>
        </w:tabs>
        <w:numPr>
          <w:ilvl w:val="0"/>
          <w:numId w:val="3"/>
        </w:numPr>
        <w:rPr>
          <w:rFonts w:ascii="Arial" w:cs="Arial" w:eastAsia="Arial" w:hAnsi="Arial"/>
          <w:sz w:val="18"/>
          <w:szCs w:val="18"/>
          <w:color w:val="auto"/>
        </w:rPr>
      </w:pPr>
      <w:r>
        <w:rPr>
          <w:rFonts w:ascii="Arial" w:cs="Arial" w:eastAsia="Arial" w:hAnsi="Arial"/>
          <w:sz w:val="18"/>
          <w:szCs w:val="18"/>
          <w:color w:val="auto"/>
        </w:rPr>
        <w:t>engaged a national real estate firm to assist franchisees and the Company with landlord discussions regarding rent abatements, deferrals and other modifications to lease agreements.</w:t>
      </w:r>
    </w:p>
    <w:p>
      <w:pPr>
        <w:spacing w:after="0" w:line="213" w:lineRule="exact"/>
        <w:rPr>
          <w:sz w:val="20"/>
          <w:szCs w:val="20"/>
          <w:color w:val="auto"/>
        </w:rPr>
      </w:pPr>
    </w:p>
    <w:p>
      <w:pPr>
        <w:ind w:firstLine="324"/>
        <w:spacing w:after="0" w:line="254" w:lineRule="auto"/>
        <w:rPr>
          <w:sz w:val="20"/>
          <w:szCs w:val="20"/>
          <w:color w:val="auto"/>
        </w:rPr>
      </w:pPr>
      <w:r>
        <w:rPr>
          <w:rFonts w:ascii="Arial" w:cs="Arial" w:eastAsia="Arial" w:hAnsi="Arial"/>
          <w:sz w:val="17"/>
          <w:szCs w:val="17"/>
          <w:color w:val="auto"/>
        </w:rPr>
        <w:t>The severity of the continued impact of the COVID-19 pandemic on the Company's business will depend on a number of factors, including, but not limited to, how long the pandemic will last, whether/when recurrences of the virus may arise, what restrictions on in-restaurant dining may be enacted or re-enacted, the timing and extent of customer re-engagement with the Company's brands and, in general, what the short- and long-term impact on consumer discretionary spending the COVID-19 pandemic might have on the Company and the restaurant industry as a whole, all of which are uncertain and cannot be predicted. The Company's future results of operations and liquidity could adversely be impacted by the length of time dine-in restrictions are in place and the success of any initiatives or programs that the Company may undertake to address financial and operational challenges faced by itself and its franchisees. As such, the extent to which the COVID-19 pandemic may continue to materially impact the Company's financial condition, liquidity, or results of operations is highly uncertain.</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39" w:lineRule="exact"/>
        <w:rPr>
          <w:sz w:val="20"/>
          <w:szCs w:val="20"/>
          <w:color w:val="auto"/>
        </w:rPr>
      </w:pPr>
    </w:p>
    <w:p>
      <w:pPr>
        <w:ind w:right="120" w:firstLine="324"/>
        <w:spacing w:after="0" w:line="291" w:lineRule="auto"/>
        <w:rPr>
          <w:sz w:val="20"/>
          <w:szCs w:val="20"/>
          <w:color w:val="auto"/>
        </w:rPr>
      </w:pPr>
      <w:r>
        <w:rPr>
          <w:rFonts w:ascii="Arial" w:cs="Arial" w:eastAsia="Arial" w:hAnsi="Arial"/>
          <w:sz w:val="17"/>
          <w:szCs w:val="17"/>
          <w:color w:val="auto"/>
        </w:rPr>
        <w:t>Certain 2019 amounts previously reported have been reclassified to conform to the presentation requirements of a newly adopted accounting standard on the measurement of current expected credit losses (See Note 3). Amounts reported in 2019 have not been restated.</w:t>
      </w:r>
    </w:p>
    <w:p>
      <w:pPr>
        <w:spacing w:after="0" w:line="170" w:lineRule="exact"/>
        <w:rPr>
          <w:sz w:val="20"/>
          <w:szCs w:val="20"/>
          <w:color w:val="auto"/>
        </w:rPr>
      </w:pPr>
    </w:p>
    <w:p>
      <w:pPr>
        <w:ind w:left="340" w:right="4140" w:hanging="332"/>
        <w:spacing w:after="0" w:line="479" w:lineRule="auto"/>
        <w:tabs>
          <w:tab w:leader="none" w:pos="196"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Accounting Standards Adopted and Newly Issued Accounting Standards Not Yet Adopted </w:t>
      </w:r>
      <w:r>
        <w:rPr>
          <w:rFonts w:ascii="Arial" w:cs="Arial" w:eastAsia="Arial" w:hAnsi="Arial"/>
          <w:sz w:val="18"/>
          <w:szCs w:val="18"/>
          <w:b w:val="1"/>
          <w:bCs w:val="1"/>
          <w:i w:val="1"/>
          <w:iCs w:val="1"/>
          <w:color w:val="auto"/>
        </w:rPr>
        <w:t>Accounting Standards Adopted in the Current Fiscal Year</w:t>
      </w:r>
    </w:p>
    <w:p>
      <w:pPr>
        <w:spacing w:after="0" w:line="1"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In February 2016, the Financial Accounting Standards Board (“FASB”) issued new guidance on the measurement of current expected credit losses (“CECL”) on financial instruments. The new guidance has replaced the incurred loss methodology of recognizing credit losses on financial instruments with a methodology that estimates the expected credit loss on financial instruments and reflects the net amount expected to be collected on the financial instrument. The Company adopted this change in accounting principle as of the first day of the first fiscal quarter of 2020 using the modified retrospective method. Accordingly, financial information for periods prior to the date of initial application has not been adjusted.</w:t>
      </w:r>
    </w:p>
    <w:p>
      <w:pPr>
        <w:spacing w:after="0" w:line="203"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Upon adoption of the new CECL guidance, the Company recognized an increase to its allowance for credit losses of $0.7 million. The Company recognized an adjustment to retained earnings upon adoption of $0.5 million, net of tax of $0.2 million.</w:t>
      </w:r>
    </w:p>
    <w:p>
      <w:pPr>
        <w:spacing w:after="0" w:line="197" w:lineRule="exact"/>
        <w:rPr>
          <w:sz w:val="20"/>
          <w:szCs w:val="20"/>
          <w:color w:val="auto"/>
        </w:rPr>
      </w:pPr>
    </w:p>
    <w:p>
      <w:pPr>
        <w:ind w:right="140" w:firstLine="324"/>
        <w:spacing w:after="0" w:line="324" w:lineRule="auto"/>
        <w:rPr>
          <w:sz w:val="20"/>
          <w:szCs w:val="20"/>
          <w:color w:val="auto"/>
        </w:rPr>
      </w:pPr>
      <w:r>
        <w:rPr>
          <w:rFonts w:ascii="Arial" w:cs="Arial" w:eastAsia="Arial" w:hAnsi="Arial"/>
          <w:sz w:val="16"/>
          <w:szCs w:val="16"/>
          <w:color w:val="auto"/>
        </w:rPr>
        <w:t>Additional new accounting guidance became effective for the Company as of the beginning of fiscal 2020 that the Company reviewed and concluded was either not applicable to its operations or had no material effect on its consolidated financial statements in the current or future fiscal years.</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Newly Issued Accounting Standards Not Yet Adopted</w:t>
      </w:r>
    </w:p>
    <w:p>
      <w:pPr>
        <w:spacing w:after="0" w:line="239" w:lineRule="exact"/>
        <w:rPr>
          <w:sz w:val="20"/>
          <w:szCs w:val="20"/>
          <w:color w:val="auto"/>
        </w:rPr>
      </w:pPr>
    </w:p>
    <w:p>
      <w:pPr>
        <w:ind w:right="60" w:firstLine="324"/>
        <w:spacing w:after="0" w:line="241" w:lineRule="auto"/>
        <w:rPr>
          <w:sz w:val="20"/>
          <w:szCs w:val="20"/>
          <w:color w:val="auto"/>
        </w:rPr>
      </w:pPr>
      <w:r>
        <w:rPr>
          <w:rFonts w:ascii="Arial" w:cs="Arial" w:eastAsia="Arial" w:hAnsi="Arial"/>
          <w:sz w:val="18"/>
          <w:szCs w:val="18"/>
          <w:color w:val="auto"/>
        </w:rPr>
        <w:t>In December 2019, the FASB issued new guidance intended to simplify the accounting for income taxes, change the accounting for certain income tax transactions, and make other minor changes. The Company will be required to adopt the new guidance beginning with its first fiscal quarter of 2021; early adoption in any interim period after issuance of the new guidance is permitted. The Company is currently assessing the impact this guidance will have on its consolidated financial statements but does not expect this standard to have a material effect on its financial statements. The Company does not intend to adopt the standard early.</w:t>
      </w:r>
    </w:p>
    <w:p>
      <w:pPr>
        <w:spacing w:after="0" w:line="216" w:lineRule="exact"/>
        <w:rPr>
          <w:sz w:val="20"/>
          <w:szCs w:val="20"/>
          <w:color w:val="auto"/>
        </w:rPr>
      </w:pPr>
    </w:p>
    <w:p>
      <w:pPr>
        <w:ind w:right="640" w:firstLine="324"/>
        <w:spacing w:after="0" w:line="291" w:lineRule="auto"/>
        <w:rPr>
          <w:sz w:val="20"/>
          <w:szCs w:val="20"/>
          <w:color w:val="auto"/>
        </w:rPr>
      </w:pPr>
      <w:r>
        <w:rPr>
          <w:rFonts w:ascii="Arial" w:cs="Arial" w:eastAsia="Arial" w:hAnsi="Arial"/>
          <w:sz w:val="17"/>
          <w:szCs w:val="17"/>
          <w:color w:val="auto"/>
        </w:rPr>
        <w:t>The Company reviewed all other newly issued accounting pronouncements and concluded that they either are not applicable to the Company's operations or that no material effect is expected on the Company's financial statements when adoption is required in the future.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Impairment and Closure Charges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Goodwill and Intangible Assets</w:t>
      </w:r>
    </w:p>
    <w:p>
      <w:pPr>
        <w:spacing w:after="0" w:line="252"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Most of the Company's goodwill and intangible assets arose from the November 29, 2007 acquisition of Applebee's. The Company evaluates its goodwill and the indefinite-lived Applebee's tradename for impairment annually in the fourth quarter of each year or on an interim basis if events or changes in circumstances between annual tests indicate a potential impairment. Definite-lived intangible assets and long-lived tangible assets are reviewed for impairment whenever events or changes in circumstances indicate that the carrying amount of an asset or asset group may not be recoverable based on estimated undiscounted future cash flows.</w:t>
      </w:r>
    </w:p>
    <w:p>
      <w:pPr>
        <w:spacing w:after="0" w:line="215"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Because of the risks and uncertainties associated with the COVID-19 pandemic, during the three months ended March 31, 2020, the Company performed assessments to determine whether the impacts of COVID-19 indicated a potential impairment to our goodwill and intangible assets, as well as our tangible assets. The Company evaluated multiple scenarios modeling impacts of COVID-19 on its key performance indicators and its long-term view of future trends in sales, operating expenses, overhead expenses, depreciation, capital expenditures and changes in working capital. The Company also considered the continuing favorable benefits of the Tax Cuts and Jobs Act of 2017, Applebee's brand performance during the first quarter of 2020 through the week ended March 8, 2020, and the market value of the Company's stock, absolute and relative to the overall U.S. stock market, throughout the first quarter of 2020. The Company concluded, based on information available at that time, it was not more likely than not that the carrying value of goodwill and indefinite-lived intangible assets exceeded fair value as of March 31, 2020.</w:t>
      </w:r>
    </w:p>
    <w:p>
      <w:pPr>
        <w:spacing w:after="0" w:line="20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In the second quarter of 2020, the Company noted that its common stock had recovered less of its early March 2020 (pre-pandemic) market value than the overall U.S. stock market had recovered. The Company also was able to assess several additional months of data as to the impact of the COVID-19 pandemic on its operations and, in turn, assess the impact that might have on the risk premium incorporated into its discount rate. Based on these developments, the Company determined that an interim quantitative test of goodwill and indefinite-lived intangible assets for impairment should be performed as of May 24, 2020. In determining fair value, the Company utilizes valuation techniques that maximize the use of observable inputs and minimize the use of unobservable inputs to the extent possible. The fair value technique used in this instance is classified as Level 3, where unobservable inputs are used when little or no market data is available.</w:t>
      </w:r>
    </w:p>
    <w:p>
      <w:pPr>
        <w:spacing w:after="0" w:line="222" w:lineRule="exact"/>
        <w:rPr>
          <w:sz w:val="20"/>
          <w:szCs w:val="20"/>
          <w:color w:val="auto"/>
        </w:rPr>
      </w:pPr>
    </w:p>
    <w:p>
      <w:pPr>
        <w:ind w:firstLine="324"/>
        <w:spacing w:after="0" w:line="257" w:lineRule="auto"/>
        <w:rPr>
          <w:sz w:val="20"/>
          <w:szCs w:val="20"/>
          <w:color w:val="auto"/>
        </w:rPr>
      </w:pPr>
      <w:r>
        <w:rPr>
          <w:rFonts w:ascii="Arial" w:cs="Arial" w:eastAsia="Arial" w:hAnsi="Arial"/>
          <w:sz w:val="17"/>
          <w:szCs w:val="17"/>
          <w:color w:val="auto"/>
        </w:rPr>
        <w:t>In performing the quantitative test for impairment of goodwill, the Company used the income approach method of valuation that includes the discounted cash flow method and the market approach that includes the guideline public company method to determine the fair value of goodwill and intangible assets. Significant assumptions made by management in estimating fair value under the discounted cash flow model include future trends in sales, operating expenses, overhead expenses, depreciation, capital expenditures and changes in working capital, along with an appropriate discount rate based on the Company's estimated cost of equity capital and after-tax cost of debt. Significant assumptions used to determine fair value under the guideline public company method include the selection of guideline companies and the valuation multiples applied.</w:t>
      </w:r>
    </w:p>
    <w:p>
      <w:pPr>
        <w:spacing w:after="0" w:line="202" w:lineRule="exact"/>
        <w:rPr>
          <w:sz w:val="20"/>
          <w:szCs w:val="20"/>
          <w:color w:val="auto"/>
        </w:rPr>
      </w:pPr>
    </w:p>
    <w:p>
      <w:pPr>
        <w:ind w:right="580" w:firstLine="324"/>
        <w:spacing w:after="0" w:line="263" w:lineRule="auto"/>
        <w:rPr>
          <w:sz w:val="20"/>
          <w:szCs w:val="20"/>
          <w:color w:val="auto"/>
        </w:rPr>
      </w:pPr>
      <w:r>
        <w:rPr>
          <w:rFonts w:ascii="Arial" w:cs="Arial" w:eastAsia="Arial" w:hAnsi="Arial"/>
          <w:sz w:val="18"/>
          <w:szCs w:val="18"/>
          <w:color w:val="auto"/>
        </w:rPr>
        <w:t>In performing the impairment review of the tradename, the Company used the relief of royalty method under the income approach method of valuation. Significant assumptions used to determine fair value under the relief of royalty method include future trends in sales, a royalty rate and a discount rate to be applied to the forecast revenue stream.</w:t>
      </w:r>
    </w:p>
    <w:p>
      <w:pPr>
        <w:spacing w:after="0" w:line="211"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As a result of performing the quantitative test of impairment, the Company recognized an impairment of $92.2 million to the goodwill of the Applebee's franchise unit and an impairment of $11.0 million to Applebee's tradename during the three months ended June 30, 2020. The majority of the impairment was due to an increase in the assessed risk premium incorporated into the discount rate assumption.</w:t>
      </w:r>
    </w:p>
    <w:p>
      <w:pPr>
        <w:spacing w:after="0" w:line="211"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In addition, the Company reviewed its reacquired franchising rights and determined that the carrying amount exceeded the estimated fair value by $3.3 million and has recorded an impairment to that intangible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Impairment and Closure Charges (Continued)</w:t>
      </w:r>
    </w:p>
    <w:p>
      <w:pPr>
        <w:spacing w:after="0" w:line="27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Changes in the carrying amount of goodwill for the six months ended June 30, 2020 are as follows: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Applebee's Franchise</w:t>
            </w:r>
          </w:p>
        </w:tc>
        <w:tc>
          <w:tcPr>
            <w:tcW w:w="140" w:type="dxa"/>
            <w:vAlign w:val="bottom"/>
          </w:tcPr>
          <w:p>
            <w:pPr>
              <w:spacing w:after="0"/>
              <w:rPr>
                <w:sz w:val="17"/>
                <w:szCs w:val="17"/>
                <w:color w:val="auto"/>
              </w:rPr>
            </w:pPr>
          </w:p>
        </w:tc>
        <w:tc>
          <w:tcPr>
            <w:tcW w:w="17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Applebee's Company</w:t>
            </w: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0"/>
        </w:trPr>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6"/>
              </w:rPr>
              <w:t>Unit</w:t>
            </w:r>
          </w:p>
        </w:tc>
        <w:tc>
          <w:tcPr>
            <w:tcW w:w="140" w:type="dxa"/>
            <w:vAlign w:val="bottom"/>
          </w:tcPr>
          <w:p>
            <w:pPr>
              <w:spacing w:after="0"/>
              <w:rPr>
                <w:sz w:val="18"/>
                <w:szCs w:val="18"/>
                <w:color w:val="auto"/>
              </w:rPr>
            </w:pPr>
          </w:p>
        </w:tc>
        <w:tc>
          <w:tcPr>
            <w:tcW w:w="17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Unit</w:t>
            </w:r>
          </w:p>
        </w:tc>
        <w:tc>
          <w:tcPr>
            <w:tcW w:w="120" w:type="dxa"/>
            <w:vAlign w:val="bottom"/>
          </w:tcPr>
          <w:p>
            <w:pPr>
              <w:spacing w:after="0"/>
              <w:rPr>
                <w:sz w:val="18"/>
                <w:szCs w:val="18"/>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b w:val="1"/>
                <w:bCs w:val="1"/>
                <w:color w:val="auto"/>
              </w:rPr>
              <w:t>IHOP Franchise Unit</w:t>
            </w:r>
          </w:p>
        </w:tc>
        <w:tc>
          <w:tcPr>
            <w:tcW w:w="400" w:type="dxa"/>
            <w:vAlign w:val="bottom"/>
          </w:tcPr>
          <w:p>
            <w:pPr>
              <w:spacing w:after="0"/>
              <w:rPr>
                <w:sz w:val="18"/>
                <w:szCs w:val="18"/>
                <w:color w:val="auto"/>
              </w:rPr>
            </w:pPr>
          </w:p>
        </w:tc>
        <w:tc>
          <w:tcPr>
            <w:tcW w:w="1340" w:type="dxa"/>
            <w:vAlign w:val="bottom"/>
          </w:tcPr>
          <w:p>
            <w:pPr>
              <w:ind w:left="300"/>
              <w:spacing w:after="0"/>
              <w:rPr>
                <w:sz w:val="20"/>
                <w:szCs w:val="20"/>
                <w:color w:val="auto"/>
              </w:rPr>
            </w:pPr>
            <w:r>
              <w:rPr>
                <w:rFonts w:ascii="Arial" w:cs="Arial" w:eastAsia="Arial" w:hAnsi="Arial"/>
                <w:sz w:val="16"/>
                <w:szCs w:val="16"/>
                <w:b w:val="1"/>
                <w:bCs w:val="1"/>
                <w:color w:val="auto"/>
              </w:rPr>
              <w:t>Total</w:t>
            </w:r>
          </w:p>
        </w:tc>
      </w:tr>
      <w:tr>
        <w:trPr>
          <w:trHeight w:val="33"/>
        </w:trPr>
        <w:tc>
          <w:tcPr>
            <w:tcW w:w="34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gridSpan w:val="5"/>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0"/>
        </w:trPr>
        <w:tc>
          <w:tcPr>
            <w:tcW w:w="3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80" w:type="dxa"/>
            <w:vAlign w:val="bottom"/>
            <w:gridSpan w:val="5"/>
          </w:tcPr>
          <w:p>
            <w:pPr>
              <w:ind w:left="1340"/>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56"/>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328.4</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343.9</w:t>
            </w:r>
          </w:p>
        </w:tc>
      </w:tr>
      <w:tr>
        <w:trPr>
          <w:trHeight w:val="243"/>
        </w:trPr>
        <w:tc>
          <w:tcPr>
            <w:tcW w:w="3480" w:type="dxa"/>
            <w:vAlign w:val="bottom"/>
          </w:tcPr>
          <w:p>
            <w:pPr>
              <w:ind w:left="20"/>
              <w:spacing w:after="0"/>
              <w:rPr>
                <w:sz w:val="20"/>
                <w:szCs w:val="20"/>
                <w:color w:val="auto"/>
              </w:rPr>
            </w:pPr>
            <w:r>
              <w:rPr>
                <w:rFonts w:ascii="Arial" w:cs="Arial" w:eastAsia="Arial" w:hAnsi="Arial"/>
                <w:sz w:val="18"/>
                <w:szCs w:val="18"/>
                <w:color w:val="auto"/>
              </w:rPr>
              <w:t>Impairment loss</w:t>
            </w:r>
          </w:p>
        </w:tc>
        <w:tc>
          <w:tcPr>
            <w:tcW w:w="120" w:type="dxa"/>
            <w:vAlign w:val="bottom"/>
          </w:tcPr>
          <w:p>
            <w:pPr>
              <w:spacing w:after="0"/>
              <w:rPr>
                <w:sz w:val="21"/>
                <w:szCs w:val="21"/>
                <w:color w:val="auto"/>
              </w:rPr>
            </w:pPr>
          </w:p>
        </w:tc>
        <w:tc>
          <w:tcPr>
            <w:tcW w:w="1640" w:type="dxa"/>
            <w:vAlign w:val="bottom"/>
          </w:tcPr>
          <w:p>
            <w:pPr>
              <w:ind w:left="1100"/>
              <w:spacing w:after="0"/>
              <w:rPr>
                <w:sz w:val="20"/>
                <w:szCs w:val="20"/>
                <w:color w:val="auto"/>
              </w:rPr>
            </w:pPr>
            <w:r>
              <w:rPr>
                <w:rFonts w:ascii="Arial" w:cs="Arial" w:eastAsia="Arial" w:hAnsi="Arial"/>
                <w:sz w:val="18"/>
                <w:szCs w:val="18"/>
                <w:color w:val="auto"/>
              </w:rPr>
              <w:t>(92.2)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40" w:type="dxa"/>
            <w:vAlign w:val="bottom"/>
          </w:tcPr>
          <w:p>
            <w:pPr>
              <w:ind w:left="800"/>
              <w:spacing w:after="0"/>
              <w:rPr>
                <w:sz w:val="20"/>
                <w:szCs w:val="20"/>
                <w:color w:val="auto"/>
              </w:rPr>
            </w:pPr>
            <w:r>
              <w:rPr>
                <w:rFonts w:ascii="Arial" w:cs="Arial" w:eastAsia="Arial" w:hAnsi="Arial"/>
                <w:sz w:val="18"/>
                <w:szCs w:val="18"/>
                <w:color w:val="auto"/>
              </w:rPr>
              <w:t>(92.2)</w:t>
            </w:r>
          </w:p>
        </w:tc>
      </w:tr>
      <w:tr>
        <w:trPr>
          <w:trHeight w:val="27"/>
        </w:trPr>
        <w:tc>
          <w:tcPr>
            <w:tcW w:w="3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88"/>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236.2</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251.6</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carrying amount of intangible assets for the six months ended June 30, 2020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0" w:type="dxa"/>
            <w:vAlign w:val="bottom"/>
            <w:gridSpan w:val="5"/>
          </w:tcPr>
          <w:p>
            <w:pPr>
              <w:ind w:left="120"/>
              <w:spacing w:after="0"/>
              <w:rPr>
                <w:sz w:val="20"/>
                <w:szCs w:val="20"/>
                <w:color w:val="auto"/>
              </w:rPr>
            </w:pPr>
            <w:r>
              <w:rPr>
                <w:rFonts w:ascii="Arial" w:cs="Arial" w:eastAsia="Arial" w:hAnsi="Arial"/>
                <w:sz w:val="14"/>
                <w:szCs w:val="14"/>
                <w:b w:val="1"/>
                <w:bCs w:val="1"/>
                <w:color w:val="auto"/>
              </w:rPr>
              <w:t>Not Subject to Amortization</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40" w:type="dxa"/>
            <w:vAlign w:val="bottom"/>
            <w:gridSpan w:val="6"/>
          </w:tcPr>
          <w:p>
            <w:pPr>
              <w:jc w:val="center"/>
              <w:spacing w:after="0"/>
              <w:rPr>
                <w:sz w:val="20"/>
                <w:szCs w:val="20"/>
                <w:color w:val="auto"/>
              </w:rPr>
            </w:pPr>
            <w:r>
              <w:rPr>
                <w:rFonts w:ascii="Arial" w:cs="Arial" w:eastAsia="Arial" w:hAnsi="Arial"/>
                <w:sz w:val="14"/>
                <w:szCs w:val="14"/>
                <w:b w:val="1"/>
                <w:bCs w:val="1"/>
                <w:color w:val="auto"/>
                <w:w w:val="94"/>
              </w:rPr>
              <w:t>Subject to Amortization</w:t>
            </w: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95"/>
              </w:rPr>
              <w:t>Franchising</w:t>
            </w: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4"/>
              </w:rPr>
              <w:t>Reacquired</w:t>
            </w: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Tradename</w:t>
            </w:r>
          </w:p>
        </w:tc>
        <w:tc>
          <w:tcPr>
            <w:tcW w:w="240" w:type="dxa"/>
            <w:vAlign w:val="bottom"/>
          </w:tcPr>
          <w:p>
            <w:pPr>
              <w:spacing w:after="0"/>
              <w:rPr>
                <w:sz w:val="12"/>
                <w:szCs w:val="12"/>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Franchising</w:t>
            </w:r>
          </w:p>
        </w:tc>
        <w:tc>
          <w:tcPr>
            <w:tcW w:w="160" w:type="dxa"/>
            <w:vAlign w:val="bottom"/>
          </w:tcPr>
          <w:p>
            <w:pPr>
              <w:spacing w:after="0"/>
              <w:rPr>
                <w:sz w:val="12"/>
                <w:szCs w:val="12"/>
                <w:color w:val="auto"/>
              </w:rPr>
            </w:pPr>
          </w:p>
        </w:tc>
        <w:tc>
          <w:tcPr>
            <w:tcW w:w="94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0"/>
              </w:rPr>
              <w:t>Leaseholds</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restart"/>
          </w:tcPr>
          <w:p>
            <w:pPr>
              <w:jc w:val="right"/>
              <w:ind w:right="27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2"/>
        </w:trPr>
        <w:tc>
          <w:tcPr>
            <w:tcW w:w="3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Rights</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Rights</w:t>
            </w: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40" w:type="dxa"/>
            <w:vAlign w:val="bottom"/>
            <w:gridSpan w:val="6"/>
          </w:tcPr>
          <w:p>
            <w:pPr>
              <w:jc w:val="center"/>
              <w:spacing w:after="0"/>
              <w:rPr>
                <w:sz w:val="20"/>
                <w:szCs w:val="20"/>
                <w:color w:val="auto"/>
              </w:rPr>
            </w:pPr>
            <w:r>
              <w:rPr>
                <w:rFonts w:ascii="Arial" w:cs="Arial" w:eastAsia="Arial" w:hAnsi="Arial"/>
                <w:sz w:val="14"/>
                <w:szCs w:val="14"/>
                <w:b w:val="1"/>
                <w:bCs w:val="1"/>
                <w:color w:val="auto"/>
                <w:w w:val="96"/>
              </w:rPr>
              <w:t>(In millions)</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479.0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340" w:type="dxa"/>
            <w:vAlign w:val="bottom"/>
            <w:tcBorders>
              <w:bottom w:val="single" w:sz="8" w:color="CCEEFF"/>
            </w:tcBorders>
            <w:gridSpan w:val="3"/>
            <w:shd w:val="clear" w:color="auto" w:fill="CCEEFF"/>
          </w:tcPr>
          <w:p>
            <w:pPr>
              <w:jc w:val="center"/>
              <w:ind w:left="7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4.1</w:t>
            </w:r>
          </w:p>
        </w:tc>
        <w:tc>
          <w:tcPr>
            <w:tcW w:w="5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575.1</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Impairment loss</w:t>
            </w:r>
          </w:p>
        </w:tc>
        <w:tc>
          <w:tcPr>
            <w:tcW w:w="14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expense</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0.0</w:t>
            </w:r>
          </w:p>
        </w:tc>
        <w:tc>
          <w:tcPr>
            <w:tcW w:w="5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Additions</w:t>
            </w:r>
          </w:p>
        </w:tc>
        <w:tc>
          <w:tcPr>
            <w:tcW w:w="14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20" w:type="dxa"/>
            <w:vAlign w:val="bottom"/>
          </w:tcPr>
          <w:p>
            <w:pPr>
              <w:jc w:val="right"/>
              <w:ind w:right="53"/>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468.0</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340" w:type="dxa"/>
            <w:vAlign w:val="bottom"/>
            <w:tcBorders>
              <w:bottom w:val="single" w:sz="8" w:color="CCEEFF"/>
            </w:tcBorders>
            <w:gridSpan w:val="3"/>
            <w:shd w:val="clear" w:color="auto" w:fill="CCEEFF"/>
          </w:tcPr>
          <w:p>
            <w:pPr>
              <w:jc w:val="center"/>
              <w:ind w:left="7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4.1</w:t>
            </w:r>
          </w:p>
        </w:tc>
        <w:tc>
          <w:tcPr>
            <w:tcW w:w="5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555.5</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auto"/>
        </w:rPr>
        <w:t>The Company's goodwill and intangible assets are at risk of additional impairment in the future in the event of sustained downward movement in the Company's stock price, downward revisions of long-term performance assumptions or increases in the assumed long-term discount rate.</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Long-lived Assets Impairment and Closure Charges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Long-lived tangible asset impairment and closure charges for the three and six months ended June 30, 2020 were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2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8"/>
                <w:szCs w:val="18"/>
                <w:color w:val="auto"/>
              </w:rPr>
            </w:pPr>
          </w:p>
        </w:tc>
        <w:tc>
          <w:tcPr>
            <w:tcW w:w="1920" w:type="dxa"/>
            <w:vAlign w:val="bottom"/>
            <w:gridSpan w:val="4"/>
          </w:tcPr>
          <w:p>
            <w:pPr>
              <w:jc w:val="right"/>
              <w:ind w:right="392"/>
              <w:spacing w:after="0"/>
              <w:rPr>
                <w:sz w:val="20"/>
                <w:szCs w:val="20"/>
                <w:color w:val="auto"/>
              </w:rPr>
            </w:pPr>
            <w:r>
              <w:rPr>
                <w:rFonts w:ascii="Arial" w:cs="Arial" w:eastAsia="Arial" w:hAnsi="Arial"/>
                <w:sz w:val="16"/>
                <w:szCs w:val="16"/>
                <w:b w:val="1"/>
                <w:bCs w:val="1"/>
                <w:color w:val="auto"/>
              </w:rPr>
              <w:t>Six Months Ended</w:t>
            </w:r>
          </w:p>
        </w:tc>
      </w:tr>
      <w:tr>
        <w:trPr>
          <w:trHeight w:val="257"/>
        </w:trPr>
        <w:tc>
          <w:tcPr>
            <w:tcW w:w="6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60" w:type="dxa"/>
            <w:vAlign w:val="bottom"/>
          </w:tcPr>
          <w:p>
            <w:pPr>
              <w:spacing w:after="0"/>
              <w:rPr>
                <w:sz w:val="22"/>
                <w:szCs w:val="22"/>
                <w:color w:val="auto"/>
              </w:rPr>
            </w:pPr>
          </w:p>
        </w:tc>
      </w:tr>
      <w:tr>
        <w:trPr>
          <w:trHeight w:val="33"/>
        </w:trPr>
        <w:tc>
          <w:tcPr>
            <w:tcW w:w="6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7"/>
        </w:trPr>
        <w:tc>
          <w:tcPr>
            <w:tcW w:w="6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75"/>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ind w:right="275"/>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ind w:right="275"/>
              <w:spacing w:after="0"/>
              <w:rPr>
                <w:sz w:val="20"/>
                <w:szCs w:val="20"/>
                <w:color w:val="auto"/>
              </w:rPr>
            </w:pPr>
            <w:r>
              <w:rPr>
                <w:rFonts w:ascii="Arial" w:cs="Arial" w:eastAsia="Arial" w:hAnsi="Arial"/>
                <w:sz w:val="16"/>
                <w:szCs w:val="16"/>
                <w:b w:val="1"/>
                <w:bCs w:val="1"/>
                <w:color w:val="auto"/>
                <w:w w:val="95"/>
              </w:rPr>
              <w:t>2020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ind w:right="292"/>
              <w:spacing w:after="0"/>
              <w:rPr>
                <w:sz w:val="20"/>
                <w:szCs w:val="20"/>
                <w:color w:val="auto"/>
              </w:rPr>
            </w:pPr>
            <w:r>
              <w:rPr>
                <w:rFonts w:ascii="Arial" w:cs="Arial" w:eastAsia="Arial" w:hAnsi="Arial"/>
                <w:sz w:val="16"/>
                <w:szCs w:val="16"/>
                <w:b w:val="1"/>
                <w:bCs w:val="1"/>
                <w:color w:val="auto"/>
              </w:rPr>
              <w:t>2019</w:t>
            </w:r>
          </w:p>
        </w:tc>
      </w:tr>
      <w:tr>
        <w:trPr>
          <w:trHeight w:val="33"/>
        </w:trPr>
        <w:tc>
          <w:tcPr>
            <w:tcW w:w="6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90"/>
        </w:trPr>
        <w:tc>
          <w:tcPr>
            <w:tcW w:w="6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56"/>
        </w:trPr>
        <w:tc>
          <w:tcPr>
            <w:tcW w:w="6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Long-lived tangible asset impairment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17.2</w:t>
            </w:r>
          </w:p>
        </w:tc>
        <w:tc>
          <w:tcPr>
            <w:tcW w:w="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17.2</w:t>
            </w:r>
          </w:p>
        </w:tc>
        <w:tc>
          <w:tcPr>
            <w:tcW w:w="1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43"/>
        </w:trPr>
        <w:tc>
          <w:tcPr>
            <w:tcW w:w="6480" w:type="dxa"/>
            <w:vAlign w:val="bottom"/>
          </w:tcPr>
          <w:p>
            <w:pPr>
              <w:ind w:left="220"/>
              <w:spacing w:after="0"/>
              <w:rPr>
                <w:sz w:val="20"/>
                <w:szCs w:val="20"/>
                <w:color w:val="auto"/>
              </w:rPr>
            </w:pPr>
            <w:r>
              <w:rPr>
                <w:rFonts w:ascii="Arial" w:cs="Arial" w:eastAsia="Arial" w:hAnsi="Arial"/>
                <w:sz w:val="18"/>
                <w:szCs w:val="18"/>
                <w:color w:val="auto"/>
              </w:rPr>
              <w:t>Closure charges</w:t>
            </w:r>
          </w:p>
        </w:tc>
        <w:tc>
          <w:tcPr>
            <w:tcW w:w="240" w:type="dxa"/>
            <w:vAlign w:val="bottom"/>
          </w:tcPr>
          <w:p>
            <w:pPr>
              <w:spacing w:after="0"/>
              <w:rPr>
                <w:sz w:val="21"/>
                <w:szCs w:val="21"/>
                <w:color w:val="auto"/>
              </w:rPr>
            </w:pPr>
          </w:p>
        </w:tc>
        <w:tc>
          <w:tcPr>
            <w:tcW w:w="820" w:type="dxa"/>
            <w:vAlign w:val="bottom"/>
          </w:tcPr>
          <w:p>
            <w:pPr>
              <w:jc w:val="right"/>
              <w:ind w:right="75"/>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55"/>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55"/>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0.5</w:t>
            </w:r>
          </w:p>
        </w:tc>
      </w:tr>
      <w:tr>
        <w:trPr>
          <w:trHeight w:val="27"/>
        </w:trPr>
        <w:tc>
          <w:tcPr>
            <w:tcW w:w="6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89"/>
        </w:trPr>
        <w:tc>
          <w:tcPr>
            <w:tcW w:w="6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long-lived asset impairment and closure charges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17.9</w:t>
            </w:r>
          </w:p>
        </w:tc>
        <w:tc>
          <w:tcPr>
            <w:tcW w:w="1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0.3</w:t>
            </w:r>
          </w:p>
        </w:tc>
        <w:tc>
          <w:tcPr>
            <w:tcW w:w="2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17.9</w:t>
            </w:r>
          </w:p>
        </w:tc>
        <w:tc>
          <w:tcPr>
            <w:tcW w:w="1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0.5</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20" w:firstLine="324"/>
        <w:spacing w:after="0"/>
        <w:rPr>
          <w:sz w:val="20"/>
          <w:szCs w:val="20"/>
          <w:color w:val="auto"/>
        </w:rPr>
      </w:pPr>
      <w:r>
        <w:rPr>
          <w:rFonts w:ascii="Arial" w:cs="Arial" w:eastAsia="Arial" w:hAnsi="Arial"/>
          <w:sz w:val="18"/>
          <w:szCs w:val="18"/>
          <w:color w:val="auto"/>
        </w:rPr>
        <w:t>The long-lived asset impairment related to 46 Applebee's company-operated restaurants and 33 IHOP franchisee-operated restaurants for which the carrying amount exceeded the undiscounted cash flows The impairment recorded represented the difference between the carrying value and the estimated fair value. Approximately $9.4 million of the total impairment related to operating lease right-of-use assets that had been recorded in 2019 upon adoption of new lease accounting guidance codified in Accounting Standards Topic 842, while $7.8 million related to impairments of land, building, leasehold improvements and finance leases. The impairments by individual property varied in amount, ranging from the largest single-property impairment of $1.3 million to less than $5,000.</w:t>
      </w:r>
    </w:p>
    <w:p>
      <w:pPr>
        <w:sectPr>
          <w:pgSz w:w="11900" w:h="16838" w:orient="portrait"/>
          <w:cols w:equalWidth="0" w:num="1">
            <w:col w:w="11180"/>
          </w:cols>
          <w:pgMar w:left="320" w:top="122"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type w:val="continuous"/>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Revenue Disclosures</w:t>
      </w:r>
    </w:p>
    <w:p>
      <w:pPr>
        <w:spacing w:after="0" w:line="256"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Franchise revenue (which comprises most of the Company's revenues) and revenue from company-operated restaurants are recognized in accordance with current guidance for revenue recognition as codified in Accounting Standards Topic 606 (“ASC 606”). Under ASC 606, revenue is recognized upon transfer of control of promised services or goods to customers in an amount that reflects the consideration the Company expects to receive for those services or goods.</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Franchising Activities</w:t>
      </w:r>
    </w:p>
    <w:p>
      <w:pPr>
        <w:spacing w:after="0" w:line="252" w:lineRule="exact"/>
        <w:rPr>
          <w:sz w:val="20"/>
          <w:szCs w:val="20"/>
          <w:color w:val="auto"/>
        </w:rPr>
      </w:pPr>
    </w:p>
    <w:p>
      <w:pPr>
        <w:ind w:firstLine="324"/>
        <w:spacing w:after="0" w:line="253" w:lineRule="auto"/>
        <w:rPr>
          <w:sz w:val="20"/>
          <w:szCs w:val="20"/>
          <w:color w:val="auto"/>
        </w:rPr>
      </w:pPr>
      <w:r>
        <w:rPr>
          <w:rFonts w:ascii="Arial" w:cs="Arial" w:eastAsia="Arial" w:hAnsi="Arial"/>
          <w:sz w:val="17"/>
          <w:szCs w:val="17"/>
          <w:color w:val="auto"/>
        </w:rPr>
        <w:t>The Company owns, franchises and operates the Applebee's Neighborhood Grill &amp; Bar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(“Applebee's”) concept in the casual dining category of the restaurant industry and the Company owns and franchises the International House of Pancakes</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(“IHOP”) concept in the family dining category of the restaurant industry. The franchise arrangement for both brands is documented in the form of a franchise agreement and, in most cases, a development agreement. The franchise arrangement between the Company as the franchisor and the franchisee as the customer requires the Company to perform various activities to support the brands that do not directly transfer goods and services to the franchisee, but instead represent a single performance obligation, which is the transfer of the franchise license. The intellectual property subject to the franchise license is symbolic intellectual property as it does not have significant standalone functionality, and substantially all the utility is derived from its association with the Company’s past or ongoing activities. The nature of the Company’s promise in granting the franchise license is to provide the franchisee with access to the respective brand’s symbolic intellectual property over the term of the license. The services provided by the Company are highly interrelated with the franchise license and as such are considered to represent a single performance obligation.</w:t>
      </w:r>
    </w:p>
    <w:p>
      <w:pPr>
        <w:spacing w:after="0" w:line="22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transaction price in a standard franchise arrangement for both brands primarily consists of (a) initial franchise/development fees; (b) continuing franchise fees (royalties); and (c) advertising fees. Since the Company considers the licensing of the franchising right to be a single performance obligation, no allocation of the transaction price is required. All domestic IHOP franchise agreements require franchisees to purchase proprietary pancake and waffle dry mix from the Company.</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recognizes the primary components of the transaction price as follows:</w:t>
      </w:r>
    </w:p>
    <w:p>
      <w:pPr>
        <w:spacing w:after="0" w:line="252" w:lineRule="exact"/>
        <w:rPr>
          <w:sz w:val="20"/>
          <w:szCs w:val="20"/>
          <w:color w:val="auto"/>
        </w:rPr>
      </w:pPr>
    </w:p>
    <w:p>
      <w:pPr>
        <w:ind w:left="580" w:right="280" w:hanging="329"/>
        <w:spacing w:after="0" w:line="255" w:lineRule="auto"/>
        <w:tabs>
          <w:tab w:leader="none" w:pos="575" w:val="left"/>
        </w:tabs>
        <w:numPr>
          <w:ilvl w:val="0"/>
          <w:numId w:val="5"/>
        </w:numPr>
        <w:rPr>
          <w:rFonts w:ascii="Arial" w:cs="Arial" w:eastAsia="Arial" w:hAnsi="Arial"/>
          <w:sz w:val="18"/>
          <w:szCs w:val="18"/>
          <w:color w:val="auto"/>
        </w:rPr>
      </w:pPr>
      <w:r>
        <w:rPr>
          <w:rFonts w:ascii="Arial" w:cs="Arial" w:eastAsia="Arial" w:hAnsi="Arial"/>
          <w:sz w:val="18"/>
          <w:szCs w:val="18"/>
          <w:color w:val="auto"/>
        </w:rPr>
        <w:t>Franchise and development fees are recognized as revenue ratably on a straight-line basis over the term of the franchise agreement commencing with the restaurant opening date. As these fees are typically received in cash at or near the beginning of the franchise term, the cash received is initially recorded as a contract liability until recognized as revenue over time;</w:t>
      </w:r>
    </w:p>
    <w:p>
      <w:pPr>
        <w:spacing w:after="0" w:line="2" w:lineRule="exact"/>
        <w:rPr>
          <w:rFonts w:ascii="Arial" w:cs="Arial" w:eastAsia="Arial" w:hAnsi="Arial"/>
          <w:sz w:val="18"/>
          <w:szCs w:val="18"/>
          <w:color w:val="auto"/>
        </w:rPr>
      </w:pPr>
    </w:p>
    <w:p>
      <w:pPr>
        <w:ind w:left="580" w:right="80" w:hanging="329"/>
        <w:spacing w:after="0" w:line="250" w:lineRule="auto"/>
        <w:tabs>
          <w:tab w:leader="none" w:pos="57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is entitled to royalties and advertising fees based on a percentage of the franchisee's gross sales as defined in the franchise agreement. Royalty and advertising revenue are recognized when the franchisee's reported sales occur. Depending on timing within a fiscal period, the recognition of revenue results in either what is considered a contract asset (unbilled receivable) or, once billed, accounts receivable, and are included in “receivables, net” in the Consolidated Balance Sheets.</w:t>
      </w:r>
    </w:p>
    <w:p>
      <w:pPr>
        <w:spacing w:after="0" w:line="1" w:lineRule="exact"/>
        <w:rPr>
          <w:rFonts w:ascii="Arial" w:cs="Arial" w:eastAsia="Arial" w:hAnsi="Arial"/>
          <w:sz w:val="18"/>
          <w:szCs w:val="18"/>
          <w:color w:val="auto"/>
        </w:rPr>
      </w:pPr>
    </w:p>
    <w:p>
      <w:pPr>
        <w:ind w:left="580" w:right="480" w:hanging="329"/>
        <w:spacing w:after="0" w:line="290" w:lineRule="auto"/>
        <w:tabs>
          <w:tab w:leader="none" w:pos="575" w:val="left"/>
        </w:tabs>
        <w:numPr>
          <w:ilvl w:val="0"/>
          <w:numId w:val="5"/>
        </w:numPr>
        <w:rPr>
          <w:rFonts w:ascii="Arial" w:cs="Arial" w:eastAsia="Arial" w:hAnsi="Arial"/>
          <w:sz w:val="17"/>
          <w:szCs w:val="17"/>
          <w:color w:val="auto"/>
        </w:rPr>
      </w:pPr>
      <w:r>
        <w:rPr>
          <w:rFonts w:ascii="Arial" w:cs="Arial" w:eastAsia="Arial" w:hAnsi="Arial"/>
          <w:sz w:val="17"/>
          <w:szCs w:val="17"/>
          <w:color w:val="auto"/>
        </w:rPr>
        <w:t>Revenue from the sale of proprietary pancake and waffle dry mix is recognized in the period in which distributors ship the franchisee's order; recognition of revenue results in an accounts receivable included in “receivables, net” in the Consolidated Balance Sheets.</w:t>
      </w:r>
    </w:p>
    <w:p>
      <w:pPr>
        <w:spacing w:after="0" w:line="188"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In determining the amount and timing of revenue from contracts with customers, the Company exercises significant judgment with respect to collectibility of the amount; however, the timing of recognition does not require significant judgments as it is based on either the term of the franchise agreement, the month of reported sales by the franchisee or the date of product shipment, none of which require estimation. The Company does not incur a significant amount of contract acquisition costs in conducting franchising activities. The Company's franchising arrangements do not contain a significant financing component.</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Company Restaurant Revenue</w:t>
      </w:r>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Sales by company-operated restaurants are recognized when food and beverage items are sold. Company restaurant sales are reported net of sales taxes collected from guests that are remitted to the appropriate taxing authorities.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disaggregates franchise revenue by major type for the three and six months ended June 30, 2020 and 2019:</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5" w:name="page16"/>
    <w:bookmarkEnd w:id="15"/>
    <w:p>
      <w:pPr>
        <w:ind w:left="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6"/>
                <w:szCs w:val="16"/>
                <w:b w:val="1"/>
                <w:bCs w:val="1"/>
                <w:color w:val="auto"/>
              </w:rPr>
              <w:t>5. Revenue Disclosures (Continued)</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513"/>
        </w:trPr>
        <w:tc>
          <w:tcPr>
            <w:tcW w:w="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40" w:type="dxa"/>
            <w:vAlign w:val="bottom"/>
            <w:gridSpan w:val="5"/>
          </w:tcPr>
          <w:p>
            <w:pPr>
              <w:ind w:left="24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24"/>
                <w:szCs w:val="24"/>
                <w:color w:val="auto"/>
              </w:rPr>
            </w:pPr>
          </w:p>
        </w:tc>
        <w:tc>
          <w:tcPr>
            <w:tcW w:w="2400" w:type="dxa"/>
            <w:vAlign w:val="bottom"/>
            <w:gridSpan w:val="4"/>
          </w:tcPr>
          <w:p>
            <w:pPr>
              <w:jc w:val="right"/>
              <w:ind w:right="532"/>
              <w:spacing w:after="0"/>
              <w:rPr>
                <w:sz w:val="20"/>
                <w:szCs w:val="20"/>
                <w:color w:val="auto"/>
              </w:rPr>
            </w:pPr>
            <w:r>
              <w:rPr>
                <w:rFonts w:ascii="Arial" w:cs="Arial" w:eastAsia="Arial" w:hAnsi="Arial"/>
                <w:sz w:val="16"/>
                <w:szCs w:val="16"/>
                <w:b w:val="1"/>
                <w:bCs w:val="1"/>
                <w:color w:val="auto"/>
              </w:rPr>
              <w:t>Six Months Ended</w:t>
            </w:r>
          </w:p>
        </w:tc>
      </w:tr>
      <w:tr>
        <w:trPr>
          <w:trHeight w:val="256"/>
        </w:trPr>
        <w:tc>
          <w:tcPr>
            <w:tcW w:w="20" w:type="dxa"/>
            <w:vAlign w:val="bottom"/>
          </w:tcPr>
          <w:p>
            <w:pPr>
              <w:spacing w:after="0"/>
              <w:rPr>
                <w:sz w:val="22"/>
                <w:szCs w:val="22"/>
                <w:color w:val="auto"/>
              </w:rPr>
            </w:pPr>
          </w:p>
        </w:tc>
        <w:tc>
          <w:tcPr>
            <w:tcW w:w="6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0" w:type="dxa"/>
            <w:vAlign w:val="bottom"/>
            <w:gridSpan w:val="4"/>
          </w:tcPr>
          <w:p>
            <w:pPr>
              <w:jc w:val="right"/>
              <w:ind w:right="852"/>
              <w:spacing w:after="0"/>
              <w:rPr>
                <w:sz w:val="20"/>
                <w:szCs w:val="20"/>
                <w:color w:val="auto"/>
              </w:rPr>
            </w:pPr>
            <w:r>
              <w:rPr>
                <w:rFonts w:ascii="Arial" w:cs="Arial" w:eastAsia="Arial" w:hAnsi="Arial"/>
                <w:sz w:val="16"/>
                <w:szCs w:val="16"/>
                <w:b w:val="1"/>
                <w:bCs w:val="1"/>
                <w:color w:val="auto"/>
              </w:rPr>
              <w:t>June 30,</w:t>
            </w:r>
          </w:p>
        </w:tc>
      </w:tr>
      <w:tr>
        <w:trPr>
          <w:trHeight w:val="33"/>
        </w:trPr>
        <w:tc>
          <w:tcPr>
            <w:tcW w:w="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5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ind w:right="354"/>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Arial" w:cs="Arial" w:eastAsia="Arial" w:hAnsi="Arial"/>
                <w:sz w:val="16"/>
                <w:szCs w:val="16"/>
                <w:b w:val="1"/>
                <w:bCs w:val="1"/>
                <w:color w:val="auto"/>
              </w:rPr>
              <w:t>June 30, 2020</w:t>
            </w:r>
          </w:p>
        </w:tc>
        <w:tc>
          <w:tcPr>
            <w:tcW w:w="120" w:type="dxa"/>
            <w:vAlign w:val="bottom"/>
          </w:tcPr>
          <w:p>
            <w:pPr>
              <w:spacing w:after="0"/>
              <w:rPr>
                <w:sz w:val="18"/>
                <w:szCs w:val="18"/>
                <w:color w:val="auto"/>
              </w:rPr>
            </w:pPr>
          </w:p>
        </w:tc>
        <w:tc>
          <w:tcPr>
            <w:tcW w:w="1080" w:type="dxa"/>
            <w:vAlign w:val="bottom"/>
          </w:tcPr>
          <w:p>
            <w:pPr>
              <w:jc w:val="right"/>
              <w:ind w:right="52"/>
              <w:spacing w:after="0"/>
              <w:rPr>
                <w:sz w:val="20"/>
                <w:szCs w:val="20"/>
                <w:color w:val="auto"/>
              </w:rPr>
            </w:pPr>
            <w:r>
              <w:rPr>
                <w:rFonts w:ascii="Arial" w:cs="Arial" w:eastAsia="Arial" w:hAnsi="Arial"/>
                <w:sz w:val="16"/>
                <w:szCs w:val="16"/>
                <w:b w:val="1"/>
                <w:bCs w:val="1"/>
                <w:color w:val="auto"/>
                <w:w w:val="88"/>
              </w:rPr>
              <w:t>June 30, 2019</w:t>
            </w:r>
          </w:p>
        </w:tc>
      </w:tr>
      <w:tr>
        <w:trPr>
          <w:trHeight w:val="33"/>
        </w:trPr>
        <w:tc>
          <w:tcPr>
            <w:tcW w:w="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4"/>
        </w:trPr>
        <w:tc>
          <w:tcPr>
            <w:tcW w:w="20" w:type="dxa"/>
            <w:vAlign w:val="bottom"/>
          </w:tcPr>
          <w:p>
            <w:pPr>
              <w:spacing w:after="0"/>
              <w:rPr>
                <w:sz w:val="16"/>
                <w:szCs w:val="16"/>
                <w:color w:val="auto"/>
              </w:rPr>
            </w:pPr>
          </w:p>
        </w:tc>
        <w:tc>
          <w:tcPr>
            <w:tcW w:w="6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80" w:type="dxa"/>
            <w:vAlign w:val="bottom"/>
            <w:gridSpan w:val="5"/>
          </w:tcPr>
          <w:p>
            <w:pPr>
              <w:ind w:left="46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42"/>
        </w:trPr>
        <w:tc>
          <w:tcPr>
            <w:tcW w:w="6120" w:type="dxa"/>
            <w:vAlign w:val="bottom"/>
            <w:gridSpan w:val="2"/>
          </w:tcPr>
          <w:p>
            <w:pPr>
              <w:spacing w:after="0"/>
              <w:rPr>
                <w:sz w:val="20"/>
                <w:szCs w:val="20"/>
                <w:color w:val="auto"/>
              </w:rPr>
            </w:pPr>
            <w:r>
              <w:rPr>
                <w:rFonts w:ascii="Arial" w:cs="Arial" w:eastAsia="Arial" w:hAnsi="Arial"/>
                <w:sz w:val="18"/>
                <w:szCs w:val="18"/>
                <w:color w:val="auto"/>
              </w:rPr>
              <w:t>Franchise Revenue:</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6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Royalties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31,011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75,747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98,611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154,382</w:t>
            </w:r>
          </w:p>
        </w:tc>
      </w:tr>
      <w:tr>
        <w:trPr>
          <w:trHeight w:val="243"/>
        </w:trPr>
        <w:tc>
          <w:tcPr>
            <w:tcW w:w="20" w:type="dxa"/>
            <w:vAlign w:val="bottom"/>
          </w:tcPr>
          <w:p>
            <w:pPr>
              <w:spacing w:after="0"/>
              <w:rPr>
                <w:sz w:val="21"/>
                <w:szCs w:val="21"/>
                <w:color w:val="auto"/>
              </w:rPr>
            </w:pPr>
          </w:p>
        </w:tc>
        <w:tc>
          <w:tcPr>
            <w:tcW w:w="6100" w:type="dxa"/>
            <w:vAlign w:val="bottom"/>
          </w:tcPr>
          <w:p>
            <w:pPr>
              <w:ind w:left="220"/>
              <w:spacing w:after="0"/>
              <w:rPr>
                <w:sz w:val="20"/>
                <w:szCs w:val="20"/>
                <w:color w:val="auto"/>
              </w:rPr>
            </w:pPr>
            <w:r>
              <w:rPr>
                <w:rFonts w:ascii="Arial" w:cs="Arial" w:eastAsia="Arial" w:hAnsi="Arial"/>
                <w:sz w:val="18"/>
                <w:szCs w:val="18"/>
                <w:color w:val="auto"/>
              </w:rPr>
              <w:t>Advertising fees</w:t>
            </w:r>
          </w:p>
        </w:tc>
        <w:tc>
          <w:tcPr>
            <w:tcW w:w="280" w:type="dxa"/>
            <w:vAlign w:val="bottom"/>
          </w:tcPr>
          <w:p>
            <w:pPr>
              <w:spacing w:after="0"/>
              <w:rPr>
                <w:sz w:val="21"/>
                <w:szCs w:val="21"/>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29,095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74"/>
              <w:spacing w:after="0"/>
              <w:rPr>
                <w:sz w:val="20"/>
                <w:szCs w:val="20"/>
                <w:color w:val="auto"/>
              </w:rPr>
            </w:pPr>
            <w:r>
              <w:rPr>
                <w:rFonts w:ascii="Arial" w:cs="Arial" w:eastAsia="Arial" w:hAnsi="Arial"/>
                <w:sz w:val="18"/>
                <w:szCs w:val="18"/>
                <w:color w:val="auto"/>
              </w:rPr>
              <w:t>71,738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90,818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144,368</w:t>
            </w:r>
          </w:p>
        </w:tc>
      </w:tr>
      <w:tr>
        <w:trPr>
          <w:trHeight w:val="27"/>
        </w:trPr>
        <w:tc>
          <w:tcPr>
            <w:tcW w:w="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Pancake and waffle dry mix sales and other</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4,037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12,526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16,885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26,957</w:t>
            </w:r>
          </w:p>
        </w:tc>
      </w:tr>
      <w:tr>
        <w:trPr>
          <w:trHeight w:val="243"/>
        </w:trPr>
        <w:tc>
          <w:tcPr>
            <w:tcW w:w="20" w:type="dxa"/>
            <w:vAlign w:val="bottom"/>
          </w:tcPr>
          <w:p>
            <w:pPr>
              <w:spacing w:after="0"/>
              <w:rPr>
                <w:sz w:val="21"/>
                <w:szCs w:val="21"/>
                <w:color w:val="auto"/>
              </w:rPr>
            </w:pPr>
          </w:p>
        </w:tc>
        <w:tc>
          <w:tcPr>
            <w:tcW w:w="6100" w:type="dxa"/>
            <w:vAlign w:val="bottom"/>
          </w:tcPr>
          <w:p>
            <w:pPr>
              <w:ind w:left="220"/>
              <w:spacing w:after="0"/>
              <w:rPr>
                <w:sz w:val="20"/>
                <w:szCs w:val="20"/>
                <w:color w:val="auto"/>
              </w:rPr>
            </w:pPr>
            <w:r>
              <w:rPr>
                <w:rFonts w:ascii="Arial" w:cs="Arial" w:eastAsia="Arial" w:hAnsi="Arial"/>
                <w:sz w:val="18"/>
                <w:szCs w:val="18"/>
                <w:color w:val="auto"/>
              </w:rPr>
              <w:t>Franchise and development fees</w:t>
            </w:r>
          </w:p>
        </w:tc>
        <w:tc>
          <w:tcPr>
            <w:tcW w:w="280" w:type="dxa"/>
            <w:vAlign w:val="bottom"/>
          </w:tcPr>
          <w:p>
            <w:pPr>
              <w:spacing w:after="0"/>
              <w:rPr>
                <w:sz w:val="21"/>
                <w:szCs w:val="21"/>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3,733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74"/>
              <w:spacing w:after="0"/>
              <w:rPr>
                <w:sz w:val="20"/>
                <w:szCs w:val="20"/>
                <w:color w:val="auto"/>
              </w:rPr>
            </w:pPr>
            <w:r>
              <w:rPr>
                <w:rFonts w:ascii="Arial" w:cs="Arial" w:eastAsia="Arial" w:hAnsi="Arial"/>
                <w:sz w:val="18"/>
                <w:szCs w:val="18"/>
                <w:color w:val="auto"/>
              </w:rPr>
              <w:t>2,657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6,599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5,887</w:t>
            </w:r>
          </w:p>
        </w:tc>
      </w:tr>
      <w:tr>
        <w:trPr>
          <w:trHeight w:val="27"/>
        </w:trPr>
        <w:tc>
          <w:tcPr>
            <w:tcW w:w="61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88"/>
        </w:trPr>
        <w:tc>
          <w:tcPr>
            <w:tcW w:w="20" w:type="dxa"/>
            <w:vAlign w:val="bottom"/>
          </w:tcPr>
          <w:p>
            <w:pPr>
              <w:spacing w:after="0"/>
              <w:rPr>
                <w:sz w:val="24"/>
                <w:szCs w:val="24"/>
                <w:color w:val="auto"/>
              </w:rPr>
            </w:pPr>
          </w:p>
        </w:tc>
        <w:tc>
          <w:tcPr>
            <w:tcW w:w="6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franchise revenue</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67,876</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162,668</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212,913</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331,594</w:t>
            </w:r>
          </w:p>
        </w:tc>
      </w:tr>
      <w:tr>
        <w:trPr>
          <w:trHeight w:val="20"/>
        </w:trPr>
        <w:tc>
          <w:tcPr>
            <w:tcW w:w="20" w:type="dxa"/>
            <w:vAlign w:val="bottom"/>
          </w:tcPr>
          <w:p>
            <w:pPr>
              <w:spacing w:after="0" w:line="20" w:lineRule="exact"/>
              <w:rPr>
                <w:sz w:val="1"/>
                <w:szCs w:val="1"/>
                <w:color w:val="auto"/>
              </w:rPr>
            </w:pPr>
          </w:p>
        </w:tc>
        <w:tc>
          <w:tcPr>
            <w:tcW w:w="6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20" w:right="360" w:firstLine="324"/>
        <w:spacing w:after="0" w:line="308" w:lineRule="auto"/>
        <w:rPr>
          <w:sz w:val="20"/>
          <w:szCs w:val="20"/>
          <w:color w:val="auto"/>
        </w:rPr>
      </w:pPr>
      <w:r>
        <w:rPr>
          <w:rFonts w:ascii="Arial" w:cs="Arial" w:eastAsia="Arial" w:hAnsi="Arial"/>
          <w:sz w:val="17"/>
          <w:szCs w:val="17"/>
          <w:color w:val="auto"/>
        </w:rPr>
        <w:t>Accounts receivable from franchisees as of June 30, 2020 and December 31, 2019 were $97.3 million (net of allowance of $7.1 million) and $63.5 million (net of allowance of $0.7 million), respectively, and were included in receivables, net in the Consolidated Balance Sheets.</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Changes in the Company's contract liability for deferred franchise and development fees during the six months ended June 30, 2020 are as follows:</w:t>
      </w:r>
    </w:p>
    <w:p>
      <w:pPr>
        <w:spacing w:after="0" w:line="75"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100" w:type="dxa"/>
            <w:vAlign w:val="bottom"/>
          </w:tcPr>
          <w:p>
            <w:pPr>
              <w:spacing w:after="0"/>
              <w:rPr>
                <w:sz w:val="17"/>
                <w:szCs w:val="17"/>
                <w:color w:val="auto"/>
              </w:rPr>
            </w:pPr>
          </w:p>
        </w:tc>
        <w:tc>
          <w:tcPr>
            <w:tcW w:w="9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Deferred Franchise Revenue</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(short- and long-term)</w:t>
            </w:r>
          </w:p>
        </w:tc>
        <w:tc>
          <w:tcPr>
            <w:tcW w:w="0" w:type="dxa"/>
            <w:vAlign w:val="bottom"/>
          </w:tcPr>
          <w:p>
            <w:pPr>
              <w:spacing w:after="0"/>
              <w:rPr>
                <w:sz w:val="1"/>
                <w:szCs w:val="1"/>
                <w:color w:val="auto"/>
              </w:rPr>
            </w:pPr>
          </w:p>
        </w:tc>
      </w:tr>
      <w:tr>
        <w:trPr>
          <w:trHeight w:val="33"/>
        </w:trPr>
        <w:tc>
          <w:tcPr>
            <w:tcW w:w="100" w:type="dxa"/>
            <w:vAlign w:val="bottom"/>
          </w:tcPr>
          <w:p>
            <w:pPr>
              <w:spacing w:after="0"/>
              <w:rPr>
                <w:sz w:val="2"/>
                <w:szCs w:val="2"/>
                <w:color w:val="auto"/>
              </w:rPr>
            </w:pPr>
          </w:p>
        </w:tc>
        <w:tc>
          <w:tcPr>
            <w:tcW w:w="9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9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56"/>
        </w:trPr>
        <w:tc>
          <w:tcPr>
            <w:tcW w:w="9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67,030</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100" w:type="dxa"/>
            <w:vAlign w:val="bottom"/>
            <w:gridSpan w:val="2"/>
          </w:tcPr>
          <w:p>
            <w:pPr>
              <w:ind w:left="20"/>
              <w:spacing w:after="0"/>
              <w:rPr>
                <w:sz w:val="20"/>
                <w:szCs w:val="20"/>
                <w:color w:val="auto"/>
              </w:rPr>
            </w:pPr>
            <w:r>
              <w:rPr>
                <w:rFonts w:ascii="Arial" w:cs="Arial" w:eastAsia="Arial" w:hAnsi="Arial"/>
                <w:sz w:val="18"/>
                <w:szCs w:val="18"/>
                <w:color w:val="auto"/>
              </w:rPr>
              <w:t>Recognized as revenue during the six months ended June 30, 2020</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(6,473)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9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Fees deferred during the six months ended June 30, 2020</w:t>
            </w:r>
          </w:p>
        </w:tc>
        <w:tc>
          <w:tcPr>
            <w:tcW w:w="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9100" w:type="dxa"/>
            <w:vAlign w:val="bottom"/>
            <w:gridSpan w:val="2"/>
          </w:tcPr>
          <w:p>
            <w:pPr>
              <w:ind w:left="20"/>
              <w:spacing w:after="0"/>
              <w:rPr>
                <w:sz w:val="20"/>
                <w:szCs w:val="20"/>
                <w:color w:val="auto"/>
              </w:rPr>
            </w:pPr>
            <w:r>
              <w:rPr>
                <w:rFonts w:ascii="Arial" w:cs="Arial" w:eastAsia="Arial" w:hAnsi="Arial"/>
                <w:sz w:val="18"/>
                <w:szCs w:val="18"/>
                <w:color w:val="auto"/>
              </w:rPr>
              <w:t>Balance at June 30, 2020</w:t>
            </w:r>
          </w:p>
        </w:tc>
        <w:tc>
          <w:tcPr>
            <w:tcW w:w="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62,190</w:t>
            </w:r>
          </w:p>
        </w:tc>
        <w:tc>
          <w:tcPr>
            <w:tcW w:w="8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100" w:type="dxa"/>
            <w:vAlign w:val="bottom"/>
          </w:tcPr>
          <w:p>
            <w:pPr>
              <w:spacing w:after="0" w:line="20" w:lineRule="exact"/>
              <w:rPr>
                <w:sz w:val="1"/>
                <w:szCs w:val="1"/>
                <w:color w:val="auto"/>
              </w:rPr>
            </w:pPr>
          </w:p>
        </w:tc>
        <w:tc>
          <w:tcPr>
            <w:tcW w:w="9000" w:type="dxa"/>
            <w:vAlign w:val="bottom"/>
            <w:vMerge w:val="restart"/>
          </w:tcPr>
          <w:p>
            <w:pPr>
              <w:ind w:left="240"/>
              <w:spacing w:after="0"/>
              <w:rPr>
                <w:sz w:val="20"/>
                <w:szCs w:val="20"/>
                <w:color w:val="auto"/>
              </w:rPr>
            </w:pPr>
            <w:r>
              <w:rPr>
                <w:rFonts w:ascii="Arial" w:cs="Arial" w:eastAsia="Arial" w:hAnsi="Arial"/>
                <w:sz w:val="18"/>
                <w:szCs w:val="18"/>
                <w:color w:val="auto"/>
              </w:rPr>
              <w:t>The balance of deferred revenue as of June 30, 2020 is expected to be recognized as follows:</w:t>
            </w: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100" w:type="dxa"/>
            <w:vAlign w:val="bottom"/>
          </w:tcPr>
          <w:p>
            <w:pPr>
              <w:spacing w:after="0"/>
              <w:rPr>
                <w:sz w:val="24"/>
                <w:szCs w:val="24"/>
                <w:color w:val="auto"/>
              </w:rPr>
            </w:pPr>
          </w:p>
        </w:tc>
        <w:tc>
          <w:tcPr>
            <w:tcW w:w="90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9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gridSpan w:val="2"/>
          </w:tcPr>
          <w:p>
            <w:pPr>
              <w:ind w:left="36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6"/>
        </w:trPr>
        <w:tc>
          <w:tcPr>
            <w:tcW w:w="100" w:type="dxa"/>
            <w:vAlign w:val="bottom"/>
          </w:tcPr>
          <w:p>
            <w:pPr>
              <w:spacing w:after="0"/>
              <w:rPr>
                <w:sz w:val="22"/>
                <w:szCs w:val="22"/>
                <w:color w:val="auto"/>
              </w:rPr>
            </w:pPr>
          </w:p>
        </w:tc>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Remainder of 2020</w:t>
            </w:r>
          </w:p>
        </w:tc>
        <w:tc>
          <w:tcPr>
            <w:tcW w:w="220" w:type="dxa"/>
            <w:vAlign w:val="bottom"/>
            <w:tcBorders>
              <w:bottom w:val="single" w:sz="8" w:color="CCEEFF"/>
            </w:tcBorders>
            <w:gridSpan w:val="2"/>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4,022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100" w:type="dxa"/>
            <w:vAlign w:val="bottom"/>
            <w:gridSpan w:val="2"/>
          </w:tcPr>
          <w:p>
            <w:pPr>
              <w:ind w:left="120"/>
              <w:spacing w:after="0"/>
              <w:rPr>
                <w:sz w:val="20"/>
                <w:szCs w:val="20"/>
                <w:color w:val="auto"/>
              </w:rPr>
            </w:pPr>
            <w:r>
              <w:rPr>
                <w:rFonts w:ascii="Arial" w:cs="Arial" w:eastAsia="Arial" w:hAnsi="Arial"/>
                <w:sz w:val="18"/>
                <w:szCs w:val="18"/>
                <w:color w:val="auto"/>
              </w:rPr>
              <w:t>2021</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tcPr>
          <w:p>
            <w:pPr>
              <w:jc w:val="right"/>
              <w:ind w:right="73"/>
              <w:spacing w:after="0"/>
              <w:rPr>
                <w:sz w:val="20"/>
                <w:szCs w:val="20"/>
                <w:color w:val="auto"/>
              </w:rPr>
            </w:pPr>
            <w:r>
              <w:rPr>
                <w:rFonts w:ascii="Arial" w:cs="Arial" w:eastAsia="Arial" w:hAnsi="Arial"/>
                <w:sz w:val="18"/>
                <w:szCs w:val="18"/>
                <w:color w:val="auto"/>
              </w:rPr>
              <w:t>8,775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1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 w:type="dxa"/>
            <w:vAlign w:val="bottom"/>
          </w:tcPr>
          <w:p>
            <w:pPr>
              <w:spacing w:after="0"/>
              <w:rPr>
                <w:sz w:val="21"/>
                <w:szCs w:val="21"/>
                <w:color w:val="auto"/>
              </w:rPr>
            </w:pPr>
          </w:p>
        </w:tc>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7,221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100" w:type="dxa"/>
            <w:vAlign w:val="bottom"/>
            <w:gridSpan w:val="2"/>
          </w:tcPr>
          <w:p>
            <w:pPr>
              <w:ind w:left="120"/>
              <w:spacing w:after="0"/>
              <w:rPr>
                <w:sz w:val="20"/>
                <w:szCs w:val="20"/>
                <w:color w:val="auto"/>
              </w:rPr>
            </w:pPr>
            <w:r>
              <w:rPr>
                <w:rFonts w:ascii="Arial" w:cs="Arial" w:eastAsia="Arial" w:hAnsi="Arial"/>
                <w:sz w:val="18"/>
                <w:szCs w:val="18"/>
                <w:color w:val="auto"/>
              </w:rPr>
              <w:t>2023</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tcPr>
          <w:p>
            <w:pPr>
              <w:jc w:val="right"/>
              <w:ind w:right="73"/>
              <w:spacing w:after="0"/>
              <w:rPr>
                <w:sz w:val="20"/>
                <w:szCs w:val="20"/>
                <w:color w:val="auto"/>
              </w:rPr>
            </w:pPr>
            <w:r>
              <w:rPr>
                <w:rFonts w:ascii="Arial" w:cs="Arial" w:eastAsia="Arial" w:hAnsi="Arial"/>
                <w:sz w:val="18"/>
                <w:szCs w:val="18"/>
                <w:color w:val="auto"/>
              </w:rPr>
              <w:t>6,695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1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 w:type="dxa"/>
            <w:vAlign w:val="bottom"/>
          </w:tcPr>
          <w:p>
            <w:pPr>
              <w:spacing w:after="0"/>
              <w:rPr>
                <w:sz w:val="21"/>
                <w:szCs w:val="21"/>
                <w:color w:val="auto"/>
              </w:rPr>
            </w:pPr>
          </w:p>
        </w:tc>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6,070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90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tcPr>
          <w:p>
            <w:pPr>
              <w:jc w:val="right"/>
              <w:ind w:right="73"/>
              <w:spacing w:after="0"/>
              <w:rPr>
                <w:sz w:val="20"/>
                <w:szCs w:val="20"/>
                <w:color w:val="auto"/>
              </w:rPr>
            </w:pPr>
            <w:r>
              <w:rPr>
                <w:rFonts w:ascii="Arial" w:cs="Arial" w:eastAsia="Arial" w:hAnsi="Arial"/>
                <w:sz w:val="18"/>
                <w:szCs w:val="18"/>
                <w:color w:val="auto"/>
              </w:rPr>
              <w:t>29,407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9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100" w:type="dxa"/>
            <w:vAlign w:val="bottom"/>
          </w:tcPr>
          <w:p>
            <w:pPr>
              <w:spacing w:after="0"/>
              <w:rPr>
                <w:sz w:val="24"/>
                <w:szCs w:val="24"/>
                <w:color w:val="auto"/>
              </w:rPr>
            </w:pPr>
          </w:p>
        </w:tc>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gridSpan w:val="2"/>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62,190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90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6. Current Expected Credit Losses</w:t>
      </w:r>
    </w:p>
    <w:p>
      <w:pPr>
        <w:spacing w:after="0" w:line="256" w:lineRule="exact"/>
        <w:rPr>
          <w:sz w:val="20"/>
          <w:szCs w:val="20"/>
          <w:color w:val="auto"/>
        </w:rPr>
      </w:pPr>
    </w:p>
    <w:p>
      <w:pPr>
        <w:ind w:left="20" w:right="80" w:firstLine="324"/>
        <w:spacing w:after="0" w:line="257" w:lineRule="auto"/>
        <w:rPr>
          <w:sz w:val="20"/>
          <w:szCs w:val="20"/>
          <w:color w:val="auto"/>
        </w:rPr>
      </w:pPr>
      <w:r>
        <w:rPr>
          <w:rFonts w:ascii="Arial" w:cs="Arial" w:eastAsia="Arial" w:hAnsi="Arial"/>
          <w:sz w:val="18"/>
          <w:szCs w:val="18"/>
          <w:color w:val="auto"/>
        </w:rPr>
        <w:t>Prior to the adoption of CECL, the Company recorded incurred loss reserves against receivable balances based on current and historical information, with delinquency status being the primary indicator of a deterioration in credit quality. The recently adopted CECL reserve methodology requires companies to measure expected credit losses on financial instruments based on the total estimated amount to be collected over the lifetime of the instrument. Under the CECL model, reserves may be established against financial asset balances even if the risk of loss is remote or has not yet manifested itself.</w:t>
      </w:r>
    </w:p>
    <w:p>
      <w:pPr>
        <w:spacing w:after="0" w:line="215" w:lineRule="exact"/>
        <w:rPr>
          <w:sz w:val="20"/>
          <w:szCs w:val="20"/>
          <w:color w:val="auto"/>
        </w:rPr>
      </w:pPr>
    </w:p>
    <w:p>
      <w:pPr>
        <w:ind w:left="20" w:right="160" w:firstLine="324"/>
        <w:spacing w:after="0" w:line="296" w:lineRule="auto"/>
        <w:rPr>
          <w:sz w:val="20"/>
          <w:szCs w:val="20"/>
          <w:color w:val="auto"/>
        </w:rPr>
      </w:pPr>
      <w:r>
        <w:rPr>
          <w:rFonts w:ascii="Arial" w:cs="Arial" w:eastAsia="Arial" w:hAnsi="Arial"/>
          <w:sz w:val="16"/>
          <w:szCs w:val="16"/>
          <w:color w:val="auto"/>
        </w:rPr>
        <w:t>Upon adoption of the CECL methodology, the Company developed its estimated loss reserves in the following manner. The Company continued to record specific reserves against account balances of franchisees deemed “at-risk” when a potential loss is likely or imminent as a result of prolonged payment delinquency (greater than 90 days past due) and where notable credit deterioration has become evident. For financial assets that are not currently deemed “at-risk,” an allowance is recorded based on expected loss rates derived pursuant to the following CECL methodology that assesses four components - historical losses, current conditions, reasonable and supportable forecasts, and a reversion to history, if applicable.</w:t>
      </w:r>
    </w:p>
    <w:p>
      <w:pPr>
        <w:sectPr>
          <w:pgSz w:w="11900" w:h="16838" w:orient="portrait"/>
          <w:cols w:equalWidth="0" w:num="1">
            <w:col w:w="11260"/>
          </w:cols>
          <w:pgMar w:left="30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97790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2" w:right="339" w:bottom="1440" w:gutter="0" w:footer="0" w:header="0"/>
          <w:type w:val="continuous"/>
        </w:sectPr>
      </w:pPr>
    </w:p>
    <w:bookmarkStart w:id="16" w:name="page17"/>
    <w:bookmarkEnd w:id="16"/>
    <w:p>
      <w:pPr>
        <w:jc w:val="center"/>
        <w:ind w:right="-5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81"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Current Expected Credit Losses (Continued)</w:t>
      </w:r>
    </w:p>
    <w:p>
      <w:pPr>
        <w:spacing w:after="0" w:line="193" w:lineRule="exact"/>
        <w:rPr>
          <w:rFonts w:ascii="Arial" w:cs="Arial" w:eastAsia="Arial" w:hAnsi="Arial"/>
          <w:sz w:val="16"/>
          <w:szCs w:val="16"/>
          <w:b w:val="1"/>
          <w:bCs w:val="1"/>
          <w:color w:val="auto"/>
        </w:rPr>
      </w:pPr>
    </w:p>
    <w:p>
      <w:pPr>
        <w:ind w:left="340"/>
        <w:spacing w:after="0"/>
        <w:rPr>
          <w:rFonts w:ascii="Arial" w:cs="Arial" w:eastAsia="Arial" w:hAnsi="Arial"/>
          <w:sz w:val="16"/>
          <w:szCs w:val="16"/>
          <w:b w:val="1"/>
          <w:bCs w:val="1"/>
          <w:color w:val="auto"/>
        </w:rPr>
      </w:pPr>
      <w:r>
        <w:rPr>
          <w:rFonts w:ascii="Arial" w:cs="Arial" w:eastAsia="Arial" w:hAnsi="Arial"/>
          <w:sz w:val="18"/>
          <w:szCs w:val="18"/>
          <w:u w:val="single" w:color="auto"/>
          <w:color w:val="auto"/>
        </w:rPr>
        <w:t>Historical Losses</w:t>
      </w:r>
    </w:p>
    <w:p>
      <w:pPr>
        <w:spacing w:after="0" w:line="252"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Historical loss rates over a five-year span were calculated for financial assets with common risk characteristics. The Company determined historical loss rate data for each franchise brand concept was more relevant than a single blended rate. Historical losses were determined based on the average charge off method. Historical loss rates are further adjusted by factors related to current conditions and forecasts of future economic conditions.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Current Conditions</w:t>
      </w:r>
    </w:p>
    <w:p>
      <w:pPr>
        <w:spacing w:after="0" w:line="252" w:lineRule="exact"/>
        <w:rPr>
          <w:sz w:val="20"/>
          <w:szCs w:val="20"/>
          <w:color w:val="auto"/>
        </w:rPr>
      </w:pPr>
    </w:p>
    <w:p>
      <w:pPr>
        <w:jc w:val="both"/>
        <w:ind w:right="180" w:firstLine="324"/>
        <w:spacing w:after="0" w:line="263" w:lineRule="auto"/>
        <w:rPr>
          <w:sz w:val="20"/>
          <w:szCs w:val="20"/>
          <w:color w:val="auto"/>
        </w:rPr>
      </w:pPr>
      <w:r>
        <w:rPr>
          <w:rFonts w:ascii="Arial" w:cs="Arial" w:eastAsia="Arial" w:hAnsi="Arial"/>
          <w:sz w:val="18"/>
          <w:szCs w:val="18"/>
          <w:color w:val="auto"/>
        </w:rPr>
        <w:t>The Company identified three metrics that it believes provide the most relevant reflection of the current risks inherent in the Company’s franchisee-based restaurant business, as follows: (1) delinquency status, (2) system-wide same-restaurant sales, and (3) four-wall EBITDA profitability. The current conditions adjustment factor was increased to account for the impact of the COVID-19 pandemic.</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Reasonable and Supportable Forecasts</w:t>
      </w:r>
    </w:p>
    <w:p>
      <w:pPr>
        <w:spacing w:after="0" w:line="252"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The third component in the CECL methodology involves consideration of macroeconomic conditions that can impact the estimate of expected credit losses in the future. The Company has not developed an internal methodology in this regard; rather, the Company utilizes existing, publicly accessible sources of economic data, primarily forecasts of overall unemployment rate as well as consumer spending based on the personal consumption expenditure (PCE) index.</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Reversion to History</w:t>
      </w:r>
    </w:p>
    <w:p>
      <w:pPr>
        <w:spacing w:after="0" w:line="238"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Company has determined that reversion to history was not required since the remaining average lives of the Company’s financial assets are not exceedingly lengthy.</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considers its portfolio segments to be the following:</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Accounts Receivable (Franchise-Related)</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Most of the Company’s short-term receivables due from franchisees are derived from royalty, advertising and other franchise-related fees.</w:t>
      </w:r>
    </w:p>
    <w:p>
      <w:pPr>
        <w:spacing w:after="0" w:line="26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Notes Receivable</w:t>
      </w:r>
    </w:p>
    <w:p>
      <w:pPr>
        <w:spacing w:after="0" w:line="252"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Notes receivable balances primarily relate to the conversion of certain Applebee's franchisee accounts receivable to notes receivable, cash loans to franchisees for working capital purposes, a note receivable in connection with the sale of IHOP company restaurants in June 2017, and IHOP franchise fee and other notes. The notes are typically collateralized by the franchise. Due to the riskier nature of Applebee's notes that were converted from previously delinquent franchisee accounts receivable balances, a significant portion of these notes have specific reserves recorded against them amounting to $11.8 million as of June 30, 2020.</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Direct Financing Leases Receivable</w:t>
      </w:r>
    </w:p>
    <w:p>
      <w:pPr>
        <w:spacing w:after="0" w:line="23"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Direct financing lease receivables relate to IHOP franchise development activity prior to 2003 when IHOP typically leased or purchased the restaurant site, built and equipped the restaurant, then franchised the restaurant to a franchisee. IHOP provided the financing for leasing or subleasing the site. Direct financing leases at June 30, 2020, comprised 102 leases with a weighted average remaining life of 3.6 years, and relate to locations that IHOP is leasing from third parties and subleasing to franchisees.</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Equipment Leases Receivable</w:t>
      </w:r>
    </w:p>
    <w:p>
      <w:pPr>
        <w:spacing w:after="0" w:line="252"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color w:val="auto"/>
        </w:rPr>
        <w:t>Equipment leases receivable also relate to IHOP franchise development activity prior to 2003. Equipment lease contracts are collateralized by the equipment in the restaurant. The estimated fair value of the equipment collateralizing these lease contracts are not deemed to be significant given the very seasoned and mature nature of this portfolio. The weighted average remaining life of the Company’s equipment leases is 5.9 years as of June 20, 2020.</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81"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Current Expected Credit Losses (Continued)</w:t>
      </w:r>
    </w:p>
    <w:p>
      <w:pPr>
        <w:spacing w:after="0" w:line="193" w:lineRule="exact"/>
        <w:rPr>
          <w:rFonts w:ascii="Arial" w:cs="Arial" w:eastAsia="Arial" w:hAnsi="Arial"/>
          <w:sz w:val="16"/>
          <w:szCs w:val="16"/>
          <w:b w:val="1"/>
          <w:bCs w:val="1"/>
          <w:color w:val="auto"/>
        </w:rPr>
      </w:pPr>
    </w:p>
    <w:p>
      <w:pPr>
        <w:ind w:left="340"/>
        <w:spacing w:after="0"/>
        <w:rPr>
          <w:rFonts w:ascii="Arial" w:cs="Arial" w:eastAsia="Arial" w:hAnsi="Arial"/>
          <w:sz w:val="16"/>
          <w:szCs w:val="16"/>
          <w:b w:val="1"/>
          <w:bCs w:val="1"/>
          <w:color w:val="auto"/>
        </w:rPr>
      </w:pPr>
      <w:r>
        <w:rPr>
          <w:rFonts w:ascii="Arial" w:cs="Arial" w:eastAsia="Arial" w:hAnsi="Arial"/>
          <w:sz w:val="18"/>
          <w:szCs w:val="18"/>
          <w:u w:val="single" w:color="auto"/>
          <w:color w:val="auto"/>
        </w:rPr>
        <w:t>Distributor Receivables</w:t>
      </w:r>
    </w:p>
    <w:p>
      <w:pPr>
        <w:spacing w:after="0" w:line="252"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Receivables due from distributors are related to the sale of IHOP’s proprietary pancake and waffle dry mix to franchisees through the Company’s network of suppliers and distributors.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Gift Card Receivables</w:t>
      </w:r>
    </w:p>
    <w:p>
      <w:pPr>
        <w:spacing w:after="0" w:line="225"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Gift card receivables consist primarily of amounts due from third-party vendors. Receivables related to gift card sales are subject to seasonality and usually peak around year end as a result of the December holiday season.</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June 30, 2020</w:t>
            </w: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90"/>
              </w:rPr>
              <w:t>December 31, 2019</w:t>
            </w:r>
          </w:p>
        </w:tc>
      </w:tr>
      <w:tr>
        <w:trPr>
          <w:trHeight w:val="196"/>
        </w:trPr>
        <w:tc>
          <w:tcPr>
            <w:tcW w:w="6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(In millions)</w:t>
            </w:r>
          </w:p>
        </w:tc>
        <w:tc>
          <w:tcPr>
            <w:tcW w:w="1760" w:type="dxa"/>
            <w:vAlign w:val="bottom"/>
          </w:tcPr>
          <w:p>
            <w:pPr>
              <w:spacing w:after="0"/>
              <w:rPr>
                <w:sz w:val="17"/>
                <w:szCs w:val="17"/>
                <w:color w:val="auto"/>
              </w:rPr>
            </w:pPr>
          </w:p>
        </w:tc>
      </w:tr>
      <w:tr>
        <w:trPr>
          <w:trHeight w:val="256"/>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103.7</w:t>
            </w:r>
          </w:p>
        </w:tc>
        <w:tc>
          <w:tcPr>
            <w:tcW w:w="76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60.8</w:t>
            </w: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color w:val="auto"/>
              </w:rPr>
              <w:t>Gift card receivables</w:t>
            </w:r>
          </w:p>
        </w:tc>
        <w:tc>
          <w:tcPr>
            <w:tcW w:w="280" w:type="dxa"/>
            <w:vAlign w:val="bottom"/>
          </w:tcPr>
          <w:p>
            <w:pPr>
              <w:spacing w:after="0"/>
              <w:rPr>
                <w:sz w:val="21"/>
                <w:szCs w:val="21"/>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760" w:type="dxa"/>
            <w:vAlign w:val="bottom"/>
          </w:tcPr>
          <w:p>
            <w:pPr>
              <w:jc w:val="right"/>
              <w:ind w:right="71"/>
              <w:spacing w:after="0"/>
              <w:rPr>
                <w:sz w:val="20"/>
                <w:szCs w:val="20"/>
                <w:color w:val="auto"/>
              </w:rPr>
            </w:pPr>
            <w:r>
              <w:rPr>
                <w:rFonts w:ascii="Arial" w:cs="Arial" w:eastAsia="Arial" w:hAnsi="Arial"/>
                <w:sz w:val="18"/>
                <w:szCs w:val="18"/>
                <w:color w:val="auto"/>
              </w:rPr>
              <w:t>46.7</w:t>
            </w:r>
          </w:p>
        </w:tc>
      </w:tr>
      <w:tr>
        <w:trPr>
          <w:trHeight w:val="27"/>
        </w:trPr>
        <w:tc>
          <w:tcPr>
            <w:tcW w:w="6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29.2</w:t>
            </w:r>
          </w:p>
        </w:tc>
        <w:tc>
          <w:tcPr>
            <w:tcW w:w="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28.9</w:t>
            </w: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color w:val="auto"/>
              </w:rPr>
              <w:t>Financing receivables:</w:t>
            </w: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Equipment leases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50.0</w:t>
            </w:r>
          </w:p>
        </w:tc>
        <w:tc>
          <w:tcPr>
            <w:tcW w:w="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56.3</w:t>
            </w:r>
          </w:p>
        </w:tc>
      </w:tr>
      <w:tr>
        <w:trPr>
          <w:trHeight w:val="243"/>
        </w:trPr>
        <w:tc>
          <w:tcPr>
            <w:tcW w:w="6980" w:type="dxa"/>
            <w:vAlign w:val="bottom"/>
          </w:tcPr>
          <w:p>
            <w:pPr>
              <w:ind w:left="260"/>
              <w:spacing w:after="0"/>
              <w:rPr>
                <w:sz w:val="20"/>
                <w:szCs w:val="20"/>
                <w:color w:val="auto"/>
              </w:rPr>
            </w:pPr>
            <w:r>
              <w:rPr>
                <w:rFonts w:ascii="Arial" w:cs="Arial" w:eastAsia="Arial" w:hAnsi="Arial"/>
                <w:sz w:val="18"/>
                <w:szCs w:val="18"/>
                <w:color w:val="auto"/>
              </w:rPr>
              <w:t>Direct financing leases receivable</w:t>
            </w:r>
          </w:p>
        </w:tc>
        <w:tc>
          <w:tcPr>
            <w:tcW w:w="280" w:type="dxa"/>
            <w:vAlign w:val="bottom"/>
          </w:tcPr>
          <w:p>
            <w:pPr>
              <w:spacing w:after="0"/>
              <w:rPr>
                <w:sz w:val="21"/>
                <w:szCs w:val="21"/>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26.3</w:t>
            </w: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760" w:type="dxa"/>
            <w:vAlign w:val="bottom"/>
          </w:tcPr>
          <w:p>
            <w:pPr>
              <w:jc w:val="right"/>
              <w:ind w:right="71"/>
              <w:spacing w:after="0"/>
              <w:rPr>
                <w:sz w:val="20"/>
                <w:szCs w:val="20"/>
                <w:color w:val="auto"/>
              </w:rPr>
            </w:pPr>
            <w:r>
              <w:rPr>
                <w:rFonts w:ascii="Arial" w:cs="Arial" w:eastAsia="Arial" w:hAnsi="Arial"/>
                <w:sz w:val="18"/>
                <w:szCs w:val="18"/>
                <w:color w:val="auto"/>
              </w:rPr>
              <w:t>34.0</w:t>
            </w:r>
          </w:p>
        </w:tc>
      </w:tr>
      <w:tr>
        <w:trPr>
          <w:trHeight w:val="27"/>
        </w:trPr>
        <w:tc>
          <w:tcPr>
            <w:tcW w:w="6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Franchise fee notes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0.1</w:t>
            </w:r>
          </w:p>
        </w:tc>
        <w:tc>
          <w:tcPr>
            <w:tcW w:w="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0.1</w:t>
            </w: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760" w:type="dxa"/>
            <w:vAlign w:val="bottom"/>
          </w:tcPr>
          <w:p>
            <w:pPr>
              <w:jc w:val="right"/>
              <w:ind w:right="71"/>
              <w:spacing w:after="0"/>
              <w:rPr>
                <w:sz w:val="20"/>
                <w:szCs w:val="20"/>
                <w:color w:val="auto"/>
              </w:rPr>
            </w:pPr>
            <w:r>
              <w:rPr>
                <w:rFonts w:ascii="Arial" w:cs="Arial" w:eastAsia="Arial" w:hAnsi="Arial"/>
                <w:sz w:val="18"/>
                <w:szCs w:val="18"/>
                <w:color w:val="auto"/>
              </w:rPr>
              <w:t>7.3</w:t>
            </w:r>
          </w:p>
        </w:tc>
      </w:tr>
      <w:tr>
        <w:trPr>
          <w:trHeight w:val="27"/>
        </w:trPr>
        <w:tc>
          <w:tcPr>
            <w:tcW w:w="6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3"/>
        </w:trPr>
        <w:tc>
          <w:tcPr>
            <w:tcW w:w="6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218.3</w:t>
            </w:r>
          </w:p>
        </w:tc>
        <w:tc>
          <w:tcPr>
            <w:tcW w:w="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234.2</w:t>
            </w: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color w:val="auto"/>
              </w:rPr>
              <w:t>Less: allowance for doubtful accounts and notes receivable</w:t>
            </w:r>
          </w:p>
        </w:tc>
        <w:tc>
          <w:tcPr>
            <w:tcW w:w="28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(19.7)</w:t>
            </w: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760" w:type="dxa"/>
            <w:vAlign w:val="bottom"/>
          </w:tcPr>
          <w:p>
            <w:pPr>
              <w:jc w:val="right"/>
              <w:ind w:right="11"/>
              <w:spacing w:after="0"/>
              <w:rPr>
                <w:sz w:val="20"/>
                <w:szCs w:val="20"/>
                <w:color w:val="auto"/>
              </w:rPr>
            </w:pPr>
            <w:r>
              <w:rPr>
                <w:rFonts w:ascii="Arial" w:cs="Arial" w:eastAsia="Arial" w:hAnsi="Arial"/>
                <w:sz w:val="18"/>
                <w:szCs w:val="18"/>
                <w:color w:val="auto"/>
              </w:rPr>
              <w:t>(11.3)</w:t>
            </w:r>
          </w:p>
        </w:tc>
      </w:tr>
      <w:tr>
        <w:trPr>
          <w:trHeight w:val="27"/>
        </w:trPr>
        <w:tc>
          <w:tcPr>
            <w:tcW w:w="6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198.6</w:t>
            </w:r>
          </w:p>
        </w:tc>
        <w:tc>
          <w:tcPr>
            <w:tcW w:w="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222.9</w:t>
            </w: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color w:val="auto"/>
              </w:rPr>
              <w:t>Less: current portion</w:t>
            </w:r>
          </w:p>
        </w:tc>
        <w:tc>
          <w:tcPr>
            <w:tcW w:w="28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(124.6)</w:t>
            </w: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760" w:type="dxa"/>
            <w:vAlign w:val="bottom"/>
          </w:tcPr>
          <w:p>
            <w:pPr>
              <w:jc w:val="right"/>
              <w:ind w:right="11"/>
              <w:spacing w:after="0"/>
              <w:rPr>
                <w:sz w:val="20"/>
                <w:szCs w:val="20"/>
                <w:color w:val="auto"/>
              </w:rPr>
            </w:pPr>
            <w:r>
              <w:rPr>
                <w:rFonts w:ascii="Arial" w:cs="Arial" w:eastAsia="Arial" w:hAnsi="Arial"/>
                <w:sz w:val="18"/>
                <w:szCs w:val="18"/>
                <w:color w:val="auto"/>
              </w:rPr>
              <w:t>(136.9)</w:t>
            </w:r>
          </w:p>
        </w:tc>
      </w:tr>
      <w:tr>
        <w:trPr>
          <w:trHeight w:val="27"/>
        </w:trPr>
        <w:tc>
          <w:tcPr>
            <w:tcW w:w="6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83"/>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receivables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74.0</w:t>
            </w:r>
          </w:p>
        </w:tc>
        <w:tc>
          <w:tcPr>
            <w:tcW w:w="7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86.0</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allowance for credit losses during the six months ended June 30, 2020 were as follows:</w:t>
      </w:r>
    </w:p>
    <w:p>
      <w:pPr>
        <w:spacing w:after="0" w:line="4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7"/>
              </w:rPr>
              <w:t>Accounts</w:t>
            </w:r>
          </w:p>
        </w:tc>
        <w:tc>
          <w:tcPr>
            <w:tcW w:w="12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w w:val="95"/>
              </w:rPr>
              <w:t>Notes receivable,</w:t>
            </w:r>
          </w:p>
        </w:tc>
        <w:tc>
          <w:tcPr>
            <w:tcW w:w="1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7"/>
              </w:rPr>
              <w:t>Notes</w:t>
            </w:r>
          </w:p>
        </w:tc>
        <w:tc>
          <w:tcPr>
            <w:tcW w:w="380" w:type="dxa"/>
            <w:vAlign w:val="bottom"/>
          </w:tcPr>
          <w:p>
            <w:pPr>
              <w:spacing w:after="0"/>
              <w:rPr>
                <w:sz w:val="14"/>
                <w:szCs w:val="14"/>
                <w:color w:val="auto"/>
              </w:rPr>
            </w:pPr>
          </w:p>
        </w:tc>
        <w:tc>
          <w:tcPr>
            <w:tcW w:w="86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Lease</w:t>
            </w:r>
          </w:p>
        </w:tc>
        <w:tc>
          <w:tcPr>
            <w:tcW w:w="240" w:type="dxa"/>
            <w:vAlign w:val="bottom"/>
          </w:tcPr>
          <w:p>
            <w:pPr>
              <w:spacing w:after="0"/>
              <w:rPr>
                <w:sz w:val="14"/>
                <w:szCs w:val="14"/>
                <w:color w:val="auto"/>
              </w:rPr>
            </w:pPr>
          </w:p>
        </w:tc>
        <w:tc>
          <w:tcPr>
            <w:tcW w:w="86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6"/>
              </w:rPr>
              <w:t>Equipment</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receivable,</w:t>
            </w:r>
          </w:p>
        </w:tc>
        <w:tc>
          <w:tcPr>
            <w:tcW w:w="3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5"/>
              </w:rPr>
              <w:t xml:space="preserve">Other </w:t>
            </w:r>
            <w:r>
              <w:rPr>
                <w:rFonts w:ascii="Arial" w:cs="Arial" w:eastAsia="Arial" w:hAnsi="Arial"/>
                <w:sz w:val="9"/>
                <w:szCs w:val="9"/>
                <w:b w:val="1"/>
                <w:bCs w:val="1"/>
                <w:color w:val="auto"/>
                <w:w w:val="95"/>
              </w:rPr>
              <w:t>(1)</w:t>
            </w:r>
          </w:p>
        </w:tc>
        <w:tc>
          <w:tcPr>
            <w:tcW w:w="280" w:type="dxa"/>
            <w:vAlign w:val="bottom"/>
          </w:tcPr>
          <w:p>
            <w:pPr>
              <w:spacing w:after="0"/>
              <w:rPr>
                <w:sz w:val="12"/>
                <w:szCs w:val="12"/>
                <w:color w:val="auto"/>
              </w:rPr>
            </w:pPr>
          </w:p>
        </w:tc>
        <w:tc>
          <w:tcPr>
            <w:tcW w:w="5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2"/>
              </w:rPr>
              <w:t>Receivable</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7"/>
              </w:rPr>
              <w:t>short-term</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long-term</w:t>
            </w: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8"/>
              </w:rPr>
              <w:t>Receivables</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Notes</w:t>
            </w: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40" w:type="dxa"/>
            <w:vAlign w:val="bottom"/>
            <w:gridSpan w:val="2"/>
          </w:tcPr>
          <w:p>
            <w:pPr>
              <w:jc w:val="right"/>
              <w:ind w:right="254"/>
              <w:spacing w:after="0"/>
              <w:rPr>
                <w:sz w:val="20"/>
                <w:szCs w:val="20"/>
                <w:color w:val="auto"/>
              </w:rPr>
            </w:pPr>
            <w:r>
              <w:rPr>
                <w:rFonts w:ascii="Arial" w:cs="Arial" w:eastAsia="Arial" w:hAnsi="Arial"/>
                <w:sz w:val="14"/>
                <w:szCs w:val="14"/>
                <w:b w:val="1"/>
                <w:bCs w:val="1"/>
                <w:color w:val="auto"/>
                <w:w w:val="91"/>
              </w:rPr>
              <w:t>(In thousands)</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0.7</w:t>
            </w:r>
          </w:p>
        </w:tc>
        <w:tc>
          <w:tcPr>
            <w:tcW w:w="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43"/>
        </w:trPr>
        <w:tc>
          <w:tcPr>
            <w:tcW w:w="3740" w:type="dxa"/>
            <w:vAlign w:val="bottom"/>
          </w:tcPr>
          <w:p>
            <w:pPr>
              <w:spacing w:after="0"/>
              <w:rPr>
                <w:sz w:val="20"/>
                <w:szCs w:val="20"/>
                <w:color w:val="auto"/>
              </w:rPr>
            </w:pPr>
            <w:r>
              <w:rPr>
                <w:rFonts w:ascii="Arial" w:cs="Arial" w:eastAsia="Arial" w:hAnsi="Arial"/>
                <w:sz w:val="18"/>
                <w:szCs w:val="18"/>
                <w:color w:val="auto"/>
              </w:rPr>
              <w:t>Increase due to CECL adoption</w:t>
            </w:r>
          </w:p>
        </w:tc>
        <w:tc>
          <w:tcPr>
            <w:tcW w:w="160" w:type="dxa"/>
            <w:vAlign w:val="bottom"/>
          </w:tcPr>
          <w:p>
            <w:pPr>
              <w:spacing w:after="0"/>
              <w:rPr>
                <w:sz w:val="21"/>
                <w:szCs w:val="21"/>
                <w:color w:val="auto"/>
              </w:rPr>
            </w:pP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0.3</w:t>
            </w:r>
          </w:p>
        </w:tc>
        <w:tc>
          <w:tcPr>
            <w:tcW w:w="300" w:type="dxa"/>
            <w:vAlign w:val="bottom"/>
          </w:tcPr>
          <w:p>
            <w:pPr>
              <w:spacing w:after="0"/>
              <w:rPr>
                <w:sz w:val="21"/>
                <w:szCs w:val="21"/>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0.1</w:t>
            </w:r>
          </w:p>
        </w:tc>
        <w:tc>
          <w:tcPr>
            <w:tcW w:w="380" w:type="dxa"/>
            <w:vAlign w:val="bottom"/>
          </w:tcPr>
          <w:p>
            <w:pPr>
              <w:spacing w:after="0"/>
              <w:rPr>
                <w:sz w:val="21"/>
                <w:szCs w:val="21"/>
                <w:color w:val="auto"/>
              </w:rPr>
            </w:pP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21"/>
                <w:szCs w:val="21"/>
                <w:color w:val="auto"/>
              </w:rPr>
            </w:pP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21"/>
                <w:szCs w:val="21"/>
                <w:color w:val="auto"/>
              </w:rPr>
            </w:pPr>
          </w:p>
        </w:tc>
        <w:tc>
          <w:tcPr>
            <w:tcW w:w="660" w:type="dxa"/>
            <w:vAlign w:val="bottom"/>
          </w:tcPr>
          <w:p>
            <w:pPr>
              <w:jc w:val="right"/>
              <w:ind w:right="52"/>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21"/>
                <w:szCs w:val="21"/>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w w:val="95"/>
              </w:rPr>
              <w:t>Bad debt expense for the six months ended June</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30, 2020</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3.9</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2.0</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56"/>
              <w:spacing w:after="0"/>
              <w:rPr>
                <w:sz w:val="20"/>
                <w:szCs w:val="20"/>
                <w:color w:val="auto"/>
              </w:rPr>
            </w:pPr>
            <w:r>
              <w:rPr>
                <w:rFonts w:ascii="Arial" w:cs="Arial" w:eastAsia="Arial" w:hAnsi="Arial"/>
                <w:sz w:val="18"/>
                <w:szCs w:val="18"/>
                <w:color w:val="auto"/>
              </w:rPr>
              <w:t>(0.7)</w:t>
            </w:r>
          </w:p>
        </w:tc>
        <w:tc>
          <w:tcPr>
            <w:tcW w:w="8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0.2</w:t>
            </w:r>
          </w:p>
        </w:tc>
        <w:tc>
          <w:tcPr>
            <w:tcW w:w="2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3740" w:type="dxa"/>
            <w:vAlign w:val="bottom"/>
          </w:tcPr>
          <w:p>
            <w:pPr>
              <w:spacing w:after="0"/>
              <w:rPr>
                <w:sz w:val="20"/>
                <w:szCs w:val="20"/>
                <w:color w:val="auto"/>
              </w:rPr>
            </w:pPr>
            <w:r>
              <w:rPr>
                <w:rFonts w:ascii="Arial" w:cs="Arial" w:eastAsia="Arial" w:hAnsi="Arial"/>
                <w:sz w:val="18"/>
                <w:szCs w:val="18"/>
                <w:color w:val="auto"/>
              </w:rPr>
              <w:t>Advertising provision adjustment</w:t>
            </w:r>
          </w:p>
        </w:tc>
        <w:tc>
          <w:tcPr>
            <w:tcW w:w="160" w:type="dxa"/>
            <w:vAlign w:val="bottom"/>
          </w:tcPr>
          <w:p>
            <w:pPr>
              <w:spacing w:after="0"/>
              <w:rPr>
                <w:sz w:val="21"/>
                <w:szCs w:val="21"/>
                <w:color w:val="auto"/>
              </w:rPr>
            </w:pP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6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Write-offs</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0.1</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0.1</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3740" w:type="dxa"/>
            <w:vAlign w:val="bottom"/>
          </w:tcPr>
          <w:p>
            <w:pPr>
              <w:spacing w:after="0"/>
              <w:rPr>
                <w:sz w:val="20"/>
                <w:szCs w:val="20"/>
                <w:color w:val="auto"/>
              </w:rPr>
            </w:pPr>
            <w:r>
              <w:rPr>
                <w:rFonts w:ascii="Arial" w:cs="Arial" w:eastAsia="Arial" w:hAnsi="Arial"/>
                <w:sz w:val="18"/>
                <w:szCs w:val="18"/>
                <w:color w:val="auto"/>
              </w:rPr>
              <w:t>Recoveries</w:t>
            </w:r>
          </w:p>
        </w:tc>
        <w:tc>
          <w:tcPr>
            <w:tcW w:w="160" w:type="dxa"/>
            <w:vAlign w:val="bottom"/>
          </w:tcPr>
          <w:p>
            <w:pPr>
              <w:spacing w:after="0"/>
              <w:rPr>
                <w:sz w:val="21"/>
                <w:szCs w:val="21"/>
                <w:color w:val="auto"/>
              </w:rPr>
            </w:pP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0.0</w:t>
            </w:r>
          </w:p>
        </w:tc>
        <w:tc>
          <w:tcPr>
            <w:tcW w:w="240" w:type="dxa"/>
            <w:vAlign w:val="bottom"/>
          </w:tcPr>
          <w:p>
            <w:pPr>
              <w:spacing w:after="0"/>
              <w:rPr>
                <w:sz w:val="21"/>
                <w:szCs w:val="21"/>
                <w:color w:val="auto"/>
              </w:rPr>
            </w:pP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6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June 30, 2020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7.1</w:t>
            </w:r>
          </w:p>
        </w:tc>
        <w:tc>
          <w:tcPr>
            <w:tcW w:w="3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4.3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0.2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0.2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0.3</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4" w:lineRule="exact"/>
        <w:rPr>
          <w:sz w:val="20"/>
          <w:szCs w:val="20"/>
          <w:color w:val="auto"/>
        </w:rPr>
      </w:pPr>
    </w:p>
    <w:p>
      <w:pPr>
        <w:ind w:left="520" w:hanging="188"/>
        <w:spacing w:after="0"/>
        <w:tabs>
          <w:tab w:leader="none" w:pos="520" w:val="left"/>
        </w:tabs>
        <w:numPr>
          <w:ilvl w:val="0"/>
          <w:numId w:val="8"/>
        </w:numPr>
        <w:rPr>
          <w:rFonts w:ascii="Arial" w:cs="Arial" w:eastAsia="Arial" w:hAnsi="Arial"/>
          <w:sz w:val="23"/>
          <w:szCs w:val="23"/>
          <w:color w:val="auto"/>
          <w:vertAlign w:val="superscript"/>
        </w:rPr>
      </w:pPr>
      <w:r>
        <w:rPr>
          <w:rFonts w:ascii="Arial" w:cs="Arial" w:eastAsia="Arial" w:hAnsi="Arial"/>
          <w:sz w:val="16"/>
          <w:szCs w:val="16"/>
          <w:color w:val="auto"/>
        </w:rPr>
        <w:t>Primarily distributor receivables, gift card receivables and credit card receivables</w:t>
      </w:r>
    </w:p>
    <w:p>
      <w:pPr>
        <w:spacing w:after="0" w:line="23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Company's primary credit quality indicator for all portfolio segments is delinquency. The delinquency status of receivables (other than accounts receivable, gift card receivables and distributor receivables) at June 30, 2020 was as follows:</w:t>
      </w:r>
    </w:p>
    <w:p>
      <w:pPr>
        <w:spacing w:after="0" w:line="9" w:lineRule="exact"/>
        <w:rPr>
          <w:sz w:val="20"/>
          <w:szCs w:val="20"/>
          <w:color w:val="auto"/>
        </w:rPr>
      </w:pPr>
    </w:p>
    <w:tbl>
      <w:tblPr>
        <w:tblLayout w:type="fixed"/>
        <w:tblInd w:w="22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253"/>
              <w:spacing w:after="0"/>
              <w:rPr>
                <w:sz w:val="20"/>
                <w:szCs w:val="20"/>
                <w:color w:val="auto"/>
              </w:rPr>
            </w:pPr>
            <w:r>
              <w:rPr>
                <w:rFonts w:ascii="Arial" w:cs="Arial" w:eastAsia="Arial" w:hAnsi="Arial"/>
                <w:sz w:val="16"/>
                <w:szCs w:val="16"/>
                <w:b w:val="1"/>
                <w:bCs w:val="1"/>
                <w:color w:val="auto"/>
              </w:rPr>
              <w:t>Notes</w:t>
            </w:r>
          </w:p>
        </w:tc>
        <w:tc>
          <w:tcPr>
            <w:tcW w:w="280" w:type="dxa"/>
            <w:vAlign w:val="bottom"/>
          </w:tcPr>
          <w:p>
            <w:pPr>
              <w:spacing w:after="0"/>
              <w:rPr>
                <w:sz w:val="17"/>
                <w:szCs w:val="17"/>
                <w:color w:val="auto"/>
              </w:rPr>
            </w:pPr>
          </w:p>
        </w:tc>
        <w:tc>
          <w:tcPr>
            <w:tcW w:w="960" w:type="dxa"/>
            <w:vAlign w:val="bottom"/>
          </w:tcPr>
          <w:p>
            <w:pPr>
              <w:jc w:val="center"/>
              <w:ind w:right="53"/>
              <w:spacing w:after="0"/>
              <w:rPr>
                <w:sz w:val="20"/>
                <w:szCs w:val="20"/>
                <w:color w:val="auto"/>
              </w:rPr>
            </w:pPr>
            <w:r>
              <w:rPr>
                <w:rFonts w:ascii="Arial" w:cs="Arial" w:eastAsia="Arial" w:hAnsi="Arial"/>
                <w:sz w:val="16"/>
                <w:szCs w:val="16"/>
                <w:b w:val="1"/>
                <w:bCs w:val="1"/>
                <w:color w:val="auto"/>
                <w:w w:val="85"/>
              </w:rPr>
              <w:t>Notes</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73"/>
              <w:spacing w:after="0"/>
              <w:rPr>
                <w:sz w:val="20"/>
                <w:szCs w:val="20"/>
                <w:color w:val="auto"/>
              </w:rPr>
            </w:pPr>
            <w:r>
              <w:rPr>
                <w:rFonts w:ascii="Arial" w:cs="Arial" w:eastAsia="Arial" w:hAnsi="Arial"/>
                <w:sz w:val="16"/>
                <w:szCs w:val="16"/>
                <w:b w:val="1"/>
                <w:bCs w:val="1"/>
                <w:color w:val="auto"/>
                <w:w w:val="91"/>
              </w:rPr>
              <w:t>receivable,</w:t>
            </w:r>
          </w:p>
        </w:tc>
        <w:tc>
          <w:tcPr>
            <w:tcW w:w="280" w:type="dxa"/>
            <w:vAlign w:val="bottom"/>
          </w:tcPr>
          <w:p>
            <w:pPr>
              <w:spacing w:after="0"/>
              <w:rPr>
                <w:sz w:val="17"/>
                <w:szCs w:val="17"/>
                <w:color w:val="auto"/>
              </w:rPr>
            </w:pPr>
          </w:p>
        </w:tc>
        <w:tc>
          <w:tcPr>
            <w:tcW w:w="960" w:type="dxa"/>
            <w:vAlign w:val="bottom"/>
          </w:tcPr>
          <w:p>
            <w:pPr>
              <w:jc w:val="center"/>
              <w:ind w:right="53"/>
              <w:spacing w:after="0"/>
              <w:rPr>
                <w:sz w:val="20"/>
                <w:szCs w:val="20"/>
                <w:color w:val="auto"/>
              </w:rPr>
            </w:pPr>
            <w:r>
              <w:rPr>
                <w:rFonts w:ascii="Arial" w:cs="Arial" w:eastAsia="Arial" w:hAnsi="Arial"/>
                <w:sz w:val="16"/>
                <w:szCs w:val="16"/>
                <w:b w:val="1"/>
                <w:bCs w:val="1"/>
                <w:color w:val="auto"/>
                <w:w w:val="89"/>
              </w:rPr>
              <w:t>receivable,</w:t>
            </w:r>
          </w:p>
        </w:tc>
        <w:tc>
          <w:tcPr>
            <w:tcW w:w="260" w:type="dxa"/>
            <w:vAlign w:val="bottom"/>
          </w:tcPr>
          <w:p>
            <w:pPr>
              <w:spacing w:after="0"/>
              <w:rPr>
                <w:sz w:val="17"/>
                <w:szCs w:val="17"/>
                <w:color w:val="auto"/>
              </w:rPr>
            </w:pPr>
          </w:p>
        </w:tc>
        <w:tc>
          <w:tcPr>
            <w:tcW w:w="980" w:type="dxa"/>
            <w:vAlign w:val="bottom"/>
          </w:tcPr>
          <w:p>
            <w:pPr>
              <w:jc w:val="right"/>
              <w:ind w:right="273"/>
              <w:spacing w:after="0"/>
              <w:rPr>
                <w:sz w:val="20"/>
                <w:szCs w:val="20"/>
                <w:color w:val="auto"/>
              </w:rPr>
            </w:pPr>
            <w:r>
              <w:rPr>
                <w:rFonts w:ascii="Arial" w:cs="Arial" w:eastAsia="Arial" w:hAnsi="Arial"/>
                <w:sz w:val="16"/>
                <w:szCs w:val="16"/>
                <w:b w:val="1"/>
                <w:bCs w:val="1"/>
                <w:color w:val="auto"/>
              </w:rPr>
              <w:t>Lease</w:t>
            </w:r>
          </w:p>
        </w:tc>
        <w:tc>
          <w:tcPr>
            <w:tcW w:w="260" w:type="dxa"/>
            <w:vAlign w:val="bottom"/>
          </w:tcPr>
          <w:p>
            <w:pPr>
              <w:spacing w:after="0"/>
              <w:rPr>
                <w:sz w:val="17"/>
                <w:szCs w:val="17"/>
                <w:color w:val="auto"/>
              </w:rPr>
            </w:pPr>
          </w:p>
        </w:tc>
        <w:tc>
          <w:tcPr>
            <w:tcW w:w="960" w:type="dxa"/>
            <w:vAlign w:val="bottom"/>
          </w:tcPr>
          <w:p>
            <w:pPr>
              <w:jc w:val="right"/>
              <w:ind w:right="72"/>
              <w:spacing w:after="0"/>
              <w:rPr>
                <w:sz w:val="20"/>
                <w:szCs w:val="20"/>
                <w:color w:val="auto"/>
              </w:rPr>
            </w:pPr>
            <w:r>
              <w:rPr>
                <w:rFonts w:ascii="Arial" w:cs="Arial" w:eastAsia="Arial" w:hAnsi="Arial"/>
                <w:sz w:val="16"/>
                <w:szCs w:val="16"/>
                <w:b w:val="1"/>
                <w:bCs w:val="1"/>
                <w:color w:val="auto"/>
                <w:w w:val="94"/>
              </w:rPr>
              <w:t>Equipment</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43"/>
        </w:trPr>
        <w:tc>
          <w:tcPr>
            <w:tcW w:w="35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73"/>
              <w:spacing w:after="0"/>
              <w:rPr>
                <w:sz w:val="20"/>
                <w:szCs w:val="20"/>
                <w:color w:val="auto"/>
              </w:rPr>
            </w:pPr>
            <w:r>
              <w:rPr>
                <w:rFonts w:ascii="Arial" w:cs="Arial" w:eastAsia="Arial" w:hAnsi="Arial"/>
                <w:sz w:val="16"/>
                <w:szCs w:val="16"/>
                <w:b w:val="1"/>
                <w:bCs w:val="1"/>
                <w:color w:val="auto"/>
                <w:w w:val="94"/>
              </w:rPr>
              <w:t>short-term</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53"/>
              <w:spacing w:after="0"/>
              <w:rPr>
                <w:sz w:val="20"/>
                <w:szCs w:val="20"/>
                <w:color w:val="auto"/>
              </w:rPr>
            </w:pPr>
            <w:r>
              <w:rPr>
                <w:rFonts w:ascii="Arial" w:cs="Arial" w:eastAsia="Arial" w:hAnsi="Arial"/>
                <w:sz w:val="16"/>
                <w:szCs w:val="16"/>
                <w:b w:val="1"/>
                <w:bCs w:val="1"/>
                <w:color w:val="auto"/>
                <w:w w:val="94"/>
              </w:rPr>
              <w:t>long-term</w:t>
            </w: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73"/>
              <w:spacing w:after="0"/>
              <w:rPr>
                <w:sz w:val="20"/>
                <w:szCs w:val="20"/>
                <w:color w:val="auto"/>
              </w:rPr>
            </w:pPr>
            <w:r>
              <w:rPr>
                <w:rFonts w:ascii="Arial" w:cs="Arial" w:eastAsia="Arial" w:hAnsi="Arial"/>
                <w:sz w:val="16"/>
                <w:szCs w:val="16"/>
                <w:b w:val="1"/>
                <w:bCs w:val="1"/>
                <w:color w:val="auto"/>
                <w:w w:val="86"/>
              </w:rPr>
              <w:t>Receivables</w:t>
            </w: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Notes</w:t>
            </w:r>
          </w:p>
        </w:tc>
        <w:tc>
          <w:tcPr>
            <w:tcW w:w="3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71"/>
              <w:spacing w:after="0"/>
              <w:rPr>
                <w:sz w:val="20"/>
                <w:szCs w:val="20"/>
                <w:color w:val="auto"/>
              </w:rPr>
            </w:pPr>
            <w:r>
              <w:rPr>
                <w:rFonts w:ascii="Arial" w:cs="Arial" w:eastAsia="Arial" w:hAnsi="Arial"/>
                <w:sz w:val="16"/>
                <w:szCs w:val="16"/>
                <w:b w:val="1"/>
                <w:bCs w:val="1"/>
                <w:color w:val="auto"/>
                <w:w w:val="96"/>
              </w:rPr>
              <w:t xml:space="preserve">Other </w:t>
            </w:r>
            <w:r>
              <w:rPr>
                <w:rFonts w:ascii="Arial" w:cs="Arial" w:eastAsia="Arial" w:hAnsi="Arial"/>
                <w:sz w:val="21"/>
                <w:szCs w:val="21"/>
                <w:b w:val="1"/>
                <w:bCs w:val="1"/>
                <w:color w:val="auto"/>
                <w:w w:val="96"/>
                <w:vertAlign w:val="superscript"/>
              </w:rPr>
              <w:t>(1)</w:t>
            </w:r>
          </w:p>
        </w:tc>
        <w:tc>
          <w:tcPr>
            <w:tcW w:w="3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Total</w:t>
            </w:r>
          </w:p>
        </w:tc>
      </w:tr>
      <w:tr>
        <w:trPr>
          <w:trHeight w:val="217"/>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0" w:type="dxa"/>
            <w:vAlign w:val="bottom"/>
            <w:gridSpan w:val="3"/>
          </w:tcPr>
          <w:p>
            <w:pPr>
              <w:jc w:val="right"/>
              <w:ind w:right="632"/>
              <w:spacing w:after="0"/>
              <w:rPr>
                <w:sz w:val="20"/>
                <w:szCs w:val="20"/>
                <w:color w:val="auto"/>
              </w:rPr>
            </w:pPr>
            <w:r>
              <w:rPr>
                <w:rFonts w:ascii="Arial" w:cs="Arial" w:eastAsia="Arial" w:hAnsi="Arial"/>
                <w:sz w:val="16"/>
                <w:szCs w:val="16"/>
                <w:b w:val="1"/>
                <w:bCs w:val="1"/>
                <w:color w:val="auto"/>
              </w:rPr>
              <w:t>(In millions)</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19.5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10.3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19.6</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w:t>
            </w:r>
          </w:p>
        </w:tc>
        <w:tc>
          <w:tcPr>
            <w:tcW w:w="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54.7</w:t>
            </w: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30-59 days</w:t>
            </w:r>
          </w:p>
        </w:tc>
        <w:tc>
          <w:tcPr>
            <w:tcW w:w="140" w:type="dxa"/>
            <w:vAlign w:val="bottom"/>
          </w:tcPr>
          <w:p>
            <w:pPr>
              <w:spacing w:after="0"/>
              <w:rPr>
                <w:sz w:val="21"/>
                <w:szCs w:val="21"/>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21"/>
                <w:szCs w:val="21"/>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21"/>
                <w:szCs w:val="21"/>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5.5</w:t>
            </w:r>
          </w:p>
        </w:tc>
        <w:tc>
          <w:tcPr>
            <w:tcW w:w="26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10.6</w:t>
            </w:r>
          </w:p>
        </w:tc>
        <w:tc>
          <w:tcPr>
            <w:tcW w:w="300" w:type="dxa"/>
            <w:vAlign w:val="bottom"/>
          </w:tcPr>
          <w:p>
            <w:pPr>
              <w:spacing w:after="0"/>
              <w:rPr>
                <w:sz w:val="21"/>
                <w:szCs w:val="21"/>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17.6</w:t>
            </w:r>
          </w:p>
        </w:tc>
      </w:tr>
      <w:tr>
        <w:trPr>
          <w:trHeight w:val="27"/>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60-89 days</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0.4</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1.9</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9.4</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17.2</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28.9</w:t>
            </w: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90-119 days</w:t>
            </w:r>
          </w:p>
        </w:tc>
        <w:tc>
          <w:tcPr>
            <w:tcW w:w="140" w:type="dxa"/>
            <w:vAlign w:val="bottom"/>
          </w:tcPr>
          <w:p>
            <w:pPr>
              <w:spacing w:after="0"/>
              <w:rPr>
                <w:sz w:val="21"/>
                <w:szCs w:val="21"/>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21"/>
                <w:szCs w:val="21"/>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0.6</w:t>
            </w:r>
          </w:p>
        </w:tc>
        <w:tc>
          <w:tcPr>
            <w:tcW w:w="260" w:type="dxa"/>
            <w:vAlign w:val="bottom"/>
          </w:tcPr>
          <w:p>
            <w:pPr>
              <w:spacing w:after="0"/>
              <w:rPr>
                <w:sz w:val="21"/>
                <w:szCs w:val="21"/>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21"/>
                <w:szCs w:val="21"/>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4.0</w:t>
            </w:r>
          </w:p>
        </w:tc>
      </w:tr>
      <w:tr>
        <w:trPr>
          <w:trHeight w:val="27"/>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120+ days</w:t>
            </w: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1.2</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0.4</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w:t>
            </w:r>
          </w:p>
        </w:tc>
      </w:tr>
      <w:tr>
        <w:trPr>
          <w:trHeight w:val="263"/>
        </w:trPr>
        <w:tc>
          <w:tcPr>
            <w:tcW w:w="3540" w:type="dxa"/>
            <w:vAlign w:val="bottom"/>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6.1</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23.2</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26.3</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50.0</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1.2</w:t>
            </w:r>
          </w:p>
        </w:tc>
        <w:tc>
          <w:tcPr>
            <w:tcW w:w="3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106.8</w:t>
            </w:r>
          </w:p>
        </w:tc>
      </w:tr>
      <w:tr>
        <w:trPr>
          <w:trHeight w:val="21"/>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520" w:hanging="188"/>
        <w:spacing w:after="0"/>
        <w:tabs>
          <w:tab w:leader="none" w:pos="52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Primarily c</w:t>
      </w:r>
      <w:r>
        <w:rPr>
          <w:rFonts w:ascii="Arial" w:cs="Arial" w:eastAsia="Arial" w:hAnsi="Arial"/>
          <w:sz w:val="16"/>
          <w:szCs w:val="16"/>
          <w:color w:val="auto"/>
        </w:rPr>
        <w:t>redit card receivables</w:t>
      </w:r>
    </w:p>
    <w:p>
      <w:pPr>
        <w:sectPr>
          <w:pgSz w:w="11900" w:h="16838" w:orient="portrait"/>
          <w:cols w:equalWidth="0" w:num="1">
            <w:col w:w="11240"/>
          </w:cols>
          <w:pgMar w:left="320" w:top="121" w:right="339" w:bottom="1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96" w:gutter="0" w:footer="0" w:header="0"/>
          <w:type w:val="continuous"/>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Current Expected Credit Losses (Continued)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year of origination of the Company's financing receivables is as follows:</w:t>
      </w:r>
    </w:p>
    <w:p>
      <w:pPr>
        <w:spacing w:after="0" w:line="64" w:lineRule="exact"/>
        <w:rPr>
          <w:sz w:val="20"/>
          <w:szCs w:val="20"/>
          <w:color w:val="auto"/>
        </w:rPr>
      </w:pPr>
    </w:p>
    <w:tbl>
      <w:tblPr>
        <w:tblLayout w:type="fixed"/>
        <w:tblInd w:w="220" w:type="dxa"/>
        <w:tblCellMar>
          <w:top w:w="0" w:type="dxa"/>
          <w:left w:w="0" w:type="dxa"/>
          <w:bottom w:w="0" w:type="dxa"/>
          <w:right w:w="0" w:type="dxa"/>
        </w:tblCellMar>
      </w:tblPr>
      <w:tr>
        <w:trPr>
          <w:trHeight w:val="203"/>
        </w:trPr>
        <w:tc>
          <w:tcPr>
            <w:tcW w:w="5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center"/>
              <w:ind w:right="13"/>
              <w:spacing w:after="0"/>
              <w:rPr>
                <w:sz w:val="20"/>
                <w:szCs w:val="20"/>
                <w:color w:val="auto"/>
              </w:rPr>
            </w:pPr>
            <w:r>
              <w:rPr>
                <w:rFonts w:ascii="Arial" w:cs="Arial" w:eastAsia="Arial" w:hAnsi="Arial"/>
                <w:sz w:val="16"/>
                <w:szCs w:val="16"/>
                <w:b w:val="1"/>
                <w:bCs w:val="1"/>
                <w:color w:val="auto"/>
                <w:w w:val="88"/>
              </w:rPr>
              <w:t>Notes receivable,</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5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center"/>
              <w:ind w:right="33"/>
              <w:spacing w:after="0"/>
              <w:rPr>
                <w:sz w:val="20"/>
                <w:szCs w:val="20"/>
                <w:color w:val="auto"/>
              </w:rPr>
            </w:pPr>
            <w:r>
              <w:rPr>
                <w:rFonts w:ascii="Arial" w:cs="Arial" w:eastAsia="Arial" w:hAnsi="Arial"/>
                <w:sz w:val="16"/>
                <w:szCs w:val="16"/>
                <w:b w:val="1"/>
                <w:bCs w:val="1"/>
                <w:color w:val="auto"/>
                <w:w w:val="90"/>
              </w:rPr>
              <w:t>short and long-</w:t>
            </w:r>
          </w:p>
        </w:tc>
        <w:tc>
          <w:tcPr>
            <w:tcW w:w="240" w:type="dxa"/>
            <w:vAlign w:val="bottom"/>
          </w:tcPr>
          <w:p>
            <w:pPr>
              <w:spacing w:after="0"/>
              <w:rPr>
                <w:sz w:val="17"/>
                <w:szCs w:val="17"/>
                <w:color w:val="auto"/>
              </w:rPr>
            </w:pPr>
          </w:p>
        </w:tc>
        <w:tc>
          <w:tcPr>
            <w:tcW w:w="980" w:type="dxa"/>
            <w:vAlign w:val="bottom"/>
          </w:tcPr>
          <w:p>
            <w:pPr>
              <w:jc w:val="right"/>
              <w:ind w:right="253"/>
              <w:spacing w:after="0"/>
              <w:rPr>
                <w:sz w:val="20"/>
                <w:szCs w:val="20"/>
                <w:color w:val="auto"/>
              </w:rPr>
            </w:pPr>
            <w:r>
              <w:rPr>
                <w:rFonts w:ascii="Arial" w:cs="Arial" w:eastAsia="Arial" w:hAnsi="Arial"/>
                <w:sz w:val="16"/>
                <w:szCs w:val="16"/>
                <w:b w:val="1"/>
                <w:bCs w:val="1"/>
                <w:color w:val="auto"/>
              </w:rPr>
              <w:t>Lease</w:t>
            </w:r>
          </w:p>
        </w:tc>
        <w:tc>
          <w:tcPr>
            <w:tcW w:w="280" w:type="dxa"/>
            <w:vAlign w:val="bottom"/>
          </w:tcPr>
          <w:p>
            <w:pPr>
              <w:spacing w:after="0"/>
              <w:rPr>
                <w:sz w:val="17"/>
                <w:szCs w:val="17"/>
                <w:color w:val="auto"/>
              </w:rPr>
            </w:pPr>
          </w:p>
        </w:tc>
        <w:tc>
          <w:tcPr>
            <w:tcW w:w="960" w:type="dxa"/>
            <w:vAlign w:val="bottom"/>
          </w:tcPr>
          <w:p>
            <w:pPr>
              <w:jc w:val="right"/>
              <w:ind w:right="72"/>
              <w:spacing w:after="0"/>
              <w:rPr>
                <w:sz w:val="20"/>
                <w:szCs w:val="20"/>
                <w:color w:val="auto"/>
              </w:rPr>
            </w:pPr>
            <w:r>
              <w:rPr>
                <w:rFonts w:ascii="Arial" w:cs="Arial" w:eastAsia="Arial" w:hAnsi="Arial"/>
                <w:sz w:val="16"/>
                <w:szCs w:val="16"/>
                <w:b w:val="1"/>
                <w:bCs w:val="1"/>
                <w:color w:val="auto"/>
                <w:w w:val="94"/>
              </w:rPr>
              <w:t>Equipment</w:t>
            </w: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0"/>
        </w:trPr>
        <w:tc>
          <w:tcPr>
            <w:tcW w:w="5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center"/>
              <w:ind w:right="33"/>
              <w:spacing w:after="0"/>
              <w:rPr>
                <w:sz w:val="20"/>
                <w:szCs w:val="20"/>
                <w:color w:val="auto"/>
              </w:rPr>
            </w:pPr>
            <w:r>
              <w:rPr>
                <w:rFonts w:ascii="Arial" w:cs="Arial" w:eastAsia="Arial" w:hAnsi="Arial"/>
                <w:sz w:val="16"/>
                <w:szCs w:val="16"/>
                <w:b w:val="1"/>
                <w:bCs w:val="1"/>
                <w:color w:val="auto"/>
                <w:w w:val="97"/>
              </w:rPr>
              <w:t>term</w:t>
            </w:r>
          </w:p>
        </w:tc>
        <w:tc>
          <w:tcPr>
            <w:tcW w:w="240" w:type="dxa"/>
            <w:vAlign w:val="bottom"/>
          </w:tcPr>
          <w:p>
            <w:pPr>
              <w:spacing w:after="0"/>
              <w:rPr>
                <w:sz w:val="18"/>
                <w:szCs w:val="18"/>
                <w:color w:val="auto"/>
              </w:rPr>
            </w:pPr>
          </w:p>
        </w:tc>
        <w:tc>
          <w:tcPr>
            <w:tcW w:w="980" w:type="dxa"/>
            <w:vAlign w:val="bottom"/>
          </w:tcPr>
          <w:p>
            <w:pPr>
              <w:jc w:val="right"/>
              <w:ind w:right="53"/>
              <w:spacing w:after="0"/>
              <w:rPr>
                <w:sz w:val="20"/>
                <w:szCs w:val="20"/>
                <w:color w:val="auto"/>
              </w:rPr>
            </w:pPr>
            <w:r>
              <w:rPr>
                <w:rFonts w:ascii="Arial" w:cs="Arial" w:eastAsia="Arial" w:hAnsi="Arial"/>
                <w:sz w:val="16"/>
                <w:szCs w:val="16"/>
                <w:b w:val="1"/>
                <w:bCs w:val="1"/>
                <w:color w:val="auto"/>
                <w:w w:val="88"/>
              </w:rPr>
              <w:t>Receivables</w:t>
            </w:r>
          </w:p>
        </w:tc>
        <w:tc>
          <w:tcPr>
            <w:tcW w:w="280" w:type="dxa"/>
            <w:vAlign w:val="bottom"/>
          </w:tcPr>
          <w:p>
            <w:pPr>
              <w:spacing w:after="0"/>
              <w:rPr>
                <w:sz w:val="18"/>
                <w:szCs w:val="18"/>
                <w:color w:val="auto"/>
              </w:rPr>
            </w:pPr>
          </w:p>
        </w:tc>
        <w:tc>
          <w:tcPr>
            <w:tcW w:w="960" w:type="dxa"/>
            <w:vAlign w:val="bottom"/>
          </w:tcPr>
          <w:p>
            <w:pPr>
              <w:jc w:val="right"/>
              <w:ind w:right="272"/>
              <w:spacing w:after="0"/>
              <w:rPr>
                <w:sz w:val="20"/>
                <w:szCs w:val="20"/>
                <w:color w:val="auto"/>
              </w:rPr>
            </w:pPr>
            <w:r>
              <w:rPr>
                <w:rFonts w:ascii="Arial" w:cs="Arial" w:eastAsia="Arial" w:hAnsi="Arial"/>
                <w:sz w:val="16"/>
                <w:szCs w:val="16"/>
                <w:b w:val="1"/>
                <w:bCs w:val="1"/>
                <w:color w:val="auto"/>
              </w:rPr>
              <w:t>Notes</w:t>
            </w:r>
          </w:p>
        </w:tc>
        <w:tc>
          <w:tcPr>
            <w:tcW w:w="380" w:type="dxa"/>
            <w:vAlign w:val="bottom"/>
          </w:tcPr>
          <w:p>
            <w:pPr>
              <w:spacing w:after="0"/>
              <w:rPr>
                <w:sz w:val="18"/>
                <w:szCs w:val="18"/>
                <w:color w:val="auto"/>
              </w:rPr>
            </w:pPr>
          </w:p>
        </w:tc>
        <w:tc>
          <w:tcPr>
            <w:tcW w:w="920" w:type="dxa"/>
            <w:vAlign w:val="bottom"/>
          </w:tcPr>
          <w:p>
            <w:pPr>
              <w:jc w:val="right"/>
              <w:ind w:right="311"/>
              <w:spacing w:after="0"/>
              <w:rPr>
                <w:sz w:val="20"/>
                <w:szCs w:val="20"/>
                <w:color w:val="auto"/>
              </w:rPr>
            </w:pPr>
            <w:r>
              <w:rPr>
                <w:rFonts w:ascii="Arial" w:cs="Arial" w:eastAsia="Arial" w:hAnsi="Arial"/>
                <w:sz w:val="16"/>
                <w:szCs w:val="16"/>
                <w:b w:val="1"/>
                <w:bCs w:val="1"/>
                <w:color w:val="auto"/>
              </w:rPr>
              <w:t>Total</w:t>
            </w:r>
          </w:p>
        </w:tc>
      </w:tr>
      <w:tr>
        <w:trPr>
          <w:trHeight w:val="33"/>
        </w:trPr>
        <w:tc>
          <w:tcPr>
            <w:tcW w:w="56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7"/>
        </w:trPr>
        <w:tc>
          <w:tcPr>
            <w:tcW w:w="5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20" w:type="dxa"/>
            <w:vAlign w:val="bottom"/>
            <w:gridSpan w:val="3"/>
          </w:tcPr>
          <w:p>
            <w:pPr>
              <w:jc w:val="right"/>
              <w:ind w:right="772"/>
              <w:spacing w:after="0"/>
              <w:rPr>
                <w:sz w:val="20"/>
                <w:szCs w:val="20"/>
                <w:color w:val="auto"/>
              </w:rPr>
            </w:pPr>
            <w:r>
              <w:rPr>
                <w:rFonts w:ascii="Arial" w:cs="Arial" w:eastAsia="Arial" w:hAnsi="Arial"/>
                <w:sz w:val="16"/>
                <w:szCs w:val="16"/>
                <w:b w:val="1"/>
                <w:bCs w:val="1"/>
                <w:color w:val="auto"/>
              </w:rPr>
              <w:t>(In millions)</w:t>
            </w: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5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w:t>
            </w: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1"/>
                <w:szCs w:val="21"/>
                <w:color w:val="auto"/>
              </w:rPr>
            </w:pPr>
          </w:p>
        </w:tc>
        <w:tc>
          <w:tcPr>
            <w:tcW w:w="1300" w:type="dxa"/>
            <w:vAlign w:val="bottom"/>
          </w:tcPr>
          <w:p>
            <w:pPr>
              <w:jc w:val="right"/>
              <w:ind w:right="73"/>
              <w:spacing w:after="0"/>
              <w:rPr>
                <w:sz w:val="20"/>
                <w:szCs w:val="20"/>
                <w:color w:val="auto"/>
              </w:rPr>
            </w:pPr>
            <w:r>
              <w:rPr>
                <w:rFonts w:ascii="Arial" w:cs="Arial" w:eastAsia="Arial" w:hAnsi="Arial"/>
                <w:sz w:val="18"/>
                <w:szCs w:val="18"/>
                <w:color w:val="auto"/>
              </w:rPr>
              <w:t>7.9</w:t>
            </w:r>
          </w:p>
        </w:tc>
        <w:tc>
          <w:tcPr>
            <w:tcW w:w="240" w:type="dxa"/>
            <w:vAlign w:val="bottom"/>
          </w:tcPr>
          <w:p>
            <w:pPr>
              <w:spacing w:after="0"/>
              <w:rPr>
                <w:sz w:val="21"/>
                <w:szCs w:val="21"/>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0.9</w:t>
            </w:r>
          </w:p>
        </w:tc>
        <w:tc>
          <w:tcPr>
            <w:tcW w:w="28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8.8</w:t>
            </w:r>
          </w:p>
        </w:tc>
      </w:tr>
      <w:tr>
        <w:trPr>
          <w:trHeight w:val="27"/>
        </w:trPr>
        <w:tc>
          <w:tcPr>
            <w:tcW w:w="5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13.1</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13.1</w:t>
            </w: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1"/>
                <w:szCs w:val="21"/>
                <w:color w:val="auto"/>
              </w:rPr>
            </w:pPr>
          </w:p>
        </w:tc>
        <w:tc>
          <w:tcPr>
            <w:tcW w:w="1300" w:type="dxa"/>
            <w:vAlign w:val="bottom"/>
          </w:tcPr>
          <w:p>
            <w:pPr>
              <w:jc w:val="right"/>
              <w:ind w:right="73"/>
              <w:spacing w:after="0"/>
              <w:rPr>
                <w:sz w:val="20"/>
                <w:szCs w:val="20"/>
                <w:color w:val="auto"/>
              </w:rPr>
            </w:pPr>
            <w:r>
              <w:rPr>
                <w:rFonts w:ascii="Arial" w:cs="Arial" w:eastAsia="Arial" w:hAnsi="Arial"/>
                <w:sz w:val="18"/>
                <w:szCs w:val="18"/>
                <w:color w:val="auto"/>
              </w:rPr>
              <w:t>6.4</w:t>
            </w:r>
          </w:p>
        </w:tc>
        <w:tc>
          <w:tcPr>
            <w:tcW w:w="240" w:type="dxa"/>
            <w:vAlign w:val="bottom"/>
          </w:tcPr>
          <w:p>
            <w:pPr>
              <w:spacing w:after="0"/>
              <w:rPr>
                <w:sz w:val="21"/>
                <w:szCs w:val="21"/>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6.4</w:t>
            </w:r>
          </w:p>
        </w:tc>
      </w:tr>
      <w:tr>
        <w:trPr>
          <w:trHeight w:val="27"/>
        </w:trPr>
        <w:tc>
          <w:tcPr>
            <w:tcW w:w="5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1.3</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w:t>
            </w: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Prior</w:t>
            </w:r>
          </w:p>
        </w:tc>
        <w:tc>
          <w:tcPr>
            <w:tcW w:w="100" w:type="dxa"/>
            <w:vAlign w:val="bottom"/>
          </w:tcPr>
          <w:p>
            <w:pPr>
              <w:spacing w:after="0"/>
              <w:rPr>
                <w:sz w:val="21"/>
                <w:szCs w:val="21"/>
                <w:color w:val="auto"/>
              </w:rPr>
            </w:pPr>
          </w:p>
        </w:tc>
        <w:tc>
          <w:tcPr>
            <w:tcW w:w="1300" w:type="dxa"/>
            <w:vAlign w:val="bottom"/>
          </w:tcPr>
          <w:p>
            <w:pPr>
              <w:jc w:val="right"/>
              <w:ind w:right="73"/>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21"/>
                <w:szCs w:val="21"/>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24.1</w:t>
            </w:r>
          </w:p>
        </w:tc>
        <w:tc>
          <w:tcPr>
            <w:tcW w:w="28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50.0</w:t>
            </w:r>
          </w:p>
        </w:tc>
        <w:tc>
          <w:tcPr>
            <w:tcW w:w="38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74.3</w:t>
            </w:r>
          </w:p>
        </w:tc>
      </w:tr>
      <w:tr>
        <w:trPr>
          <w:trHeight w:val="27"/>
        </w:trPr>
        <w:tc>
          <w:tcPr>
            <w:tcW w:w="56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8"/>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29.3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26.3</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50.0</w:t>
            </w:r>
          </w:p>
        </w:tc>
        <w:tc>
          <w:tcPr>
            <w:tcW w:w="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105.6</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does not place its financing receivables in non-accrual status.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 Disclosures</w:t>
      </w:r>
    </w:p>
    <w:p>
      <w:pPr>
        <w:spacing w:after="0" w:line="256"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Company engages in leasing activity as both a lessee and a lessor. The majority of the Company's lease portfolio originated when the Company was actively involved in the development and financing of IHOP restaurants prior to the franchising of the restaurant to the franchisee. This activity included the Company's purchase or leasing of the site on which the restaurant was located and subsequently leasing/subleasing the site to the franchisee. With a few exceptions, the Company ended this practice in 2003 and the Company's current lease activity is predominantly comprised of renewals of existing lease arrangements and exercises of options on existing lease arrangements.</w:t>
      </w:r>
    </w:p>
    <w:p>
      <w:pPr>
        <w:spacing w:after="0" w:line="3" w:lineRule="exact"/>
        <w:rPr>
          <w:sz w:val="20"/>
          <w:szCs w:val="20"/>
          <w:color w:val="auto"/>
        </w:rPr>
      </w:pPr>
    </w:p>
    <w:p>
      <w:pPr>
        <w:ind w:right="100" w:firstLine="243"/>
        <w:spacing w:after="0" w:line="270" w:lineRule="auto"/>
        <w:rPr>
          <w:sz w:val="20"/>
          <w:szCs w:val="20"/>
          <w:color w:val="auto"/>
        </w:rPr>
      </w:pPr>
      <w:r>
        <w:rPr>
          <w:rFonts w:ascii="Arial" w:cs="Arial" w:eastAsia="Arial" w:hAnsi="Arial"/>
          <w:sz w:val="17"/>
          <w:szCs w:val="17"/>
          <w:color w:val="auto"/>
        </w:rPr>
        <w:t>The Company currently leases from third parties the real property on which approximately 600 IHOP franchisee-operated restaurants and one Applebee's franchisee-operated restaurant are located; the Company (as lessor) subleases the property to the franchisees that operate those restaurants. The Company also leases property it owns to the franchisees that operate approximately 60 IHOP restaurants and one Applebee's restaurant. The Company leases from third parties the real property on which 69 Applebee's company-operated restaurants are located. The Company also leases office space for its principal corporate office in Glendale, California and restaurant support centers in Kansas City, Missouri and Raleigh, North Carolina. The Company does not have a significant amount of non-real estate leases.</w:t>
      </w:r>
    </w:p>
    <w:p>
      <w:pPr>
        <w:spacing w:after="0" w:line="205" w:lineRule="exact"/>
        <w:rPr>
          <w:sz w:val="20"/>
          <w:szCs w:val="20"/>
          <w:color w:val="auto"/>
        </w:rPr>
      </w:pPr>
    </w:p>
    <w:p>
      <w:pPr>
        <w:ind w:firstLine="243"/>
        <w:spacing w:after="0" w:line="296" w:lineRule="auto"/>
        <w:rPr>
          <w:sz w:val="20"/>
          <w:szCs w:val="20"/>
          <w:color w:val="auto"/>
        </w:rPr>
      </w:pPr>
      <w:r>
        <w:rPr>
          <w:rFonts w:ascii="Arial" w:cs="Arial" w:eastAsia="Arial" w:hAnsi="Arial"/>
          <w:sz w:val="16"/>
          <w:szCs w:val="16"/>
          <w:color w:val="auto"/>
        </w:rPr>
        <w:t>The Company's existing leases/subleases related to IHOP restaurants generally provided for an initial term of 20 to 25 years, with most having one or more five-year renewal options. Leases related to Applebee's restaurants generally have an initial term of 10 to 20 years, with renewal terms of five to 20 years. Option periods were not included in determining liabilities and right-of-use assets related to operating leases. Approximately 140 of the Company's leases contain provisions requiring additional rent payments to the Company (as lessor) based on a percentage of restaurant sales. Approximately 250 of the Company's leases contain provisions requiring additional rent payments by the Company (as lessee) based on a percentage of restaurant sales.</w:t>
      </w:r>
    </w:p>
    <w:p>
      <w:pPr>
        <w:spacing w:after="0" w:line="188" w:lineRule="exact"/>
        <w:rPr>
          <w:sz w:val="20"/>
          <w:szCs w:val="20"/>
          <w:color w:val="auto"/>
        </w:rPr>
      </w:pPr>
    </w:p>
    <w:p>
      <w:pPr>
        <w:ind w:right="100" w:firstLine="243"/>
        <w:spacing w:after="0" w:line="275" w:lineRule="auto"/>
        <w:rPr>
          <w:sz w:val="20"/>
          <w:szCs w:val="20"/>
          <w:color w:val="auto"/>
        </w:rPr>
      </w:pPr>
      <w:r>
        <w:rPr>
          <w:rFonts w:ascii="Arial" w:cs="Arial" w:eastAsia="Arial" w:hAnsi="Arial"/>
          <w:sz w:val="17"/>
          <w:szCs w:val="17"/>
          <w:color w:val="auto"/>
        </w:rPr>
        <w:t>The individual lease agreements do not provide information to determine the implicit interest rate in the agreements. The Company made significant judgments in determining the incremental borrowing rates that were used in calculating operating lease liabilities as of the adoption date. Due to the large number of leases, the Company applied a portfolio approach by grouping the leases based on the original lease term. The Company estimated the interest rate for each grouping primarily by reference to (i) yield rates on debt issuances by companies of a similar credit rating as the Company; (ii) U.S. Treasury rates as of the adoption date; and (iii) adjustments for differences in years to maturity.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Lease Disclosures (Continued)</w:t>
      </w:r>
    </w:p>
    <w:p>
      <w:pPr>
        <w:spacing w:after="0" w:line="200" w:lineRule="exact"/>
        <w:rPr>
          <w:sz w:val="20"/>
          <w:szCs w:val="20"/>
          <w:color w:val="auto"/>
        </w:rPr>
      </w:pPr>
    </w:p>
    <w:p>
      <w:pPr>
        <w:spacing w:after="0" w:line="23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Company's lease cost for the three and six months ended June 30, 2020 and 2019 was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2920" w:type="dxa"/>
            <w:vAlign w:val="bottom"/>
            <w:gridSpan w:val="5"/>
          </w:tcPr>
          <w:p>
            <w:pPr>
              <w:jc w:val="right"/>
              <w:ind w:right="333"/>
              <w:spacing w:after="0"/>
              <w:rPr>
                <w:sz w:val="20"/>
                <w:szCs w:val="20"/>
                <w:color w:val="auto"/>
              </w:rPr>
            </w:pPr>
            <w:r>
              <w:rPr>
                <w:rFonts w:ascii="Arial" w:cs="Arial" w:eastAsia="Arial" w:hAnsi="Arial"/>
                <w:sz w:val="16"/>
                <w:szCs w:val="16"/>
                <w:b w:val="1"/>
                <w:bCs w:val="1"/>
                <w:color w:val="auto"/>
              </w:rPr>
              <w:t>Three months ended June 30,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ind w:left="200"/>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17"/>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53"/>
              <w:spacing w:after="0"/>
              <w:rPr>
                <w:sz w:val="20"/>
                <w:szCs w:val="20"/>
                <w:color w:val="auto"/>
              </w:rPr>
            </w:pPr>
            <w:r>
              <w:rPr>
                <w:rFonts w:ascii="Arial" w:cs="Arial" w:eastAsia="Arial" w:hAnsi="Arial"/>
                <w:sz w:val="16"/>
                <w:szCs w:val="16"/>
                <w:b w:val="1"/>
                <w:bCs w:val="1"/>
                <w:color w:val="auto"/>
              </w:rPr>
              <w:t>2019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313"/>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ind w:right="392"/>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4"/>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84"/>
        </w:trPr>
        <w:tc>
          <w:tcPr>
            <w:tcW w:w="2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5"/>
        </w:trPr>
        <w:tc>
          <w:tcPr>
            <w:tcW w:w="20" w:type="dxa"/>
            <w:vAlign w:val="bottom"/>
          </w:tcPr>
          <w:p>
            <w:pPr>
              <w:spacing w:after="0"/>
              <w:rPr>
                <w:sz w:val="22"/>
                <w:szCs w:val="22"/>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Finance lease cost:</w:t>
            </w:r>
          </w:p>
        </w:tc>
        <w:tc>
          <w:tcPr>
            <w:tcW w:w="9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97"/>
        </w:trPr>
        <w:tc>
          <w:tcPr>
            <w:tcW w:w="20" w:type="dxa"/>
            <w:vAlign w:val="bottom"/>
          </w:tcPr>
          <w:p>
            <w:pPr>
              <w:spacing w:after="0"/>
              <w:rPr>
                <w:sz w:val="24"/>
                <w:szCs w:val="24"/>
                <w:color w:val="auto"/>
              </w:rPr>
            </w:pPr>
          </w:p>
        </w:tc>
        <w:tc>
          <w:tcPr>
            <w:tcW w:w="5420" w:type="dxa"/>
            <w:vAlign w:val="bottom"/>
          </w:tcPr>
          <w:p>
            <w:pPr>
              <w:ind w:left="240"/>
              <w:spacing w:after="0"/>
              <w:rPr>
                <w:sz w:val="20"/>
                <w:szCs w:val="20"/>
                <w:color w:val="auto"/>
              </w:rPr>
            </w:pPr>
            <w:r>
              <w:rPr>
                <w:rFonts w:ascii="Arial" w:cs="Arial" w:eastAsia="Arial" w:hAnsi="Arial"/>
                <w:sz w:val="18"/>
                <w:szCs w:val="18"/>
                <w:color w:val="auto"/>
              </w:rPr>
              <w:t>Amortization of right-of-use assets</w:t>
            </w:r>
          </w:p>
        </w:tc>
        <w:tc>
          <w:tcPr>
            <w:tcW w:w="980" w:type="dxa"/>
            <w:vAlign w:val="bottom"/>
          </w:tcPr>
          <w:p>
            <w:pPr>
              <w:jc w:val="right"/>
              <w:ind w:right="795"/>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1.3</w:t>
            </w:r>
          </w:p>
        </w:tc>
        <w:tc>
          <w:tcPr>
            <w:tcW w:w="40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4"/>
                <w:szCs w:val="24"/>
                <w:color w:val="auto"/>
              </w:rPr>
            </w:pP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4"/>
                <w:szCs w:val="24"/>
                <w:color w:val="auto"/>
              </w:rPr>
            </w:pPr>
          </w:p>
        </w:tc>
      </w:tr>
      <w:tr>
        <w:trPr>
          <w:trHeight w:val="270"/>
        </w:trPr>
        <w:tc>
          <w:tcPr>
            <w:tcW w:w="20" w:type="dxa"/>
            <w:vAlign w:val="bottom"/>
            <w:shd w:val="clear" w:color="auto" w:fill="CCEEFF"/>
          </w:tcPr>
          <w:p>
            <w:pPr>
              <w:spacing w:after="0"/>
              <w:rPr>
                <w:sz w:val="23"/>
                <w:szCs w:val="23"/>
                <w:color w:val="auto"/>
              </w:rPr>
            </w:pPr>
          </w:p>
        </w:tc>
        <w:tc>
          <w:tcPr>
            <w:tcW w:w="5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on lease liabilities</w:t>
            </w:r>
          </w:p>
        </w:tc>
        <w:tc>
          <w:tcPr>
            <w:tcW w:w="9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4.1</w:t>
            </w:r>
          </w:p>
        </w:tc>
        <w:tc>
          <w:tcPr>
            <w:tcW w:w="20" w:type="dxa"/>
            <w:vAlign w:val="bottom"/>
            <w:shd w:val="clear" w:color="auto" w:fill="CCEEFF"/>
          </w:tcPr>
          <w:p>
            <w:pPr>
              <w:spacing w:after="0"/>
              <w:rPr>
                <w:sz w:val="23"/>
                <w:szCs w:val="23"/>
                <w:color w:val="auto"/>
              </w:rPr>
            </w:pPr>
          </w:p>
        </w:tc>
      </w:tr>
      <w:tr>
        <w:trPr>
          <w:trHeight w:val="243"/>
        </w:trPr>
        <w:tc>
          <w:tcPr>
            <w:tcW w:w="20" w:type="dxa"/>
            <w:vAlign w:val="bottom"/>
          </w:tcPr>
          <w:p>
            <w:pPr>
              <w:spacing w:after="0"/>
              <w:rPr>
                <w:sz w:val="21"/>
                <w:szCs w:val="21"/>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Operating lease cost</w:t>
            </w:r>
          </w:p>
        </w:tc>
        <w:tc>
          <w:tcPr>
            <w:tcW w:w="980" w:type="dxa"/>
            <w:vAlign w:val="bottom"/>
          </w:tcPr>
          <w:p>
            <w:pPr>
              <w:spacing w:after="0"/>
              <w:rPr>
                <w:sz w:val="21"/>
                <w:szCs w:val="21"/>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26.6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26.8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53.2</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Variable lease cost</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Short-term lease cost</w:t>
            </w:r>
          </w:p>
        </w:tc>
        <w:tc>
          <w:tcPr>
            <w:tcW w:w="980" w:type="dxa"/>
            <w:vAlign w:val="bottom"/>
          </w:tcPr>
          <w:p>
            <w:pPr>
              <w:spacing w:after="0"/>
              <w:rPr>
                <w:sz w:val="21"/>
                <w:szCs w:val="21"/>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0.0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0.0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Sublease income</w:t>
            </w: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(21.5)</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63"/>
        </w:trPr>
        <w:tc>
          <w:tcPr>
            <w:tcW w:w="20" w:type="dxa"/>
            <w:vAlign w:val="bottom"/>
          </w:tcPr>
          <w:p>
            <w:pPr>
              <w:spacing w:after="0"/>
              <w:rPr>
                <w:sz w:val="22"/>
                <w:szCs w:val="22"/>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Lease cost</w:t>
            </w:r>
          </w:p>
        </w:tc>
        <w:tc>
          <w:tcPr>
            <w:tcW w:w="980" w:type="dxa"/>
            <w:vAlign w:val="bottom"/>
            <w:tcBorders>
              <w:top w:val="single" w:sz="8" w:color="auto"/>
              <w:bottom w:val="single" w:sz="8" w:color="auto"/>
            </w:tcBorders>
          </w:tcPr>
          <w:p>
            <w:pPr>
              <w:jc w:val="right"/>
              <w:ind w:right="795"/>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3.4</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5.8</w:t>
            </w:r>
          </w:p>
        </w:tc>
        <w:tc>
          <w:tcPr>
            <w:tcW w:w="20" w:type="dxa"/>
            <w:vAlign w:val="bottom"/>
            <w:tcBorders>
              <w:top w:val="single" w:sz="8" w:color="auto"/>
              <w:bottom w:val="single" w:sz="8" w:color="auto"/>
            </w:tcBorders>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561"/>
        </w:trPr>
        <w:tc>
          <w:tcPr>
            <w:tcW w:w="20" w:type="dxa"/>
            <w:vAlign w:val="bottom"/>
          </w:tcPr>
          <w:p>
            <w:pPr>
              <w:spacing w:after="0"/>
              <w:rPr>
                <w:sz w:val="24"/>
                <w:szCs w:val="24"/>
                <w:color w:val="auto"/>
              </w:rPr>
            </w:pPr>
          </w:p>
        </w:tc>
        <w:tc>
          <w:tcPr>
            <w:tcW w:w="8340" w:type="dxa"/>
            <w:vAlign w:val="bottom"/>
            <w:gridSpan w:val="6"/>
          </w:tcPr>
          <w:p>
            <w:pPr>
              <w:ind w:left="320"/>
              <w:spacing w:after="0"/>
              <w:rPr>
                <w:sz w:val="20"/>
                <w:szCs w:val="20"/>
                <w:color w:val="auto"/>
              </w:rPr>
            </w:pPr>
            <w:r>
              <w:rPr>
                <w:rFonts w:ascii="Arial" w:cs="Arial" w:eastAsia="Arial" w:hAnsi="Arial"/>
                <w:sz w:val="18"/>
                <w:szCs w:val="18"/>
                <w:color w:val="auto"/>
                <w:w w:val="92"/>
              </w:rPr>
              <w:t>Future minimum lease payments under noncancelable leases as lessee as of June 30, 2020 were as follows: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0"/>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Finance</w:t>
            </w:r>
          </w:p>
        </w:tc>
        <w:tc>
          <w:tcPr>
            <w:tcW w:w="360" w:type="dxa"/>
            <w:vAlign w:val="bottom"/>
          </w:tcPr>
          <w:p>
            <w:pPr>
              <w:spacing w:after="0"/>
              <w:rPr>
                <w:sz w:val="15"/>
                <w:szCs w:val="15"/>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Operating</w:t>
            </w:r>
          </w:p>
        </w:tc>
      </w:tr>
      <w:tr>
        <w:trPr>
          <w:trHeight w:val="192"/>
        </w:trPr>
        <w:tc>
          <w:tcPr>
            <w:tcW w:w="2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4"/>
              </w:rPr>
              <w:t>Leases</w:t>
            </w:r>
          </w:p>
        </w:tc>
        <w:tc>
          <w:tcPr>
            <w:tcW w:w="360" w:type="dxa"/>
            <w:vAlign w:val="bottom"/>
          </w:tcPr>
          <w:p>
            <w:pPr>
              <w:spacing w:after="0"/>
              <w:rPr>
                <w:sz w:val="16"/>
                <w:szCs w:val="16"/>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Leases</w:t>
            </w:r>
          </w:p>
        </w:tc>
      </w:tr>
      <w:tr>
        <w:trPr>
          <w:trHeight w:val="196"/>
        </w:trPr>
        <w:tc>
          <w:tcPr>
            <w:tcW w:w="2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56"/>
        </w:trPr>
        <w:tc>
          <w:tcPr>
            <w:tcW w:w="20" w:type="dxa"/>
            <w:vAlign w:val="bottom"/>
          </w:tcPr>
          <w:p>
            <w:pPr>
              <w:spacing w:after="0"/>
              <w:rPr>
                <w:sz w:val="22"/>
                <w:szCs w:val="22"/>
                <w:color w:val="auto"/>
              </w:rPr>
            </w:pPr>
          </w:p>
        </w:tc>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 (remaining six months)</w:t>
            </w:r>
          </w:p>
        </w:tc>
        <w:tc>
          <w:tcPr>
            <w:tcW w:w="9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52.3</w:t>
            </w:r>
          </w:p>
        </w:tc>
        <w:tc>
          <w:tcPr>
            <w:tcW w:w="20" w:type="dxa"/>
            <w:vAlign w:val="bottom"/>
          </w:tcPr>
          <w:p>
            <w:pPr>
              <w:spacing w:after="0"/>
              <w:rPr>
                <w:sz w:val="22"/>
                <w:szCs w:val="22"/>
                <w:color w:val="auto"/>
              </w:rPr>
            </w:pPr>
          </w:p>
        </w:tc>
      </w:tr>
      <w:tr>
        <w:trPr>
          <w:trHeight w:val="243"/>
        </w:trPr>
        <w:tc>
          <w:tcPr>
            <w:tcW w:w="544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85.4</w:t>
            </w:r>
          </w:p>
        </w:tc>
        <w:tc>
          <w:tcPr>
            <w:tcW w:w="20" w:type="dxa"/>
            <w:vAlign w:val="bottom"/>
          </w:tcPr>
          <w:p>
            <w:pPr>
              <w:spacing w:after="0"/>
              <w:rPr>
                <w:sz w:val="21"/>
                <w:szCs w:val="21"/>
                <w:color w:val="auto"/>
              </w:rPr>
            </w:pPr>
          </w:p>
        </w:tc>
      </w:tr>
      <w:tr>
        <w:trPr>
          <w:trHeight w:val="27"/>
        </w:trPr>
        <w:tc>
          <w:tcPr>
            <w:tcW w:w="544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77.9</w:t>
            </w:r>
          </w:p>
        </w:tc>
        <w:tc>
          <w:tcPr>
            <w:tcW w:w="20" w:type="dxa"/>
            <w:vAlign w:val="bottom"/>
          </w:tcPr>
          <w:p>
            <w:pPr>
              <w:spacing w:after="0"/>
              <w:rPr>
                <w:sz w:val="21"/>
                <w:szCs w:val="21"/>
                <w:color w:val="auto"/>
              </w:rPr>
            </w:pPr>
          </w:p>
        </w:tc>
      </w:tr>
      <w:tr>
        <w:trPr>
          <w:trHeight w:val="243"/>
        </w:trPr>
        <w:tc>
          <w:tcPr>
            <w:tcW w:w="5440" w:type="dxa"/>
            <w:vAlign w:val="bottom"/>
            <w:gridSpan w:val="2"/>
          </w:tcPr>
          <w:p>
            <w:pPr>
              <w:ind w:left="40"/>
              <w:spacing w:after="0"/>
              <w:rPr>
                <w:sz w:val="20"/>
                <w:szCs w:val="20"/>
                <w:color w:val="auto"/>
              </w:rPr>
            </w:pPr>
            <w:r>
              <w:rPr>
                <w:rFonts w:ascii="Arial" w:cs="Arial" w:eastAsia="Arial" w:hAnsi="Arial"/>
                <w:sz w:val="18"/>
                <w:szCs w:val="18"/>
                <w:color w:val="auto"/>
              </w:rPr>
              <w:t>2023</w:t>
            </w:r>
          </w:p>
        </w:tc>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64.9</w:t>
            </w:r>
          </w:p>
        </w:tc>
        <w:tc>
          <w:tcPr>
            <w:tcW w:w="20" w:type="dxa"/>
            <w:vAlign w:val="bottom"/>
          </w:tcPr>
          <w:p>
            <w:pPr>
              <w:spacing w:after="0"/>
              <w:rPr>
                <w:sz w:val="21"/>
                <w:szCs w:val="21"/>
                <w:color w:val="auto"/>
              </w:rPr>
            </w:pPr>
          </w:p>
        </w:tc>
      </w:tr>
      <w:tr>
        <w:trPr>
          <w:trHeight w:val="27"/>
        </w:trPr>
        <w:tc>
          <w:tcPr>
            <w:tcW w:w="544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59.6</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4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58.2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184.7</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4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minimum lease payments</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121.6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524.8</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420" w:type="dxa"/>
            <w:vAlign w:val="bottom"/>
          </w:tcPr>
          <w:p>
            <w:pPr>
              <w:ind w:left="20"/>
              <w:spacing w:after="0"/>
              <w:rPr>
                <w:sz w:val="20"/>
                <w:szCs w:val="20"/>
                <w:color w:val="auto"/>
              </w:rPr>
            </w:pPr>
            <w:r>
              <w:rPr>
                <w:rFonts w:ascii="Arial" w:cs="Arial" w:eastAsia="Arial" w:hAnsi="Arial"/>
                <w:sz w:val="18"/>
                <w:szCs w:val="18"/>
                <w:color w:val="auto"/>
              </w:rPr>
              <w:t>Less: interest/imputed interest</w:t>
            </w:r>
          </w:p>
        </w:tc>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(102.6)</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4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obligations</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86.6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422.2</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420" w:type="dxa"/>
            <w:vAlign w:val="bottom"/>
          </w:tcPr>
          <w:p>
            <w:pPr>
              <w:ind w:left="20"/>
              <w:spacing w:after="0"/>
              <w:rPr>
                <w:sz w:val="20"/>
                <w:szCs w:val="20"/>
                <w:color w:val="auto"/>
              </w:rPr>
            </w:pPr>
            <w:r>
              <w:rPr>
                <w:rFonts w:ascii="Arial" w:cs="Arial" w:eastAsia="Arial" w:hAnsi="Arial"/>
                <w:sz w:val="18"/>
                <w:szCs w:val="18"/>
                <w:color w:val="auto"/>
              </w:rPr>
              <w:t>Less: current portion</w:t>
            </w:r>
          </w:p>
        </w:tc>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(71.8)</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4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88"/>
        </w:trPr>
        <w:tc>
          <w:tcPr>
            <w:tcW w:w="20" w:type="dxa"/>
            <w:vAlign w:val="bottom"/>
          </w:tcPr>
          <w:p>
            <w:pPr>
              <w:spacing w:after="0"/>
              <w:rPr>
                <w:sz w:val="24"/>
                <w:szCs w:val="24"/>
                <w:color w:val="auto"/>
              </w:rPr>
            </w:pPr>
          </w:p>
        </w:tc>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lease obligations</w:t>
            </w:r>
          </w:p>
        </w:tc>
        <w:tc>
          <w:tcPr>
            <w:tcW w:w="9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74.1</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350.4</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37"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The weighted average remaining lease term as of June 30, 2020 was 8.9 years for finance leases and 7.5 years for operating leases. The weighted average discount rate as of June 30, 2020 was 10.3% for finance leases and 5.7% for operating leases.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three and six months ended June 30, 2020 and 2019, the Company made the following cash payments for leases: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20" w:type="dxa"/>
            <w:vAlign w:val="bottom"/>
          </w:tcPr>
          <w:p>
            <w:pPr>
              <w:spacing w:after="0"/>
              <w:rPr>
                <w:sz w:val="18"/>
                <w:szCs w:val="18"/>
                <w:color w:val="auto"/>
              </w:rPr>
            </w:pPr>
          </w:p>
        </w:tc>
        <w:tc>
          <w:tcPr>
            <w:tcW w:w="2520" w:type="dxa"/>
            <w:vAlign w:val="bottom"/>
            <w:gridSpan w:val="3"/>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60" w:type="dxa"/>
            <w:vAlign w:val="bottom"/>
            <w:gridSpan w:val="3"/>
          </w:tcPr>
          <w:p>
            <w:pPr>
              <w:ind w:left="120"/>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53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ind w:left="120"/>
              <w:spacing w:after="0"/>
              <w:rPr>
                <w:sz w:val="20"/>
                <w:szCs w:val="20"/>
                <w:color w:val="auto"/>
              </w:rPr>
            </w:pPr>
            <w:r>
              <w:rPr>
                <w:rFonts w:ascii="Arial" w:cs="Arial" w:eastAsia="Arial" w:hAnsi="Arial"/>
                <w:sz w:val="16"/>
                <w:szCs w:val="16"/>
                <w:b w:val="1"/>
                <w:bCs w:val="1"/>
                <w:color w:val="auto"/>
              </w:rPr>
              <w:t>2020</w:t>
            </w:r>
          </w:p>
        </w:tc>
        <w:tc>
          <w:tcPr>
            <w:tcW w:w="480" w:type="dxa"/>
            <w:vAlign w:val="bottom"/>
          </w:tcPr>
          <w:p>
            <w:pPr>
              <w:spacing w:after="0"/>
              <w:rPr>
                <w:sz w:val="18"/>
                <w:szCs w:val="18"/>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2019</w:t>
            </w:r>
          </w:p>
        </w:tc>
      </w:tr>
      <w:tr>
        <w:trPr>
          <w:trHeight w:val="33"/>
        </w:trPr>
        <w:tc>
          <w:tcPr>
            <w:tcW w:w="53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4"/>
        </w:trPr>
        <w:tc>
          <w:tcPr>
            <w:tcW w:w="5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9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55"/>
        </w:trPr>
        <w:tc>
          <w:tcPr>
            <w:tcW w:w="5320" w:type="dxa"/>
            <w:vAlign w:val="bottom"/>
          </w:tcPr>
          <w:p>
            <w:pPr>
              <w:ind w:left="20"/>
              <w:spacing w:after="0"/>
              <w:rPr>
                <w:sz w:val="20"/>
                <w:szCs w:val="20"/>
                <w:color w:val="auto"/>
              </w:rPr>
            </w:pPr>
            <w:r>
              <w:rPr>
                <w:rFonts w:ascii="Arial" w:cs="Arial" w:eastAsia="Arial" w:hAnsi="Arial"/>
                <w:sz w:val="18"/>
                <w:szCs w:val="18"/>
                <w:color w:val="auto"/>
              </w:rPr>
              <w:t>Principal payments on finance lease obligations</w:t>
            </w:r>
          </w:p>
        </w:tc>
        <w:tc>
          <w:tcPr>
            <w:tcW w:w="1040" w:type="dxa"/>
            <w:vAlign w:val="bottom"/>
          </w:tcPr>
          <w:p>
            <w:pPr>
              <w:jc w:val="right"/>
              <w:ind w:right="833"/>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96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74"/>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6.0</w:t>
            </w:r>
          </w:p>
        </w:tc>
        <w:tc>
          <w:tcPr>
            <w:tcW w:w="4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7.0</w:t>
            </w:r>
          </w:p>
        </w:tc>
      </w:tr>
      <w:tr>
        <w:trPr>
          <w:trHeight w:val="27"/>
        </w:trPr>
        <w:tc>
          <w:tcPr>
            <w:tcW w:w="5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payments on finance lease obligations</w:t>
            </w:r>
          </w:p>
        </w:tc>
        <w:tc>
          <w:tcPr>
            <w:tcW w:w="1040" w:type="dxa"/>
            <w:vAlign w:val="bottom"/>
            <w:tcBorders>
              <w:bottom w:val="single" w:sz="8" w:color="CCEEFF"/>
            </w:tcBorders>
            <w:shd w:val="clear" w:color="auto" w:fill="CCEEFF"/>
          </w:tcPr>
          <w:p>
            <w:pPr>
              <w:jc w:val="right"/>
              <w:ind w:right="83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960" w:type="dxa"/>
            <w:vAlign w:val="bottom"/>
            <w:tcBorders>
              <w:bottom w:val="single" w:sz="8" w:color="CCEEFF"/>
            </w:tcBorders>
            <w:shd w:val="clear" w:color="auto" w:fill="CCEEFF"/>
          </w:tcPr>
          <w:p>
            <w:pPr>
              <w:jc w:val="right"/>
              <w:ind w:right="652"/>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2.0</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3.4</w:t>
            </w:r>
          </w:p>
        </w:tc>
        <w:tc>
          <w:tcPr>
            <w:tcW w:w="4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4.1</w:t>
            </w: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Payments on operating leases</w:t>
            </w:r>
          </w:p>
        </w:tc>
        <w:tc>
          <w:tcPr>
            <w:tcW w:w="1040" w:type="dxa"/>
            <w:vAlign w:val="bottom"/>
          </w:tcPr>
          <w:p>
            <w:pPr>
              <w:jc w:val="right"/>
              <w:ind w:right="833"/>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23.0</w:t>
            </w:r>
          </w:p>
        </w:tc>
        <w:tc>
          <w:tcPr>
            <w:tcW w:w="96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74"/>
              <w:spacing w:after="0"/>
              <w:rPr>
                <w:sz w:val="20"/>
                <w:szCs w:val="20"/>
                <w:color w:val="auto"/>
              </w:rPr>
            </w:pPr>
            <w:r>
              <w:rPr>
                <w:rFonts w:ascii="Arial" w:cs="Arial" w:eastAsia="Arial" w:hAnsi="Arial"/>
                <w:sz w:val="18"/>
                <w:szCs w:val="18"/>
                <w:color w:val="auto"/>
                <w:w w:val="85"/>
              </w:rPr>
              <w:t>22.8</w:t>
            </w:r>
          </w:p>
        </w:tc>
        <w:tc>
          <w:tcPr>
            <w:tcW w:w="8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46.5</w:t>
            </w:r>
          </w:p>
        </w:tc>
        <w:tc>
          <w:tcPr>
            <w:tcW w:w="4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45.8</w:t>
            </w:r>
          </w:p>
        </w:tc>
      </w:tr>
      <w:tr>
        <w:trPr>
          <w:trHeight w:val="27"/>
        </w:trPr>
        <w:tc>
          <w:tcPr>
            <w:tcW w:w="5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payments</w:t>
            </w:r>
          </w:p>
        </w:tc>
        <w:tc>
          <w:tcPr>
            <w:tcW w:w="1040" w:type="dxa"/>
            <w:vAlign w:val="bottom"/>
            <w:shd w:val="clear" w:color="auto" w:fill="CCEEFF"/>
          </w:tcPr>
          <w:p>
            <w:pPr>
              <w:jc w:val="right"/>
              <w:ind w:right="833"/>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96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0.6</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0.5</w:t>
            </w:r>
          </w:p>
        </w:tc>
        <w:tc>
          <w:tcPr>
            <w:tcW w:w="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1.5</w:t>
            </w:r>
          </w:p>
        </w:tc>
      </w:tr>
      <w:tr>
        <w:trPr>
          <w:trHeight w:val="27"/>
        </w:trPr>
        <w:tc>
          <w:tcPr>
            <w:tcW w:w="5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Company's income from operating leases for the three and six months ended June 30, 2020 and 2019 was as follows:</w:t>
      </w:r>
    </w:p>
    <w:p>
      <w:pPr>
        <w:sectPr>
          <w:pgSz w:w="11900" w:h="16838" w:orient="portrait"/>
          <w:cols w:equalWidth="0" w:num="1">
            <w:col w:w="11240"/>
          </w:cols>
          <w:pgMar w:left="320" w:top="364" w:right="339"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Minimum lease payments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Variable lease income</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operating lease income</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260" w:type="dxa"/>
            <w:vAlign w:val="bottom"/>
          </w:tcPr>
          <w:p>
            <w:pPr>
              <w:spacing w:after="0"/>
              <w:rPr>
                <w:sz w:val="18"/>
                <w:szCs w:val="18"/>
                <w:color w:val="auto"/>
              </w:rPr>
            </w:pPr>
          </w:p>
        </w:tc>
        <w:tc>
          <w:tcPr>
            <w:tcW w:w="274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June 30,</w:t>
            </w:r>
          </w:p>
        </w:tc>
        <w:tc>
          <w:tcPr>
            <w:tcW w:w="280" w:type="dxa"/>
            <w:vAlign w:val="bottom"/>
          </w:tcPr>
          <w:p>
            <w:pPr>
              <w:spacing w:after="0"/>
              <w:rPr>
                <w:sz w:val="18"/>
                <w:szCs w:val="18"/>
                <w:color w:val="auto"/>
              </w:rPr>
            </w:pPr>
          </w:p>
        </w:tc>
        <w:tc>
          <w:tcPr>
            <w:tcW w:w="2520" w:type="dxa"/>
            <w:vAlign w:val="bottom"/>
            <w:gridSpan w:val="3"/>
          </w:tcPr>
          <w:p>
            <w:pPr>
              <w:jc w:val="right"/>
              <w:ind w:right="392"/>
              <w:spacing w:after="0"/>
              <w:rPr>
                <w:sz w:val="20"/>
                <w:szCs w:val="20"/>
                <w:color w:val="auto"/>
              </w:rPr>
            </w:pPr>
            <w:r>
              <w:rPr>
                <w:rFonts w:ascii="Arial" w:cs="Arial" w:eastAsia="Arial" w:hAnsi="Arial"/>
                <w:sz w:val="16"/>
                <w:szCs w:val="16"/>
                <w:b w:val="1"/>
                <w:bCs w:val="1"/>
                <w:color w:val="auto"/>
                <w:w w:val="97"/>
              </w:rPr>
              <w:t>Six months ended June 30,</w:t>
            </w:r>
          </w:p>
        </w:tc>
      </w:tr>
      <w:tr>
        <w:trPr>
          <w:trHeight w:val="33"/>
        </w:trPr>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260" w:type="dxa"/>
            <w:vAlign w:val="bottom"/>
          </w:tcPr>
          <w:p>
            <w:pPr>
              <w:spacing w:after="0"/>
              <w:rPr>
                <w:sz w:val="18"/>
                <w:szCs w:val="18"/>
                <w:color w:val="auto"/>
              </w:rPr>
            </w:pPr>
          </w:p>
        </w:tc>
        <w:tc>
          <w:tcPr>
            <w:tcW w:w="1140" w:type="dxa"/>
            <w:vAlign w:val="bottom"/>
          </w:tcPr>
          <w:p>
            <w:pPr>
              <w:jc w:val="right"/>
              <w:ind w:right="454"/>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436"/>
              <w:spacing w:after="0"/>
              <w:rPr>
                <w:sz w:val="20"/>
                <w:szCs w:val="20"/>
                <w:color w:val="auto"/>
              </w:rPr>
            </w:pPr>
            <w:r>
              <w:rPr>
                <w:rFonts w:ascii="Arial" w:cs="Arial" w:eastAsia="Arial" w:hAnsi="Arial"/>
                <w:sz w:val="16"/>
                <w:szCs w:val="16"/>
                <w:b w:val="1"/>
                <w:bCs w:val="1"/>
                <w:color w:val="auto"/>
              </w:rPr>
              <w:t>2020</w:t>
            </w:r>
          </w:p>
        </w:tc>
        <w:tc>
          <w:tcPr>
            <w:tcW w:w="520" w:type="dxa"/>
            <w:vAlign w:val="bottom"/>
          </w:tcPr>
          <w:p>
            <w:pPr>
              <w:spacing w:after="0"/>
              <w:rPr>
                <w:sz w:val="18"/>
                <w:szCs w:val="18"/>
                <w:color w:val="auto"/>
              </w:rPr>
            </w:pPr>
          </w:p>
        </w:tc>
        <w:tc>
          <w:tcPr>
            <w:tcW w:w="900" w:type="dxa"/>
            <w:vAlign w:val="bottom"/>
          </w:tcPr>
          <w:p>
            <w:pPr>
              <w:jc w:val="right"/>
              <w:ind w:right="392"/>
              <w:spacing w:after="0"/>
              <w:rPr>
                <w:sz w:val="20"/>
                <w:szCs w:val="20"/>
                <w:color w:val="auto"/>
              </w:rPr>
            </w:pPr>
            <w:r>
              <w:rPr>
                <w:rFonts w:ascii="Arial" w:cs="Arial" w:eastAsia="Arial" w:hAnsi="Arial"/>
                <w:sz w:val="16"/>
                <w:szCs w:val="16"/>
                <w:b w:val="1"/>
                <w:bCs w:val="1"/>
                <w:color w:val="auto"/>
              </w:rPr>
              <w:t>2019</w:t>
            </w:r>
          </w:p>
        </w:tc>
      </w:tr>
      <w:tr>
        <w:trPr>
          <w:trHeight w:val="33"/>
        </w:trPr>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4"/>
        </w:trPr>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Pr>
          <w:p>
            <w:pPr>
              <w:spacing w:after="0"/>
              <w:rPr>
                <w:sz w:val="16"/>
                <w:szCs w:val="16"/>
                <w:color w:val="auto"/>
              </w:rPr>
            </w:pPr>
          </w:p>
        </w:tc>
      </w:tr>
      <w:tr>
        <w:trPr>
          <w:trHeight w:val="255"/>
        </w:trPr>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74"/>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2"/>
                <w:szCs w:val="22"/>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56"/>
              <w:spacing w:after="0"/>
              <w:rPr>
                <w:sz w:val="20"/>
                <w:szCs w:val="20"/>
                <w:color w:val="auto"/>
              </w:rPr>
            </w:pPr>
            <w:r>
              <w:rPr>
                <w:rFonts w:ascii="Arial" w:cs="Arial" w:eastAsia="Arial" w:hAnsi="Arial"/>
                <w:sz w:val="18"/>
                <w:szCs w:val="18"/>
                <w:color w:val="auto"/>
              </w:rPr>
              <w:t>47.9</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51.1</w:t>
            </w:r>
          </w:p>
        </w:tc>
      </w:tr>
      <w:tr>
        <w:trPr>
          <w:trHeight w:val="270"/>
        </w:trPr>
        <w:tc>
          <w:tcPr>
            <w:tcW w:w="260" w:type="dxa"/>
            <w:vAlign w:val="bottom"/>
          </w:tcPr>
          <w:p>
            <w:pPr>
              <w:spacing w:after="0"/>
              <w:rPr>
                <w:sz w:val="23"/>
                <w:szCs w:val="23"/>
                <w:color w:val="auto"/>
              </w:rPr>
            </w:pPr>
          </w:p>
        </w:tc>
        <w:tc>
          <w:tcPr>
            <w:tcW w:w="1140" w:type="dxa"/>
            <w:vAlign w:val="bottom"/>
          </w:tcPr>
          <w:p>
            <w:pPr>
              <w:jc w:val="right"/>
              <w:ind w:right="74"/>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jc w:val="right"/>
              <w:ind w:right="56"/>
              <w:spacing w:after="0"/>
              <w:rPr>
                <w:sz w:val="20"/>
                <w:szCs w:val="20"/>
                <w:color w:val="auto"/>
              </w:rPr>
            </w:pPr>
            <w:r>
              <w:rPr>
                <w:rFonts w:ascii="Arial" w:cs="Arial" w:eastAsia="Arial" w:hAnsi="Arial"/>
                <w:sz w:val="18"/>
                <w:szCs w:val="18"/>
                <w:color w:val="auto"/>
              </w:rPr>
              <w:t>2.8</w:t>
            </w:r>
          </w:p>
        </w:tc>
        <w:tc>
          <w:tcPr>
            <w:tcW w:w="520" w:type="dxa"/>
            <w:vAlign w:val="bottom"/>
          </w:tcPr>
          <w:p>
            <w:pPr>
              <w:spacing w:after="0"/>
              <w:rPr>
                <w:sz w:val="23"/>
                <w:szCs w:val="23"/>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6.0</w:t>
            </w:r>
          </w:p>
        </w:tc>
      </w:tr>
      <w:tr>
        <w:trPr>
          <w:trHeight w:val="27"/>
        </w:trPr>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6"/>
        </w:trPr>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74"/>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56"/>
              <w:spacing w:after="0"/>
              <w:rPr>
                <w:sz w:val="20"/>
                <w:szCs w:val="20"/>
                <w:color w:val="auto"/>
              </w:rPr>
            </w:pPr>
            <w:r>
              <w:rPr>
                <w:rFonts w:ascii="Arial" w:cs="Arial" w:eastAsia="Arial" w:hAnsi="Arial"/>
                <w:sz w:val="18"/>
                <w:szCs w:val="18"/>
                <w:color w:val="auto"/>
              </w:rPr>
              <w:t>50.7</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57.1</w:t>
            </w:r>
          </w:p>
        </w:tc>
      </w:tr>
      <w:tr>
        <w:trPr>
          <w:trHeight w:val="27"/>
        </w:trPr>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
        </w:trPr>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-384810</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20" w:space="720"/>
            <w:col w:w="5800"/>
          </w:cols>
          <w:pgMar w:left="320" w:top="364" w:right="339" w:bottom="11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15"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9300" w:type="dxa"/>
            <w:vAlign w:val="bottom"/>
          </w:tcPr>
          <w:p>
            <w:pPr>
              <w:ind w:left="3700"/>
              <w:spacing w:after="0"/>
              <w:rPr>
                <w:sz w:val="20"/>
                <w:szCs w:val="20"/>
                <w:color w:val="auto"/>
              </w:rPr>
            </w:pPr>
            <w:r>
              <w:rPr>
                <w:rFonts w:ascii="Arial" w:cs="Arial" w:eastAsia="Arial" w:hAnsi="Arial"/>
                <w:sz w:val="18"/>
                <w:szCs w:val="18"/>
                <w:b w:val="1"/>
                <w:bCs w:val="1"/>
                <w:color w:val="auto"/>
              </w:rPr>
              <w:t>Dine Brands Global, Inc. and Subsidiaries</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4"/>
        </w:trPr>
        <w:tc>
          <w:tcPr>
            <w:tcW w:w="300" w:type="dxa"/>
            <w:vAlign w:val="bottom"/>
          </w:tcPr>
          <w:p>
            <w:pPr>
              <w:spacing w:after="0"/>
              <w:rPr>
                <w:sz w:val="20"/>
                <w:szCs w:val="20"/>
                <w:color w:val="auto"/>
              </w:rPr>
            </w:pPr>
          </w:p>
        </w:tc>
        <w:tc>
          <w:tcPr>
            <w:tcW w:w="9300" w:type="dxa"/>
            <w:vAlign w:val="bottom"/>
          </w:tcPr>
          <w:p>
            <w:pPr>
              <w:ind w:left="3160"/>
              <w:spacing w:after="0"/>
              <w:rPr>
                <w:sz w:val="20"/>
                <w:szCs w:val="20"/>
                <w:color w:val="auto"/>
              </w:rPr>
            </w:pPr>
            <w:r>
              <w:rPr>
                <w:rFonts w:ascii="Arial" w:cs="Arial" w:eastAsia="Arial" w:hAnsi="Arial"/>
                <w:sz w:val="18"/>
                <w:szCs w:val="18"/>
                <w:b w:val="1"/>
                <w:bCs w:val="1"/>
                <w:color w:val="auto"/>
              </w:rPr>
              <w:t>Notes to Consolidated Financial Statements (Continued)</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39"/>
        </w:trPr>
        <w:tc>
          <w:tcPr>
            <w:tcW w:w="9600" w:type="dxa"/>
            <w:vAlign w:val="bottom"/>
            <w:gridSpan w:val="2"/>
          </w:tcPr>
          <w:p>
            <w:pPr>
              <w:spacing w:after="0"/>
              <w:rPr>
                <w:sz w:val="20"/>
                <w:szCs w:val="20"/>
                <w:color w:val="auto"/>
              </w:rPr>
            </w:pPr>
            <w:r>
              <w:rPr>
                <w:rFonts w:ascii="Arial" w:cs="Arial" w:eastAsia="Arial" w:hAnsi="Arial"/>
                <w:sz w:val="16"/>
                <w:szCs w:val="16"/>
                <w:b w:val="1"/>
                <w:bCs w:val="1"/>
                <w:color w:val="auto"/>
              </w:rPr>
              <w:t>7. Lease Disclosures (Continued)</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641"/>
        </w:trPr>
        <w:tc>
          <w:tcPr>
            <w:tcW w:w="300" w:type="dxa"/>
            <w:vAlign w:val="bottom"/>
          </w:tcPr>
          <w:p>
            <w:pPr>
              <w:spacing w:after="0"/>
              <w:rPr>
                <w:sz w:val="24"/>
                <w:szCs w:val="24"/>
                <w:color w:val="auto"/>
              </w:rPr>
            </w:pPr>
          </w:p>
        </w:tc>
        <w:tc>
          <w:tcPr>
            <w:tcW w:w="9300" w:type="dxa"/>
            <w:vAlign w:val="bottom"/>
          </w:tcPr>
          <w:p>
            <w:pPr>
              <w:ind w:left="40"/>
              <w:spacing w:after="0"/>
              <w:rPr>
                <w:sz w:val="20"/>
                <w:szCs w:val="20"/>
                <w:color w:val="auto"/>
              </w:rPr>
            </w:pPr>
            <w:r>
              <w:rPr>
                <w:rFonts w:ascii="Arial" w:cs="Arial" w:eastAsia="Arial" w:hAnsi="Arial"/>
                <w:sz w:val="18"/>
                <w:szCs w:val="18"/>
                <w:color w:val="auto"/>
                <w:w w:val="96"/>
              </w:rPr>
              <w:t>Minimum payments to be received as lessor under noncancelable operating leases as of June 30, 2020 were as follows:</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7"/>
        </w:trPr>
        <w:tc>
          <w:tcPr>
            <w:tcW w:w="300" w:type="dxa"/>
            <w:vAlign w:val="bottom"/>
          </w:tcPr>
          <w:p>
            <w:pPr>
              <w:spacing w:after="0"/>
              <w:rPr>
                <w:sz w:val="18"/>
                <w:szCs w:val="18"/>
                <w:color w:val="auto"/>
              </w:rPr>
            </w:pPr>
          </w:p>
        </w:tc>
        <w:tc>
          <w:tcPr>
            <w:tcW w:w="9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212"/>
              <w:spacing w:after="0"/>
              <w:rPr>
                <w:sz w:val="20"/>
                <w:szCs w:val="20"/>
                <w:color w:val="auto"/>
              </w:rPr>
            </w:pPr>
            <w:r>
              <w:rPr>
                <w:rFonts w:ascii="Arial" w:cs="Arial" w:eastAsia="Arial" w:hAnsi="Arial"/>
                <w:sz w:val="14"/>
                <w:szCs w:val="14"/>
                <w:b w:val="1"/>
                <w:bCs w:val="1"/>
                <w:color w:val="auto"/>
              </w:rPr>
              <w:t>(In millions)</w:t>
            </w:r>
          </w:p>
        </w:tc>
      </w:tr>
      <w:tr>
        <w:trPr>
          <w:trHeight w:val="255"/>
        </w:trPr>
        <w:tc>
          <w:tcPr>
            <w:tcW w:w="300" w:type="dxa"/>
            <w:vAlign w:val="bottom"/>
          </w:tcPr>
          <w:p>
            <w:pPr>
              <w:spacing w:after="0"/>
              <w:rPr>
                <w:sz w:val="22"/>
                <w:szCs w:val="22"/>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2020 (remaining six months)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53.0</w:t>
            </w:r>
          </w:p>
        </w:tc>
      </w:tr>
      <w:tr>
        <w:trPr>
          <w:trHeight w:val="27"/>
        </w:trPr>
        <w:tc>
          <w:tcPr>
            <w:tcW w:w="96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00" w:type="dxa"/>
            <w:vAlign w:val="bottom"/>
          </w:tcPr>
          <w:p>
            <w:pPr>
              <w:spacing w:after="0"/>
              <w:rPr>
                <w:sz w:val="21"/>
                <w:szCs w:val="21"/>
                <w:color w:val="auto"/>
              </w:rPr>
            </w:pPr>
          </w:p>
        </w:tc>
        <w:tc>
          <w:tcPr>
            <w:tcW w:w="9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99.4</w:t>
            </w:r>
          </w:p>
        </w:tc>
      </w:tr>
      <w:tr>
        <w:trPr>
          <w:trHeight w:val="243"/>
        </w:trPr>
        <w:tc>
          <w:tcPr>
            <w:tcW w:w="9600" w:type="dxa"/>
            <w:vAlign w:val="bottom"/>
            <w:gridSpan w:val="2"/>
          </w:tcPr>
          <w:p>
            <w:pPr>
              <w:ind w:left="30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96.7</w:t>
            </w:r>
          </w:p>
        </w:tc>
      </w:tr>
      <w:tr>
        <w:trPr>
          <w:trHeight w:val="27"/>
        </w:trPr>
        <w:tc>
          <w:tcPr>
            <w:tcW w:w="96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00" w:type="dxa"/>
            <w:vAlign w:val="bottom"/>
          </w:tcPr>
          <w:p>
            <w:pPr>
              <w:spacing w:after="0"/>
              <w:rPr>
                <w:sz w:val="21"/>
                <w:szCs w:val="21"/>
                <w:color w:val="auto"/>
              </w:rPr>
            </w:pPr>
          </w:p>
        </w:tc>
        <w:tc>
          <w:tcPr>
            <w:tcW w:w="9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93.0</w:t>
            </w:r>
          </w:p>
        </w:tc>
      </w:tr>
      <w:tr>
        <w:trPr>
          <w:trHeight w:val="243"/>
        </w:trPr>
        <w:tc>
          <w:tcPr>
            <w:tcW w:w="9600" w:type="dxa"/>
            <w:vAlign w:val="bottom"/>
            <w:gridSpan w:val="2"/>
          </w:tcPr>
          <w:p>
            <w:pPr>
              <w:ind w:left="30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85.3</w:t>
            </w:r>
          </w:p>
        </w:tc>
      </w:tr>
      <w:tr>
        <w:trPr>
          <w:trHeight w:val="27"/>
        </w:trPr>
        <w:tc>
          <w:tcPr>
            <w:tcW w:w="300" w:type="dxa"/>
            <w:vAlign w:val="bottom"/>
          </w:tcPr>
          <w:p>
            <w:pPr>
              <w:spacing w:after="0"/>
              <w:rPr>
                <w:sz w:val="2"/>
                <w:szCs w:val="2"/>
                <w:color w:val="auto"/>
              </w:rPr>
            </w:pPr>
          </w:p>
        </w:tc>
        <w:tc>
          <w:tcPr>
            <w:tcW w:w="9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300" w:type="dxa"/>
            <w:vAlign w:val="bottom"/>
          </w:tcPr>
          <w:p>
            <w:pPr>
              <w:spacing w:after="0"/>
              <w:rPr>
                <w:sz w:val="23"/>
                <w:szCs w:val="23"/>
                <w:color w:val="auto"/>
              </w:rPr>
            </w:pPr>
          </w:p>
        </w:tc>
        <w:tc>
          <w:tcPr>
            <w:tcW w:w="9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217.6</w:t>
            </w:r>
          </w:p>
        </w:tc>
      </w:tr>
      <w:tr>
        <w:trPr>
          <w:trHeight w:val="263"/>
        </w:trPr>
        <w:tc>
          <w:tcPr>
            <w:tcW w:w="300" w:type="dxa"/>
            <w:vAlign w:val="bottom"/>
          </w:tcPr>
          <w:p>
            <w:pPr>
              <w:spacing w:after="0"/>
              <w:rPr>
                <w:sz w:val="22"/>
                <w:szCs w:val="22"/>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Total minimum rents receivable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645.0</w:t>
            </w:r>
          </w:p>
        </w:tc>
      </w:tr>
      <w:tr>
        <w:trPr>
          <w:trHeight w:val="21"/>
        </w:trPr>
        <w:tc>
          <w:tcPr>
            <w:tcW w:w="30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Company's income from direct financing leases for the three and six months ended June 30, 2020 and 2019 was as follows:</w:t>
      </w:r>
    </w:p>
    <w:p>
      <w:pPr>
        <w:spacing w:after="0" w:line="64" w:lineRule="exact"/>
        <w:rPr>
          <w:sz w:val="20"/>
          <w:szCs w:val="20"/>
          <w:color w:val="auto"/>
        </w:rPr>
      </w:pPr>
    </w:p>
    <w:tbl>
      <w:tblPr>
        <w:tblLayout w:type="fixed"/>
        <w:tblInd w:w="240" w:type="dxa"/>
        <w:tblCellMar>
          <w:top w:w="0" w:type="dxa"/>
          <w:left w:w="0" w:type="dxa"/>
          <w:bottom w:w="0" w:type="dxa"/>
          <w:right w:w="0" w:type="dxa"/>
        </w:tblCellMar>
      </w:tblPr>
      <w:tr>
        <w:trPr>
          <w:trHeight w:val="210"/>
        </w:trPr>
        <w:tc>
          <w:tcPr>
            <w:tcW w:w="5000" w:type="dxa"/>
            <w:vAlign w:val="bottom"/>
          </w:tcPr>
          <w:p>
            <w:pPr>
              <w:spacing w:after="0"/>
              <w:rPr>
                <w:sz w:val="18"/>
                <w:szCs w:val="18"/>
                <w:color w:val="auto"/>
              </w:rPr>
            </w:pPr>
          </w:p>
        </w:tc>
        <w:tc>
          <w:tcPr>
            <w:tcW w:w="2820" w:type="dxa"/>
            <w:vAlign w:val="bottom"/>
            <w:gridSpan w:val="6"/>
          </w:tcPr>
          <w:p>
            <w:pPr>
              <w:ind w:left="340"/>
              <w:spacing w:after="0"/>
              <w:rPr>
                <w:sz w:val="20"/>
                <w:szCs w:val="20"/>
                <w:color w:val="auto"/>
              </w:rPr>
            </w:pPr>
            <w:r>
              <w:rPr>
                <w:rFonts w:ascii="Arial" w:cs="Arial" w:eastAsia="Arial" w:hAnsi="Arial"/>
                <w:sz w:val="16"/>
                <w:szCs w:val="16"/>
                <w:b w:val="1"/>
                <w:bCs w:val="1"/>
                <w:color w:val="auto"/>
              </w:rPr>
              <w:t>Three months ended June 30,</w:t>
            </w:r>
          </w:p>
        </w:tc>
        <w:tc>
          <w:tcPr>
            <w:tcW w:w="500" w:type="dxa"/>
            <w:vAlign w:val="bottom"/>
          </w:tcPr>
          <w:p>
            <w:pPr>
              <w:spacing w:after="0"/>
              <w:rPr>
                <w:sz w:val="18"/>
                <w:szCs w:val="18"/>
                <w:color w:val="auto"/>
              </w:rPr>
            </w:pPr>
          </w:p>
        </w:tc>
        <w:tc>
          <w:tcPr>
            <w:tcW w:w="2460" w:type="dxa"/>
            <w:vAlign w:val="bottom"/>
            <w:gridSpan w:val="3"/>
          </w:tcPr>
          <w:p>
            <w:pPr>
              <w:jc w:val="right"/>
              <w:ind w:right="472"/>
              <w:spacing w:after="0"/>
              <w:rPr>
                <w:sz w:val="20"/>
                <w:szCs w:val="20"/>
                <w:color w:val="auto"/>
              </w:rPr>
            </w:pPr>
            <w:r>
              <w:rPr>
                <w:rFonts w:ascii="Arial" w:cs="Arial" w:eastAsia="Arial" w:hAnsi="Arial"/>
                <w:sz w:val="16"/>
                <w:szCs w:val="16"/>
                <w:b w:val="1"/>
                <w:bCs w:val="1"/>
                <w:color w:val="auto"/>
                <w:w w:val="91"/>
              </w:rPr>
              <w:t>Six months ended June 30,</w:t>
            </w:r>
          </w:p>
        </w:tc>
      </w:tr>
      <w:tr>
        <w:trPr>
          <w:trHeight w:val="33"/>
        </w:trPr>
        <w:tc>
          <w:tcPr>
            <w:tcW w:w="50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0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35"/>
              <w:spacing w:after="0"/>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ind w:right="474"/>
              <w:spacing w:after="0"/>
              <w:rPr>
                <w:sz w:val="20"/>
                <w:szCs w:val="20"/>
                <w:color w:val="auto"/>
              </w:rPr>
            </w:pPr>
            <w:r>
              <w:rPr>
                <w:rFonts w:ascii="Arial" w:cs="Arial" w:eastAsia="Arial" w:hAnsi="Arial"/>
                <w:sz w:val="16"/>
                <w:szCs w:val="16"/>
                <w:b w:val="1"/>
                <w:bCs w:val="1"/>
                <w:color w:val="auto"/>
              </w:rPr>
              <w:t>2020</w:t>
            </w:r>
          </w:p>
        </w:tc>
        <w:tc>
          <w:tcPr>
            <w:tcW w:w="460" w:type="dxa"/>
            <w:vAlign w:val="bottom"/>
          </w:tcPr>
          <w:p>
            <w:pPr>
              <w:spacing w:after="0"/>
              <w:rPr>
                <w:sz w:val="18"/>
                <w:szCs w:val="18"/>
                <w:color w:val="auto"/>
              </w:rPr>
            </w:pPr>
          </w:p>
        </w:tc>
        <w:tc>
          <w:tcPr>
            <w:tcW w:w="1060" w:type="dxa"/>
            <w:vAlign w:val="bottom"/>
          </w:tcPr>
          <w:p>
            <w:pPr>
              <w:jc w:val="right"/>
              <w:ind w:right="432"/>
              <w:spacing w:after="0"/>
              <w:rPr>
                <w:sz w:val="20"/>
                <w:szCs w:val="20"/>
                <w:color w:val="auto"/>
              </w:rPr>
            </w:pPr>
            <w:r>
              <w:rPr>
                <w:rFonts w:ascii="Arial" w:cs="Arial" w:eastAsia="Arial" w:hAnsi="Arial"/>
                <w:sz w:val="16"/>
                <w:szCs w:val="16"/>
                <w:b w:val="1"/>
                <w:bCs w:val="1"/>
                <w:color w:val="auto"/>
              </w:rPr>
              <w:t>2019</w:t>
            </w:r>
          </w:p>
        </w:tc>
      </w:tr>
      <w:tr>
        <w:trPr>
          <w:trHeight w:val="33"/>
        </w:trPr>
        <w:tc>
          <w:tcPr>
            <w:tcW w:w="50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50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gridSpan w:val="3"/>
          </w:tcPr>
          <w:p>
            <w:pPr>
              <w:jc w:val="center"/>
              <w:ind w:left="695"/>
              <w:spacing w:after="0"/>
              <w:rPr>
                <w:sz w:val="20"/>
                <w:szCs w:val="20"/>
                <w:color w:val="auto"/>
              </w:rPr>
            </w:pPr>
            <w:r>
              <w:rPr>
                <w:rFonts w:ascii="Arial" w:cs="Arial" w:eastAsia="Arial" w:hAnsi="Arial"/>
                <w:sz w:val="14"/>
                <w:szCs w:val="14"/>
                <w:b w:val="1"/>
                <w:bCs w:val="1"/>
                <w:color w:val="auto"/>
                <w:w w:val="96"/>
              </w:rPr>
              <w:t>(In millions)</w:t>
            </w:r>
          </w:p>
        </w:tc>
        <w:tc>
          <w:tcPr>
            <w:tcW w:w="9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56"/>
        </w:trPr>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80" w:type="dxa"/>
            <w:vAlign w:val="bottom"/>
            <w:tcBorders>
              <w:bottom w:val="single" w:sz="8" w:color="CCEEFF"/>
            </w:tcBorders>
            <w:shd w:val="clear" w:color="auto" w:fill="CCEEFF"/>
          </w:tcPr>
          <w:p>
            <w:pPr>
              <w:jc w:val="right"/>
              <w:ind w:right="695"/>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0.8</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1.3</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center"/>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1.8</w:t>
            </w:r>
          </w:p>
        </w:tc>
        <w:tc>
          <w:tcPr>
            <w:tcW w:w="4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2.7</w:t>
            </w:r>
          </w:p>
        </w:tc>
      </w:tr>
      <w:tr>
        <w:trPr>
          <w:trHeight w:val="243"/>
        </w:trPr>
        <w:tc>
          <w:tcPr>
            <w:tcW w:w="5000" w:type="dxa"/>
            <w:vAlign w:val="bottom"/>
          </w:tcPr>
          <w:p>
            <w:pPr>
              <w:spacing w:after="0"/>
              <w:rPr>
                <w:sz w:val="20"/>
                <w:szCs w:val="20"/>
                <w:color w:val="auto"/>
              </w:rPr>
            </w:pPr>
            <w:r>
              <w:rPr>
                <w:rFonts w:ascii="Arial" w:cs="Arial" w:eastAsia="Arial" w:hAnsi="Arial"/>
                <w:sz w:val="18"/>
                <w:szCs w:val="18"/>
                <w:color w:val="auto"/>
              </w:rPr>
              <w:t>Variable lease income</w:t>
            </w:r>
          </w:p>
        </w:tc>
        <w:tc>
          <w:tcPr>
            <w:tcW w:w="880" w:type="dxa"/>
            <w:vAlign w:val="bottom"/>
          </w:tcPr>
          <w:p>
            <w:pPr>
              <w:spacing w:after="0"/>
              <w:rPr>
                <w:sz w:val="21"/>
                <w:szCs w:val="21"/>
                <w:color w:val="auto"/>
              </w:rPr>
            </w:pP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0.0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75"/>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ind w:right="74"/>
              <w:spacing w:after="0"/>
              <w:rPr>
                <w:sz w:val="20"/>
                <w:szCs w:val="20"/>
                <w:color w:val="auto"/>
              </w:rPr>
            </w:pPr>
            <w:r>
              <w:rPr>
                <w:rFonts w:ascii="Arial" w:cs="Arial" w:eastAsia="Arial" w:hAnsi="Arial"/>
                <w:sz w:val="18"/>
                <w:szCs w:val="18"/>
                <w:color w:val="auto"/>
              </w:rPr>
              <w:t>0.2</w:t>
            </w:r>
          </w:p>
        </w:tc>
        <w:tc>
          <w:tcPr>
            <w:tcW w:w="46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0.7</w:t>
            </w:r>
          </w:p>
        </w:tc>
      </w:tr>
      <w:tr>
        <w:trPr>
          <w:trHeight w:val="27"/>
        </w:trPr>
        <w:tc>
          <w:tcPr>
            <w:tcW w:w="50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9"/>
        </w:trPr>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lease income</w:t>
            </w:r>
          </w:p>
        </w:tc>
        <w:tc>
          <w:tcPr>
            <w:tcW w:w="880" w:type="dxa"/>
            <w:vAlign w:val="bottom"/>
            <w:tcBorders>
              <w:bottom w:val="single" w:sz="8" w:color="auto"/>
            </w:tcBorders>
            <w:shd w:val="clear" w:color="auto" w:fill="CCEEFF"/>
          </w:tcPr>
          <w:p>
            <w:pPr>
              <w:jc w:val="right"/>
              <w:ind w:right="695"/>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0.8</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1.6</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center"/>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2.0</w:t>
            </w:r>
          </w:p>
        </w:tc>
        <w:tc>
          <w:tcPr>
            <w:tcW w:w="4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3.4</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Minimum payments to be received as lessor under noncancelable direct financing leases as of June 30, 2020 were as follows:</w:t>
      </w:r>
    </w:p>
    <w:p>
      <w:pPr>
        <w:spacing w:after="0" w:line="55" w:lineRule="exact"/>
        <w:rPr>
          <w:sz w:val="20"/>
          <w:szCs w:val="20"/>
          <w:color w:val="auto"/>
        </w:rPr>
      </w:pPr>
    </w:p>
    <w:p>
      <w:pPr>
        <w:ind w:left="9860"/>
        <w:spacing w:after="0"/>
        <w:rPr>
          <w:sz w:val="20"/>
          <w:szCs w:val="20"/>
          <w:color w:val="auto"/>
        </w:rPr>
      </w:pPr>
      <w:r>
        <w:rPr>
          <w:rFonts w:ascii="Arial" w:cs="Arial" w:eastAsia="Arial" w:hAnsi="Arial"/>
          <w:sz w:val="14"/>
          <w:szCs w:val="14"/>
          <w:b w:val="1"/>
          <w:bCs w:val="1"/>
          <w:color w:val="auto"/>
        </w:rPr>
        <w:t>(In millions)</w:t>
      </w:r>
    </w:p>
    <w:p>
      <w:pPr>
        <w:sectPr>
          <w:pgSz w:w="11900" w:h="16838" w:orient="portrait"/>
          <w:cols w:equalWidth="0" w:num="1">
            <w:col w:w="11220"/>
          </w:cols>
          <w:pgMar w:left="320" w:top="364" w:right="359" w:bottom="588" w:gutter="0" w:footer="0" w:header="0"/>
        </w:sectPr>
      </w:pP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2020 (remaining six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31750</wp:posOffset>
            </wp:positionV>
            <wp:extent cx="673798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37985" cy="171450"/>
                    </a:xfrm>
                    <a:prstGeom prst="rect">
                      <a:avLst/>
                    </a:prstGeom>
                    <a:noFill/>
                  </pic:spPr>
                </pic:pic>
              </a:graphicData>
            </a:graphic>
          </wp:anchor>
        </w:drawing>
      </w:r>
    </w:p>
    <w:p>
      <w:pPr>
        <w:spacing w:after="0" w:line="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2021</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31750</wp:posOffset>
            </wp:positionV>
            <wp:extent cx="673798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37985" cy="171450"/>
                    </a:xfrm>
                    <a:prstGeom prst="rect">
                      <a:avLst/>
                    </a:prstGeom>
                    <a:noFill/>
                  </pic:spPr>
                </pic:pic>
              </a:graphicData>
            </a:graphic>
          </wp:anchor>
        </w:drawing>
      </w:r>
    </w:p>
    <w:p>
      <w:pPr>
        <w:spacing w:after="0" w:line="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2023</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31750</wp:posOffset>
            </wp:positionV>
            <wp:extent cx="673798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7985" cy="171450"/>
                    </a:xfrm>
                    <a:prstGeom prst="rect">
                      <a:avLst/>
                    </a:prstGeom>
                    <a:noFill/>
                  </pic:spPr>
                </pic:pic>
              </a:graphicData>
            </a:graphic>
          </wp:anchor>
        </w:drawing>
      </w:r>
    </w:p>
    <w:p>
      <w:pPr>
        <w:spacing w:after="0" w:line="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Thereafter</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minimum rents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31750</wp:posOffset>
            </wp:positionV>
            <wp:extent cx="673798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37985" cy="171450"/>
                    </a:xfrm>
                    <a:prstGeom prst="rect">
                      <a:avLst/>
                    </a:prstGeom>
                    <a:noFill/>
                  </pic:spPr>
                </pic:pic>
              </a:graphicData>
            </a:graphic>
          </wp:anchor>
        </w:drawing>
      </w:r>
    </w:p>
    <w:p>
      <w:pPr>
        <w:spacing w:after="0" w:line="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Less: unearned income</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net investment in direct financing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31750</wp:posOffset>
            </wp:positionV>
            <wp:extent cx="673798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7985" cy="171450"/>
                    </a:xfrm>
                    <a:prstGeom prst="rect">
                      <a:avLst/>
                    </a:prstGeom>
                    <a:noFill/>
                  </pic:spPr>
                </pic:pic>
              </a:graphicData>
            </a:graphic>
          </wp:anchor>
        </w:drawing>
      </w:r>
    </w:p>
    <w:p>
      <w:pPr>
        <w:spacing w:after="0" w:line="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Less: current portion</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Long-term investment in direct financing leases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Long-Term Debt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June 30, 2020 and December 31, 2019, long-term debt consisted of the following:</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jc w:val="both"/>
        <w:ind w:left="1460"/>
        <w:spacing w:after="0"/>
        <w:tabs>
          <w:tab w:leader="none" w:pos="24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6.4</w:t>
      </w:r>
    </w:p>
    <w:p>
      <w:pPr>
        <w:spacing w:after="0" w:line="63" w:lineRule="exact"/>
        <w:rPr>
          <w:sz w:val="20"/>
          <w:szCs w:val="20"/>
          <w:color w:val="auto"/>
        </w:rPr>
      </w:pPr>
    </w:p>
    <w:p>
      <w:pPr>
        <w:jc w:val="right"/>
        <w:ind w:right="420"/>
        <w:spacing w:after="0"/>
        <w:rPr>
          <w:sz w:val="20"/>
          <w:szCs w:val="20"/>
          <w:color w:val="auto"/>
        </w:rPr>
      </w:pPr>
      <w:r>
        <w:rPr>
          <w:rFonts w:ascii="Arial" w:cs="Arial" w:eastAsia="Arial" w:hAnsi="Arial"/>
          <w:sz w:val="18"/>
          <w:szCs w:val="18"/>
          <w:color w:val="auto"/>
        </w:rPr>
        <w:t>10.5</w:t>
      </w:r>
    </w:p>
    <w:p>
      <w:pPr>
        <w:spacing w:after="0" w:line="63" w:lineRule="exact"/>
        <w:rPr>
          <w:sz w:val="20"/>
          <w:szCs w:val="20"/>
          <w:color w:val="auto"/>
        </w:rPr>
      </w:pPr>
    </w:p>
    <w:p>
      <w:pPr>
        <w:jc w:val="right"/>
        <w:ind w:right="420"/>
        <w:spacing w:after="0"/>
        <w:rPr>
          <w:sz w:val="20"/>
          <w:szCs w:val="20"/>
          <w:color w:val="auto"/>
        </w:rPr>
      </w:pPr>
      <w:r>
        <w:rPr>
          <w:rFonts w:ascii="Arial" w:cs="Arial" w:eastAsia="Arial" w:hAnsi="Arial"/>
          <w:sz w:val="18"/>
          <w:szCs w:val="18"/>
          <w:color w:val="auto"/>
        </w:rPr>
        <w:t>7.6</w:t>
      </w:r>
    </w:p>
    <w:p>
      <w:pPr>
        <w:spacing w:after="0" w:line="63" w:lineRule="exact"/>
        <w:rPr>
          <w:sz w:val="20"/>
          <w:szCs w:val="20"/>
          <w:color w:val="auto"/>
        </w:rPr>
      </w:pPr>
    </w:p>
    <w:p>
      <w:pPr>
        <w:jc w:val="right"/>
        <w:ind w:right="420"/>
        <w:spacing w:after="0"/>
        <w:rPr>
          <w:sz w:val="20"/>
          <w:szCs w:val="20"/>
          <w:color w:val="auto"/>
        </w:rPr>
      </w:pPr>
      <w:r>
        <w:rPr>
          <w:rFonts w:ascii="Arial" w:cs="Arial" w:eastAsia="Arial" w:hAnsi="Arial"/>
          <w:sz w:val="18"/>
          <w:szCs w:val="18"/>
          <w:color w:val="auto"/>
        </w:rPr>
        <w:t>3.5</w:t>
      </w:r>
    </w:p>
    <w:p>
      <w:pPr>
        <w:spacing w:after="0" w:line="63" w:lineRule="exact"/>
        <w:rPr>
          <w:sz w:val="20"/>
          <w:szCs w:val="20"/>
          <w:color w:val="auto"/>
        </w:rPr>
      </w:pPr>
    </w:p>
    <w:p>
      <w:pPr>
        <w:jc w:val="right"/>
        <w:ind w:right="420"/>
        <w:spacing w:after="0"/>
        <w:rPr>
          <w:sz w:val="20"/>
          <w:szCs w:val="20"/>
          <w:color w:val="auto"/>
        </w:rPr>
      </w:pPr>
      <w:r>
        <w:rPr>
          <w:rFonts w:ascii="Arial" w:cs="Arial" w:eastAsia="Arial" w:hAnsi="Arial"/>
          <w:sz w:val="18"/>
          <w:szCs w:val="18"/>
          <w:color w:val="auto"/>
        </w:rPr>
        <w:t>1.3</w:t>
      </w:r>
    </w:p>
    <w:p>
      <w:pPr>
        <w:spacing w:after="0" w:line="63" w:lineRule="exact"/>
        <w:rPr>
          <w:sz w:val="20"/>
          <w:szCs w:val="20"/>
          <w:color w:val="auto"/>
        </w:rPr>
      </w:pPr>
    </w:p>
    <w:p>
      <w:pPr>
        <w:jc w:val="right"/>
        <w:ind w:right="4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909320</wp:posOffset>
            </wp:positionH>
            <wp:positionV relativeFrom="paragraph">
              <wp:posOffset>31750</wp:posOffset>
            </wp:positionV>
            <wp:extent cx="8743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57" w:lineRule="exact"/>
        <w:rPr>
          <w:sz w:val="20"/>
          <w:szCs w:val="20"/>
          <w:color w:val="auto"/>
        </w:rPr>
      </w:pPr>
    </w:p>
    <w:p>
      <w:pPr>
        <w:jc w:val="right"/>
        <w:ind w:right="420"/>
        <w:spacing w:after="0"/>
        <w:rPr>
          <w:sz w:val="20"/>
          <w:szCs w:val="20"/>
          <w:color w:val="auto"/>
        </w:rPr>
      </w:pPr>
      <w:r>
        <w:rPr>
          <w:rFonts w:ascii="Arial" w:cs="Arial" w:eastAsia="Arial" w:hAnsi="Arial"/>
          <w:sz w:val="18"/>
          <w:szCs w:val="18"/>
          <w:color w:val="auto"/>
        </w:rPr>
        <w:t>31.8</w:t>
      </w:r>
    </w:p>
    <w:p>
      <w:pPr>
        <w:spacing w:after="0" w:line="63" w:lineRule="exact"/>
        <w:rPr>
          <w:sz w:val="20"/>
          <w:szCs w:val="20"/>
          <w:color w:val="auto"/>
        </w:rPr>
      </w:pPr>
    </w:p>
    <w:p>
      <w:pPr>
        <w:jc w:val="right"/>
        <w:ind w:right="38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909320</wp:posOffset>
            </wp:positionH>
            <wp:positionV relativeFrom="paragraph">
              <wp:posOffset>31750</wp:posOffset>
            </wp:positionV>
            <wp:extent cx="8743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74395" cy="8890"/>
                    </a:xfrm>
                    <a:prstGeom prst="rect">
                      <a:avLst/>
                    </a:prstGeom>
                    <a:noFill/>
                  </pic:spPr>
                </pic:pic>
              </a:graphicData>
            </a:graphic>
          </wp:anchor>
        </w:drawing>
      </w:r>
    </w:p>
    <w:p>
      <w:pPr>
        <w:spacing w:after="0" w:line="57" w:lineRule="exact"/>
        <w:rPr>
          <w:sz w:val="20"/>
          <w:szCs w:val="20"/>
          <w:color w:val="auto"/>
        </w:rPr>
      </w:pPr>
    </w:p>
    <w:p>
      <w:pPr>
        <w:jc w:val="right"/>
        <w:ind w:right="420"/>
        <w:spacing w:after="0"/>
        <w:rPr>
          <w:sz w:val="20"/>
          <w:szCs w:val="20"/>
          <w:color w:val="auto"/>
        </w:rPr>
      </w:pPr>
      <w:r>
        <w:rPr>
          <w:rFonts w:ascii="Arial" w:cs="Arial" w:eastAsia="Arial" w:hAnsi="Arial"/>
          <w:sz w:val="18"/>
          <w:szCs w:val="18"/>
          <w:color w:val="auto"/>
        </w:rPr>
        <w:t>26.3</w:t>
      </w:r>
    </w:p>
    <w:p>
      <w:pPr>
        <w:spacing w:after="0" w:line="63" w:lineRule="exact"/>
        <w:rPr>
          <w:sz w:val="20"/>
          <w:szCs w:val="20"/>
          <w:color w:val="auto"/>
        </w:rPr>
      </w:pPr>
    </w:p>
    <w:p>
      <w:pPr>
        <w:jc w:val="right"/>
        <w:ind w:right="38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909320</wp:posOffset>
            </wp:positionH>
            <wp:positionV relativeFrom="paragraph">
              <wp:posOffset>31750</wp:posOffset>
            </wp:positionV>
            <wp:extent cx="8743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74395" cy="8890"/>
                    </a:xfrm>
                    <a:prstGeom prst="rect">
                      <a:avLst/>
                    </a:prstGeom>
                    <a:noFill/>
                  </pic:spPr>
                </pic:pic>
              </a:graphicData>
            </a:graphic>
          </wp:anchor>
        </w:drawing>
      </w:r>
    </w:p>
    <w:p>
      <w:pPr>
        <w:spacing w:after="0" w:line="57" w:lineRule="exact"/>
        <w:rPr>
          <w:sz w:val="20"/>
          <w:szCs w:val="20"/>
          <w:color w:val="auto"/>
        </w:rPr>
      </w:pPr>
    </w:p>
    <w:p>
      <w:pPr>
        <w:ind w:left="1460"/>
        <w:spacing w:after="0"/>
        <w:tabs>
          <w:tab w:leader="none" w:pos="2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909320</wp:posOffset>
            </wp:positionH>
            <wp:positionV relativeFrom="paragraph">
              <wp:posOffset>31750</wp:posOffset>
            </wp:positionV>
            <wp:extent cx="8743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74395" cy="8255"/>
                    </a:xfrm>
                    <a:prstGeom prst="rect">
                      <a:avLst/>
                    </a:prstGeom>
                    <a:noFill/>
                  </pic:spPr>
                </pic:pic>
              </a:graphicData>
            </a:graphic>
          </wp:anchor>
        </w:drawing>
        <w:drawing>
          <wp:anchor simplePos="0" relativeHeight="251657728" behindDoc="1" locked="0" layoutInCell="0" allowOverlap="1">
            <wp:simplePos x="0" y="0"/>
            <wp:positionH relativeFrom="column">
              <wp:posOffset>909320</wp:posOffset>
            </wp:positionH>
            <wp:positionV relativeFrom="paragraph">
              <wp:posOffset>57785</wp:posOffset>
            </wp:positionV>
            <wp:extent cx="8743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tabs>
          <w:tab w:leader="none" w:pos="1520" w:val="left"/>
        </w:tabs>
        <w:rPr>
          <w:sz w:val="20"/>
          <w:szCs w:val="20"/>
          <w:color w:val="auto"/>
        </w:rPr>
      </w:pPr>
      <w:r>
        <w:rPr>
          <w:rFonts w:ascii="Arial" w:cs="Arial" w:eastAsia="Arial" w:hAnsi="Arial"/>
          <w:sz w:val="14"/>
          <w:szCs w:val="14"/>
          <w:b w:val="1"/>
          <w:bCs w:val="1"/>
          <w:color w:val="auto"/>
        </w:rPr>
        <w:t>June 30, 2020</w:t>
      </w:r>
      <w:r>
        <w:rPr>
          <w:sz w:val="20"/>
          <w:szCs w:val="20"/>
          <w:color w:val="auto"/>
        </w:rPr>
        <w:tab/>
      </w:r>
      <w:r>
        <w:rPr>
          <w:rFonts w:ascii="Arial" w:cs="Arial" w:eastAsia="Arial" w:hAnsi="Arial"/>
          <w:sz w:val="12"/>
          <w:szCs w:val="12"/>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-238760</wp:posOffset>
            </wp:positionH>
            <wp:positionV relativeFrom="paragraph">
              <wp:posOffset>23495</wp:posOffset>
            </wp:positionV>
            <wp:extent cx="20828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35" w:lineRule="exact"/>
        <w:rPr>
          <w:sz w:val="20"/>
          <w:szCs w:val="20"/>
          <w:color w:val="auto"/>
        </w:rPr>
      </w:pPr>
    </w:p>
    <w:p>
      <w:pPr>
        <w:ind w:left="880"/>
        <w:spacing w:after="0"/>
        <w:rPr>
          <w:sz w:val="20"/>
          <w:szCs w:val="20"/>
          <w:color w:val="auto"/>
        </w:rPr>
      </w:pPr>
      <w:r>
        <w:rPr>
          <w:rFonts w:ascii="Arial" w:cs="Arial" w:eastAsia="Arial" w:hAnsi="Arial"/>
          <w:sz w:val="14"/>
          <w:szCs w:val="14"/>
          <w:b w:val="1"/>
          <w:bCs w:val="1"/>
          <w:color w:val="auto"/>
        </w:rPr>
        <w:t>(In millions)</w:t>
      </w:r>
    </w:p>
    <w:p>
      <w:pPr>
        <w:spacing w:after="0" w:line="45" w:lineRule="exact"/>
        <w:rPr>
          <w:sz w:val="20"/>
          <w:szCs w:val="20"/>
          <w:color w:val="auto"/>
        </w:rPr>
      </w:pPr>
    </w:p>
    <w:p>
      <w:pPr>
        <w:sectPr>
          <w:pgSz w:w="11900" w:h="16838" w:orient="portrait"/>
          <w:cols w:equalWidth="0" w:num="2">
            <w:col w:w="7400" w:space="720"/>
            <w:col w:w="3100"/>
          </w:cols>
          <w:pgMar w:left="320" w:top="364" w:right="359" w:bottom="588" w:gutter="0" w:footer="0" w:header="0"/>
          <w:type w:val="continuous"/>
        </w:sectPr>
      </w:pPr>
    </w:p>
    <w:tbl>
      <w:tblPr>
        <w:tblLayout w:type="fixed"/>
        <w:tblInd w:w="220" w:type="dxa"/>
        <w:tblCellMar>
          <w:top w:w="0" w:type="dxa"/>
          <w:left w:w="0" w:type="dxa"/>
          <w:bottom w:w="0" w:type="dxa"/>
          <w:right w:w="0" w:type="dxa"/>
        </w:tblCellMar>
      </w:tblPr>
      <w:tr>
        <w:trPr>
          <w:trHeight w:val="262"/>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Series 2019-1</w:t>
            </w: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4.194%</w:t>
            </w:r>
          </w:p>
        </w:tc>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Rate Senior Secured Notes, Class A-2-I</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700.0</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70"/>
        </w:trPr>
        <w:tc>
          <w:tcPr>
            <w:tcW w:w="1040" w:type="dxa"/>
            <w:vAlign w:val="bottom"/>
          </w:tcPr>
          <w:p>
            <w:pPr>
              <w:ind w:left="20"/>
              <w:spacing w:after="0"/>
              <w:rPr>
                <w:sz w:val="20"/>
                <w:szCs w:val="20"/>
                <w:color w:val="auto"/>
              </w:rPr>
            </w:pPr>
            <w:r>
              <w:rPr>
                <w:rFonts w:ascii="Arial" w:cs="Arial" w:eastAsia="Arial" w:hAnsi="Arial"/>
                <w:sz w:val="18"/>
                <w:szCs w:val="18"/>
                <w:color w:val="auto"/>
                <w:w w:val="89"/>
              </w:rPr>
              <w:t>Series 2019-1</w:t>
            </w:r>
          </w:p>
        </w:tc>
        <w:tc>
          <w:tcPr>
            <w:tcW w:w="600" w:type="dxa"/>
            <w:vAlign w:val="bottom"/>
          </w:tcPr>
          <w:p>
            <w:pPr>
              <w:ind w:left="20"/>
              <w:spacing w:after="0"/>
              <w:rPr>
                <w:sz w:val="20"/>
                <w:szCs w:val="20"/>
                <w:color w:val="auto"/>
              </w:rPr>
            </w:pPr>
            <w:r>
              <w:rPr>
                <w:rFonts w:ascii="Arial" w:cs="Arial" w:eastAsia="Arial" w:hAnsi="Arial"/>
                <w:sz w:val="18"/>
                <w:szCs w:val="18"/>
                <w:color w:val="auto"/>
                <w:w w:val="91"/>
              </w:rPr>
              <w:t>4.723%</w:t>
            </w:r>
          </w:p>
        </w:tc>
        <w:tc>
          <w:tcPr>
            <w:tcW w:w="5880" w:type="dxa"/>
            <w:vAlign w:val="bottom"/>
          </w:tcPr>
          <w:p>
            <w:pPr>
              <w:ind w:left="20"/>
              <w:spacing w:after="0"/>
              <w:rPr>
                <w:sz w:val="20"/>
                <w:szCs w:val="20"/>
                <w:color w:val="auto"/>
              </w:rPr>
            </w:pPr>
            <w:r>
              <w:rPr>
                <w:rFonts w:ascii="Arial" w:cs="Arial" w:eastAsia="Arial" w:hAnsi="Arial"/>
                <w:sz w:val="18"/>
                <w:szCs w:val="18"/>
                <w:color w:val="auto"/>
              </w:rPr>
              <w:t>Fixed Rate Senior Secured Notes, Class A-2-II</w:t>
            </w:r>
          </w:p>
        </w:tc>
        <w:tc>
          <w:tcPr>
            <w:tcW w:w="50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175"/>
        </w:trPr>
        <w:tc>
          <w:tcPr>
            <w:tcW w:w="10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89"/>
              </w:rPr>
              <w:t>Series 2019-1</w:t>
            </w:r>
          </w:p>
        </w:tc>
        <w:tc>
          <w:tcPr>
            <w:tcW w:w="64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Variable Funding Senior Notes Class A-1, variable interest rate of 3.18% at June 30,</w:t>
            </w:r>
          </w:p>
        </w:tc>
        <w:tc>
          <w:tcPr>
            <w:tcW w:w="5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220.0</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600" w:type="dxa"/>
            <w:vAlign w:val="bottom"/>
            <w:shd w:val="clear" w:color="auto" w:fill="CCEEFF"/>
          </w:tcPr>
          <w:p>
            <w:pPr>
              <w:spacing w:after="0"/>
              <w:rPr>
                <w:sz w:val="19"/>
                <w:szCs w:val="19"/>
                <w:color w:val="auto"/>
              </w:rPr>
            </w:pPr>
          </w:p>
        </w:tc>
        <w:tc>
          <w:tcPr>
            <w:tcW w:w="58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640" w:type="dxa"/>
            <w:vAlign w:val="bottom"/>
            <w:gridSpan w:val="2"/>
          </w:tcPr>
          <w:p>
            <w:pPr>
              <w:ind w:left="20"/>
              <w:spacing w:after="0"/>
              <w:rPr>
                <w:sz w:val="20"/>
                <w:szCs w:val="20"/>
                <w:color w:val="auto"/>
              </w:rPr>
            </w:pPr>
            <w:r>
              <w:rPr>
                <w:rFonts w:ascii="Arial" w:cs="Arial" w:eastAsia="Arial" w:hAnsi="Arial"/>
                <w:sz w:val="18"/>
                <w:szCs w:val="18"/>
                <w:color w:val="auto"/>
                <w:w w:val="99"/>
              </w:rPr>
              <w:t>Debt issuance costs</w:t>
            </w:r>
          </w:p>
        </w:tc>
        <w:tc>
          <w:tcPr>
            <w:tcW w:w="5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7520" w:type="dxa"/>
            <w:vAlign w:val="bottom"/>
            <w:tcBorders>
              <w:bottom w:val="single" w:sz="8" w:color="CCEEFF"/>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Long-term debt, net of debt issuance costs</w:t>
            </w: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1,506.9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1,288.2</w:t>
            </w:r>
          </w:p>
        </w:tc>
        <w:tc>
          <w:tcPr>
            <w:tcW w:w="0" w:type="dxa"/>
            <w:vAlign w:val="bottom"/>
          </w:tcPr>
          <w:p>
            <w:pPr>
              <w:spacing w:after="0"/>
              <w:rPr>
                <w:sz w:val="1"/>
                <w:szCs w:val="1"/>
                <w:color w:val="auto"/>
              </w:rPr>
            </w:pPr>
          </w:p>
        </w:tc>
      </w:tr>
      <w:tr>
        <w:trPr>
          <w:trHeight w:val="243"/>
        </w:trPr>
        <w:tc>
          <w:tcPr>
            <w:tcW w:w="7520" w:type="dxa"/>
            <w:vAlign w:val="bottom"/>
            <w:gridSpan w:val="3"/>
          </w:tcPr>
          <w:p>
            <w:pPr>
              <w:ind w:left="20"/>
              <w:spacing w:after="0"/>
              <w:rPr>
                <w:sz w:val="20"/>
                <w:szCs w:val="20"/>
                <w:color w:val="auto"/>
              </w:rPr>
            </w:pPr>
            <w:r>
              <w:rPr>
                <w:rFonts w:ascii="Arial" w:cs="Arial" w:eastAsia="Arial" w:hAnsi="Arial"/>
                <w:sz w:val="18"/>
                <w:szCs w:val="18"/>
                <w:color w:val="auto"/>
              </w:rPr>
              <w:t>Current portion of long-term debt</w:t>
            </w:r>
          </w:p>
        </w:tc>
        <w:tc>
          <w:tcPr>
            <w:tcW w:w="5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640" w:type="dxa"/>
            <w:vAlign w:val="bottom"/>
            <w:tcBorders>
              <w:bottom w:val="single" w:sz="8" w:color="CCEEFF"/>
            </w:tcBorders>
            <w:gridSpan w:val="2"/>
          </w:tcPr>
          <w:p>
            <w:pPr>
              <w:spacing w:after="0"/>
              <w:rPr>
                <w:sz w:val="2"/>
                <w:szCs w:val="2"/>
                <w:color w:val="auto"/>
              </w:rPr>
            </w:pPr>
          </w:p>
        </w:tc>
        <w:tc>
          <w:tcPr>
            <w:tcW w:w="58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1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58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1,497.1</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1,288.2</w:t>
            </w:r>
          </w:p>
        </w:tc>
        <w:tc>
          <w:tcPr>
            <w:tcW w:w="0" w:type="dxa"/>
            <w:vAlign w:val="bottom"/>
          </w:tcPr>
          <w:p>
            <w:pPr>
              <w:spacing w:after="0"/>
              <w:rPr>
                <w:sz w:val="1"/>
                <w:szCs w:val="1"/>
                <w:color w:val="auto"/>
              </w:rPr>
            </w:pPr>
          </w:p>
        </w:tc>
      </w:tr>
      <w:tr>
        <w:trPr>
          <w:trHeight w:val="20"/>
        </w:trPr>
        <w:tc>
          <w:tcPr>
            <w:tcW w:w="10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58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On June 5, 2019, Applebee’s Funding LLC and IHOP Funding LLC (the “Co-Issuers”), each a special purpose, wholly-owned indirect subsidiary of the Company, issued two tranches of fixed rate senior secured notes, the Series 2019-1 4.194% Fixed Rate Senior Secured Notes, Class A-2-I (“Class A-2-I Notes”) in an initial aggregate principal amount of $700 million and the Series 2019-1 4.723% Fixed Rate Senior Secured Notes, Class A-2-II (“Class A-2-II Notes”) in an initial aggregate</w:t>
      </w:r>
    </w:p>
    <w:p>
      <w:pPr>
        <w:sectPr>
          <w:pgSz w:w="11900" w:h="16838" w:orient="portrait"/>
          <w:cols w:equalWidth="0" w:num="1">
            <w:col w:w="11220"/>
          </w:cols>
          <w:pgMar w:left="320" w:top="364" w:right="359" w:bottom="588" w:gutter="0" w:footer="0" w:header="0"/>
          <w:type w:val="continuous"/>
        </w:sect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4" w:right="359" w:bottom="588" w:gutter="0" w:footer="0" w:header="0"/>
          <w:type w:val="continuous"/>
        </w:sectPr>
      </w:pPr>
    </w:p>
    <w:bookmarkStart w:id="21" w:name="page22"/>
    <w:bookmarkEnd w:id="2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Long-Term Debt (Continued)</w:t>
      </w:r>
    </w:p>
    <w:p>
      <w:pPr>
        <w:spacing w:after="0" w:line="200" w:lineRule="exact"/>
        <w:rPr>
          <w:sz w:val="20"/>
          <w:szCs w:val="20"/>
          <w:color w:val="auto"/>
        </w:rPr>
      </w:pPr>
    </w:p>
    <w:p>
      <w:pPr>
        <w:spacing w:after="0" w:line="31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principal amount of $600 million (the “Class A-2-II Notes” and, together with the Class A-2-I Notes, the “2019 Class A-2 Notes”). The 2019 Class A-2 Notes were issued pursuant to an offering exempt from registration under the Securities Act of 1933, as amended.</w:t>
      </w:r>
    </w:p>
    <w:p>
      <w:pPr>
        <w:spacing w:after="0" w:line="197"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The Co-Issuers also replaced their existing revolving financing facility, the 2018-1 Variable Funding Senior Notes, Class A-1 (“2018-1 Class A-1 Notes”), with a new revolving financing facility, the 2019-1 Variable Funding Senior Notes, Class A-1 (the “Revolver”), on substantially the same terms as the 2018-1 Class A-1 Notes in order to conform the term of the Revolver to the anticipated repayment dates for the 2019 Class A-2 Notes. The Revolver allows for drawings up to $225 million of variable funding notes and the issuance of letters of credit. The Revolver and the 2019 Class A-2 Notes are referred to collectively herein as the “New Notes.” The New Notes were issued in a securitization transaction pursuant to which substantially all the domestic revenue-generating assets and domestic intellectual property held by the Co-Issuers and certain other special-purpose, wholly-owned indirect subsidiaries of the Company (the “Guarantors”) were pledged as collateral to secure the New Notes.</w:t>
      </w:r>
    </w:p>
    <w:p>
      <w:pPr>
        <w:spacing w:after="0" w:line="204"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Company used the majority of the net proceeds of the offering to repay the entire outstanding balance of approximately $1.28 billion of Series 2014-1 4.277% Fixed Rate Senior Notes, Class A-2. The Company used the remaining proceeds of the offering to pay for transactions costs associated with the securitization refinancing transaction and for general corporate purposes.</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2019 Class A-2 Notes</w:t>
      </w:r>
    </w:p>
    <w:p>
      <w:pPr>
        <w:spacing w:after="0" w:line="256"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The New Notes were issued under a Base Indenture, dated as of September 30, 2014, and amended and restated as of June 5, 2019 (the “Base Indenture”), and the related Series 2019-1 Supplement to the Base Indenture, dated June 5, 2019 (the “Series 2019-1 Supplement”), among the Co-Issuers and Citibank, N.A., as the trustee (in such capacity, the “Trustee”) and securities intermediary. The Base Indenture and the Series 2019-1 Supplement (collectively, the “Indenture”) will allow the Co-Issuers to issue additional series of notes in the future subject to certain conditions set forth therein.</w:t>
      </w:r>
    </w:p>
    <w:p>
      <w:pPr>
        <w:spacing w:after="0" w:line="184"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legal final maturity of the 2019 Class A-2 Notes is in June 2049, but rapid amortization will apply if the Class A-2-I Notes are not repaid by June 2024 (the “Class A-2-I Anticipated Repayment Date”) and for the Class A-2-II Notes if not repaid by June 2026 (the “Class A-2-II Anticipated Repayment Date”). If the Co-Issuers have not repaid or refinanced the Class A-2-I Notes by the Class A-2-I Anticipated Repayment Date or the Class A-2-II Notes by the Class A-2-II Anticipated Repayment Date, then additional interest will accrue on the Class A-2-I Notes and the Class A-2-II Notes, as applicable, at the greater of: (A) 5.0% and (B) the amount, if any, by which the sum of the following exceeds the applicable Series 2019-1 Class A-2 Note interest rate: (x) the yield to maturity (adjusted to a quarterly bond-equivalent basis) on the applicable anticipated repayment date of the United States Treasury Security having a term closest to 10 years plus (y) 5.0%, plus (z) 2.15% for the Series 2019-1 Class A-2-I Notes and 2.64% for the Series 2019-1 Class A-2-II Notes.</w:t>
      </w:r>
    </w:p>
    <w:p>
      <w:pPr>
        <w:spacing w:after="0" w:line="219"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While the 2019 Class A-2 Notes are outstanding, payment of principal and interest is required to be made on the 2019 Class A-2 Notes on a quarterly basis. The quarterly principal payment of $3.25 million on the 2019 Class A-2 Notes may be suspended when the leverage ratio for the Company and its subsidiaries is less than or equal to 5.25x. In general, the leverage ratio is the Company's indebtedness (as defined in the Indenture) divided by adjusted EBITDA (as defined in the Indenture) for the four preceding quarterly periods. The complete definitions of all calculation elements of the leverage ratio are contained in the Base Indenture, dated as of September 30, 2014, amended and restated as of June 5, 2019.</w:t>
      </w:r>
    </w:p>
    <w:p>
      <w:pPr>
        <w:spacing w:after="0" w:line="188"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As of June 30, 2020, the Company's leverage ratio was 6.30x. As a result, the Company anticipates making a principal payment on the 2019 Class A-2 Notes of $3.25 million in the fourth quarter of 2020. Exceeding the leverage ratio of 5.25x does not violate any covenant related to the New Notes.</w:t>
      </w:r>
    </w:p>
    <w:p>
      <w:pPr>
        <w:spacing w:after="0" w:line="15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Company may voluntarily repay the 2019 Class A-2 Notes at any time; however, if we repay the 2019 Class A-2 Notes prior to certain dates we would be required to pay make-whole premiums. As of June 30, 2020, the make-whole premium associated with voluntary prepayment of the Class A-2-I Notes was approximately $48 million; this amount declines progressively each quarter to zero in June 2022. As of June 30, 2020, the make-whole premium associated with voluntary prepayment of the Class A-2-II Notes was approximately $87 million; this amount declines progressively each quarter to zero in June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2" w:name="page23"/>
    <w:bookmarkEnd w:id="2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Long-Term Debt (Continued)</w:t>
      </w:r>
    </w:p>
    <w:p>
      <w:pPr>
        <w:spacing w:after="0" w:line="27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Company would also be subject to a make-whole premium in the event of a mandatory prepayment required following a Rapid Amortization Event or certain asset dispositions. The mandatory make-whole premium requirements are considered derivatives embedded in the New Notes that must be bifurcated for separate valuation. We estimated the fair value of these derivatives to be immaterial as of June 30, 2020, based on the probability-weighted discounted cash flows associated with either event.</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2019 Class A-1 Notes</w:t>
      </w:r>
    </w:p>
    <w:p>
      <w:pPr>
        <w:spacing w:after="0" w:line="27"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The Co-Issuers also entered into the Revolver that allows for drawings up to $225 million of variable funding notes and the issuance of letters of credit. The 2019 Class A-1 Notes were issued under the Indenture. Drawings and certain additional terms related to the Revolver are governed by the 2019 Class A-1 Note Purchase Agreement, dated June 5, 2019, among the Co-Issuers, certain special-purpose, wholly-owned indirect subsidiaries of the Company, each as a Guarantor, the Company, as manager, certain conduit investors, financial institutions and funding agents, and Barclays Bank PLC, as provider of letters credit, swingline lender and administrative agent (the “Purchase Agreement”).</w:t>
      </w:r>
    </w:p>
    <w:p>
      <w:pPr>
        <w:spacing w:after="0" w:line="205" w:lineRule="exact"/>
        <w:rPr>
          <w:sz w:val="20"/>
          <w:szCs w:val="20"/>
          <w:color w:val="auto"/>
        </w:rPr>
      </w:pPr>
    </w:p>
    <w:p>
      <w:pPr>
        <w:ind w:right="180" w:firstLine="324"/>
        <w:spacing w:after="0" w:line="286" w:lineRule="auto"/>
        <w:rPr>
          <w:sz w:val="20"/>
          <w:szCs w:val="20"/>
          <w:color w:val="auto"/>
        </w:rPr>
      </w:pPr>
      <w:r>
        <w:rPr>
          <w:rFonts w:ascii="Arial" w:cs="Arial" w:eastAsia="Arial" w:hAnsi="Arial"/>
          <w:sz w:val="16"/>
          <w:szCs w:val="16"/>
          <w:color w:val="auto"/>
        </w:rPr>
        <w:t>The Revolver is governed, in part, by the Purchase Agreement and by certain generally applicable terms contained in the Indenture. The applicable interest rate under the Revolver depends on the type of borrowing by the Co-Issuers. The applicable interest rate for advances is generally calculated at a per annum rate equal to the commercial paper funding rate or one-, two-, three- or six-month Eurodollar Funding Rate, in either case, plus 2.15%. The applicable interest rate for swingline advances and unreimbursed draws on outstanding letters of credit is a per annum base rate equal to the sum of (a)</w:t>
      </w:r>
    </w:p>
    <w:p>
      <w:pPr>
        <w:spacing w:after="0" w:line="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1.15% plus (b) the greatest of (i) the Prime Rate in effect from time to time, (ii) the Federal Funds Rate in effect from time to time plus 0.50% and (iii) the one-month Eurodollar Funding Rate plus 1.00%. There is no upfront fee for the Revolver. There is a fee of 50 basis points on any unused portion of the revolving financing facility. Undrawn face amounts of outstanding letters of credit that are not cash collateralized accrue a fee of 2.15% per annum.</w:t>
      </w:r>
    </w:p>
    <w:p>
      <w:pPr>
        <w:spacing w:after="0" w:line="182"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During the six months ended June 30, 2020, the Company borrowed $220.0 million against the Revolver, all of which was outstanding at June 30, 2020. At June 30, 2020, $2.8 million was pledged against the Revolver for outstanding letters of credit, leaving $2.2 million available for borrowing. The letters of credit are used primarily to satisfy insurance-related collateral requirements. The maximum amount of the Revolver outstanding during the six months ended June 30, 2020 was $220.0 million and the weighted average interest rates for the three and six months ended June 30, 2020 were 3.15% and 3.18%, respectively. It is anticipated that any principal and interest on the Revolver will be repaid in full on or prior to the quarterly payment date in June 2024, subject to two additional one-year extensions at the option of the Company upon the satisfaction of certain conditions.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Covenants and Restrictions</w:t>
      </w:r>
    </w:p>
    <w:p>
      <w:pPr>
        <w:spacing w:after="0" w:line="256"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New Notes are subject to a series of covenants and restrictions customary for transactions of this type, including: (i) that the Co-Issuers maintain specified reserve accounts to be used to make required payments in respect of the New Notes, (ii) provisions relating to optional and mandatory prepayments, and the related payment of specified amounts, including specified call redemption premiums in the case of Class A-2 Notes under certain circumstances; (iii) certain indemnification payments in the event, among other things, the transfers of the assets pledged as collateral for the New Notes are in stated ways defective or ineffective and (iv) covenants relating to recordkeeping, access to information and similar matters. The New Notes are subject to customary rapid amortization events provided for in the Indenture, including events tied to failure of the Securitization Entities (as defined in the Indenture) to maintain the stated debt service coverage ratio (“DSCR”), the sum of domestic retail sales for all restaurants being below certain levels on certain measurement dates, certain manager termination events, certain events of default and the failure to repay or refinance the Class A-2 Notes on the anticipated repayment dates. The New Notes are also subject to certain customary events of default, including events relating to non-payment of required interest, principal or other amounts due on or with respect to the New Notes, failure of the Securitization Entities to maintain the stated DSCR, failure to comply with covenants within certain time frames, certain bankruptcy events, breaches of specified representations and warranties and certain judgments.</w:t>
      </w:r>
    </w:p>
    <w:p>
      <w:pPr>
        <w:spacing w:after="0" w:line="19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In general, the DSCR ratio is Net Cash Flow (as defined in the Indenture) for the four quarters preceding the calculation date divided by the total debt service payments (as defined in the Indenture) of the preceding four quarters. The complete definitions of the DSCR and all calculation elements are contained in the Indenture. Failure to maintain a prescribed DSCR can trigger a Cash Flow Sweeping Event, A Rapid Amortization Event, a Manager Termination Event or a Default Event as described below. In a Cash Flow Sweeping Event, the Trustee is required to retain 50% of excess Cash Flow (as defined in the</w:t>
      </w: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3" w:name="page24"/>
    <w:bookmarkEnd w:id="2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Long-Term Debt (Continued)</w:t>
      </w:r>
    </w:p>
    <w:p>
      <w:pPr>
        <w:spacing w:after="0" w:line="275"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Indenture) in a restricted account. In a Rapid Amortization Event, all excess Cash Flow is retained and used to retire principal amounts of debt. In a Manager Termination Event, the Company may be replaced as manager of the assets securitized under the Indenture. In a Default Event, the outstanding principal amount and any accrued but unpaid interest can be called to become immediately due and payable. Key DSCRs are as follows:</w:t>
      </w:r>
    </w:p>
    <w:p>
      <w:pPr>
        <w:spacing w:after="0" w:line="176" w:lineRule="exact"/>
        <w:rPr>
          <w:sz w:val="20"/>
          <w:szCs w:val="20"/>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DSCR less than 1.75x - Cash Flow Sweeping Event</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DSCR less than 1.20x - Rapid Amortization Event</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Interest-only DSCR less than 1.20x - Manager Termination Event</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Interest-only DSCR less than 1.10x - Default Event</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DSCR for the reporting period ended June 30, 2020 was 3.34x.</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Debt Issuance Costs</w:t>
      </w:r>
    </w:p>
    <w:p>
      <w:pPr>
        <w:spacing w:after="0" w:line="256" w:lineRule="exact"/>
        <w:rPr>
          <w:sz w:val="20"/>
          <w:szCs w:val="20"/>
          <w:color w:val="auto"/>
        </w:rPr>
      </w:pPr>
    </w:p>
    <w:p>
      <w:pPr>
        <w:ind w:right="220" w:firstLine="324"/>
        <w:spacing w:after="0" w:line="311" w:lineRule="auto"/>
        <w:rPr>
          <w:sz w:val="20"/>
          <w:szCs w:val="20"/>
          <w:color w:val="auto"/>
        </w:rPr>
      </w:pPr>
      <w:r>
        <w:rPr>
          <w:rFonts w:ascii="Arial" w:cs="Arial" w:eastAsia="Arial" w:hAnsi="Arial"/>
          <w:sz w:val="16"/>
          <w:szCs w:val="16"/>
          <w:color w:val="auto"/>
        </w:rPr>
        <w:t>The Company incurred costs of approximately $12.9 million in connection with the issuance of the 2019 Class A-2 Notes. These debt issuance costs are being amortized using the effective interest method over the estimated life of each tranche of the 2019 Class A-2 Notes. Amortization costs of $0.5 million and $1.0 million were included in interest expense for the three months and six months ended June 30, 2020, respectively.</w:t>
      </w:r>
    </w:p>
    <w:p>
      <w:pPr>
        <w:spacing w:after="0" w:line="176" w:lineRule="exact"/>
        <w:rPr>
          <w:sz w:val="20"/>
          <w:szCs w:val="20"/>
          <w:color w:val="auto"/>
        </w:rPr>
      </w:pPr>
    </w:p>
    <w:p>
      <w:pPr>
        <w:ind w:right="100" w:firstLine="324"/>
        <w:spacing w:after="0" w:line="269" w:lineRule="auto"/>
        <w:rPr>
          <w:sz w:val="20"/>
          <w:szCs w:val="20"/>
          <w:color w:val="auto"/>
        </w:rPr>
      </w:pPr>
      <w:r>
        <w:rPr>
          <w:rFonts w:ascii="Arial" w:cs="Arial" w:eastAsia="Arial" w:hAnsi="Arial"/>
          <w:sz w:val="17"/>
          <w:szCs w:val="17"/>
          <w:color w:val="auto"/>
        </w:rPr>
        <w:t>The Company incurred costs of approximately $0.2 million in connection with the replacement of the 2018-1 Class A-1 Notes with the Revolver. These debt issuance costs were added to the remaining unamortized costs of approximately $2.8 million related to the 2018-1 Class A-1 Notes, the total of which costs is being amortized using the effective interest method over the estimated five-year life of the Revolver. Amortization costs of $0.1 million and $0.3 million were included in interest expense for the three and six months ended June 30, 2020, respectively.</w:t>
      </w:r>
    </w:p>
    <w:p>
      <w:pPr>
        <w:spacing w:after="0" w:line="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At June 30, 2020, total unamortized debt issuance costs of $13.1 million are reported as a direct reduction of the Revolver and 2019 Class A-2 Notes in the Consolidated Balance Sheets. That amount includes $2.6 million of costs related to the Revolver that were classified as other long-term assets as of December 31, 2019 because there had been no borrowing against the Revolver since it was established.</w:t>
      </w:r>
    </w:p>
    <w:p>
      <w:pPr>
        <w:spacing w:after="0" w:line="217"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For additional information on the 2019 Class A-2 Notes and the Revolver, refer to Note 8 of the Notes to Consolidated Financial Statements included in the Company’s Annual Report on Form 10-K for the year ended December 31, 2019.</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Maturities of Long-term Debt</w:t>
      </w:r>
    </w:p>
    <w:p>
      <w:pPr>
        <w:spacing w:after="0" w:line="162"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Face-value maturities of long-term debt for each of the next five years, assuming the Company's leverage ratio remains greater than 5.25x, are as follows:</w:t>
      </w:r>
    </w:p>
    <w:p>
      <w:pPr>
        <w:spacing w:after="0" w:line="135" w:lineRule="exact"/>
        <w:rPr>
          <w:sz w:val="20"/>
          <w:szCs w:val="20"/>
          <w:color w:val="auto"/>
        </w:rPr>
      </w:pPr>
    </w:p>
    <w:tbl>
      <w:tblPr>
        <w:tblLayout w:type="fixed"/>
        <w:tblInd w:w="460" w:type="dxa"/>
        <w:tblCellMar>
          <w:top w:w="0" w:type="dxa"/>
          <w:left w:w="0" w:type="dxa"/>
          <w:bottom w:w="0" w:type="dxa"/>
          <w:right w:w="0" w:type="dxa"/>
        </w:tblCellMar>
      </w:tblPr>
      <w:tr>
        <w:trPr>
          <w:trHeight w:val="192"/>
        </w:trPr>
        <w:tc>
          <w:tcPr>
            <w:tcW w:w="87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(In millions)</w:t>
            </w:r>
          </w:p>
        </w:tc>
      </w:tr>
      <w:tr>
        <w:trPr>
          <w:trHeight w:val="249"/>
        </w:trPr>
        <w:tc>
          <w:tcPr>
            <w:tcW w:w="8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 (remaining six months)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3.3</w:t>
            </w:r>
          </w:p>
        </w:tc>
      </w:tr>
      <w:tr>
        <w:trPr>
          <w:trHeight w:val="243"/>
        </w:trPr>
        <w:tc>
          <w:tcPr>
            <w:tcW w:w="8780" w:type="dxa"/>
            <w:vAlign w:val="bottom"/>
          </w:tcPr>
          <w:p>
            <w:pPr>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21"/>
                <w:szCs w:val="21"/>
                <w:color w:val="auto"/>
              </w:rPr>
            </w:pP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13.0</w:t>
            </w:r>
          </w:p>
        </w:tc>
      </w:tr>
      <w:tr>
        <w:trPr>
          <w:trHeight w:val="27"/>
        </w:trPr>
        <w:tc>
          <w:tcPr>
            <w:tcW w:w="8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13.0</w:t>
            </w:r>
          </w:p>
        </w:tc>
      </w:tr>
      <w:tr>
        <w:trPr>
          <w:trHeight w:val="243"/>
        </w:trPr>
        <w:tc>
          <w:tcPr>
            <w:tcW w:w="8780" w:type="dxa"/>
            <w:vAlign w:val="bottom"/>
          </w:tcPr>
          <w:p>
            <w:pPr>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21"/>
                <w:szCs w:val="21"/>
                <w:color w:val="auto"/>
              </w:rPr>
            </w:pP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13.0</w:t>
            </w:r>
          </w:p>
        </w:tc>
      </w:tr>
      <w:tr>
        <w:trPr>
          <w:trHeight w:val="27"/>
        </w:trPr>
        <w:tc>
          <w:tcPr>
            <w:tcW w:w="8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2024</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903.2</w:t>
            </w:r>
          </w:p>
        </w:tc>
      </w:tr>
      <w:tr>
        <w:trPr>
          <w:trHeight w:val="243"/>
        </w:trPr>
        <w:tc>
          <w:tcPr>
            <w:tcW w:w="8780" w:type="dxa"/>
            <w:vAlign w:val="bottom"/>
          </w:tcPr>
          <w:p>
            <w:pPr>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21"/>
                <w:szCs w:val="21"/>
                <w:color w:val="auto"/>
              </w:rPr>
            </w:pP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574.5</w:t>
            </w:r>
          </w:p>
        </w:tc>
      </w:tr>
      <w:tr>
        <w:trPr>
          <w:trHeight w:val="27"/>
        </w:trPr>
        <w:tc>
          <w:tcPr>
            <w:tcW w:w="8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8"/>
        </w:trPr>
        <w:tc>
          <w:tcPr>
            <w:tcW w:w="8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1,520.0</w:t>
            </w: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Deficit</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Dividends</w:t>
      </w:r>
    </w:p>
    <w:p>
      <w:pPr>
        <w:spacing w:after="0" w:line="185"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During the six months ended June 30, 2020, the Company paid dividends on common stock of $23.9 million, representing a cash dividend of $0.69 per share declared in the fourth quarter of 2019, paid on January 10, 2020 to stockholders of record at the close of business on December 20, 2019 and a cash dividend of $0.76 per share declared in the first quarter of 2020, paid on April 3, 2020 to stockholders of record at the close of business on March 20, 2020.</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Stockholders' Deficit (Continued)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Dividends declared and paid per share for the three months and six months ended June 30, 2020 and 2019 were as follows:</w:t>
      </w:r>
    </w:p>
    <w:p>
      <w:pPr>
        <w:spacing w:after="0" w:line="64" w:lineRule="exact"/>
        <w:rPr>
          <w:sz w:val="20"/>
          <w:szCs w:val="20"/>
          <w:color w:val="auto"/>
        </w:rPr>
      </w:pPr>
    </w:p>
    <w:tbl>
      <w:tblPr>
        <w:tblLayout w:type="fixed"/>
        <w:tblInd w:w="240" w:type="dxa"/>
        <w:tblCellMar>
          <w:top w:w="0" w:type="dxa"/>
          <w:left w:w="0" w:type="dxa"/>
          <w:bottom w:w="0" w:type="dxa"/>
          <w:right w:w="0" w:type="dxa"/>
        </w:tblCellMar>
      </w:tblPr>
      <w:tr>
        <w:trPr>
          <w:trHeight w:val="210"/>
        </w:trPr>
        <w:tc>
          <w:tcPr>
            <w:tcW w:w="5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June 30,</w:t>
            </w:r>
          </w:p>
        </w:tc>
        <w:tc>
          <w:tcPr>
            <w:tcW w:w="200" w:type="dxa"/>
            <w:vAlign w:val="bottom"/>
          </w:tcPr>
          <w:p>
            <w:pPr>
              <w:spacing w:after="0"/>
              <w:rPr>
                <w:sz w:val="18"/>
                <w:szCs w:val="18"/>
                <w:color w:val="auto"/>
              </w:rPr>
            </w:pPr>
          </w:p>
        </w:tc>
        <w:tc>
          <w:tcPr>
            <w:tcW w:w="2260" w:type="dxa"/>
            <w:vAlign w:val="bottom"/>
            <w:gridSpan w:val="4"/>
          </w:tcPr>
          <w:p>
            <w:pPr>
              <w:jc w:val="right"/>
              <w:ind w:right="233"/>
              <w:spacing w:after="0"/>
              <w:rPr>
                <w:sz w:val="20"/>
                <w:szCs w:val="20"/>
                <w:color w:val="auto"/>
              </w:rPr>
            </w:pPr>
            <w:r>
              <w:rPr>
                <w:rFonts w:ascii="Arial" w:cs="Arial" w:eastAsia="Arial" w:hAnsi="Arial"/>
                <w:sz w:val="16"/>
                <w:szCs w:val="16"/>
                <w:b w:val="1"/>
                <w:bCs w:val="1"/>
                <w:color w:val="auto"/>
                <w:w w:val="93"/>
              </w:rPr>
              <w:t>Six months ended June 30,</w:t>
            </w:r>
          </w:p>
        </w:tc>
      </w:tr>
      <w:tr>
        <w:trPr>
          <w:trHeight w:val="33"/>
        </w:trPr>
        <w:tc>
          <w:tcPr>
            <w:tcW w:w="5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7"/>
        </w:trPr>
        <w:tc>
          <w:tcPr>
            <w:tcW w:w="5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r>
      <w:tr>
        <w:trPr>
          <w:trHeight w:val="33"/>
        </w:trPr>
        <w:tc>
          <w:tcPr>
            <w:tcW w:w="5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3"/>
        </w:trPr>
        <w:tc>
          <w:tcPr>
            <w:tcW w:w="5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Dividends declared per common share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0.69</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0.76</w:t>
            </w: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1.38</w:t>
            </w:r>
          </w:p>
        </w:tc>
      </w:tr>
      <w:tr>
        <w:trPr>
          <w:trHeight w:val="243"/>
        </w:trPr>
        <w:tc>
          <w:tcPr>
            <w:tcW w:w="5420" w:type="dxa"/>
            <w:vAlign w:val="bottom"/>
          </w:tcPr>
          <w:p>
            <w:pPr>
              <w:spacing w:after="0"/>
              <w:rPr>
                <w:sz w:val="20"/>
                <w:szCs w:val="20"/>
                <w:color w:val="auto"/>
              </w:rPr>
            </w:pPr>
            <w:r>
              <w:rPr>
                <w:rFonts w:ascii="Arial" w:cs="Arial" w:eastAsia="Arial" w:hAnsi="Arial"/>
                <w:sz w:val="18"/>
                <w:szCs w:val="18"/>
                <w:color w:val="auto"/>
              </w:rPr>
              <w:t>Dividends paid per common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0.76</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0.69</w:t>
            </w:r>
          </w:p>
        </w:tc>
        <w:tc>
          <w:tcPr>
            <w:tcW w:w="16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5"/>
              <w:spacing w:after="0"/>
              <w:rPr>
                <w:sz w:val="20"/>
                <w:szCs w:val="20"/>
                <w:color w:val="auto"/>
              </w:rPr>
            </w:pPr>
            <w:r>
              <w:rPr>
                <w:rFonts w:ascii="Arial" w:cs="Arial" w:eastAsia="Arial" w:hAnsi="Arial"/>
                <w:sz w:val="18"/>
                <w:szCs w:val="18"/>
                <w:color w:val="auto"/>
              </w:rPr>
              <w:t>1.45</w:t>
            </w:r>
          </w:p>
        </w:tc>
        <w:tc>
          <w:tcPr>
            <w:tcW w:w="16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1.32</w:t>
            </w:r>
          </w:p>
        </w:tc>
      </w:tr>
    </w:tbl>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239"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In February 2019, the Company’s Board of Directors approved a stock repurchase program authorizing the Company to repurchase up to $200 million of the Company’s common stock (the “2019 Repurchase Program”) on an opportunistic basis from time to time in the open market or in privately negotiated transactions based on business, market, applicable legal requirements and other considerations. The 2019 Repurchase Program, as approved by the Board of Directors, does not require the repurchase of a specific number of shares and can be terminated at any time.</w:t>
      </w:r>
    </w:p>
    <w:p>
      <w:pPr>
        <w:spacing w:after="0" w:line="198"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A summary of shares repurchased under the 2019 Repurchase Program, during three and six months ended June 30, 2020 and cumulatively, is as follows:</w:t>
      </w:r>
    </w:p>
    <w:p>
      <w:pPr>
        <w:spacing w:after="0" w:line="9" w:lineRule="exact"/>
        <w:rPr>
          <w:sz w:val="20"/>
          <w:szCs w:val="20"/>
          <w:color w:val="auto"/>
        </w:rPr>
      </w:pPr>
    </w:p>
    <w:tbl>
      <w:tblPr>
        <w:tblLayout w:type="fixed"/>
        <w:tblInd w:w="760" w:type="dxa"/>
        <w:tblCellMar>
          <w:top w:w="0" w:type="dxa"/>
          <w:left w:w="0" w:type="dxa"/>
          <w:bottom w:w="0" w:type="dxa"/>
          <w:right w:w="0" w:type="dxa"/>
        </w:tblCellMar>
      </w:tblPr>
      <w:tr>
        <w:trPr>
          <w:trHeight w:val="210"/>
        </w:trPr>
        <w:tc>
          <w:tcPr>
            <w:tcW w:w="7000" w:type="dxa"/>
            <w:vAlign w:val="bottom"/>
          </w:tcPr>
          <w:p>
            <w:pPr>
              <w:spacing w:after="0"/>
              <w:rPr>
                <w:sz w:val="18"/>
                <w:szCs w:val="18"/>
                <w:color w:val="auto"/>
              </w:rPr>
            </w:pPr>
          </w:p>
        </w:tc>
        <w:tc>
          <w:tcPr>
            <w:tcW w:w="1400" w:type="dxa"/>
            <w:vAlign w:val="bottom"/>
            <w:gridSpan w:val="2"/>
          </w:tcPr>
          <w:p>
            <w:pPr>
              <w:ind w:left="420"/>
              <w:spacing w:after="0"/>
              <w:rPr>
                <w:sz w:val="20"/>
                <w:szCs w:val="20"/>
                <w:color w:val="auto"/>
              </w:rPr>
            </w:pPr>
            <w:r>
              <w:rPr>
                <w:rFonts w:ascii="Arial" w:cs="Arial" w:eastAsia="Arial" w:hAnsi="Arial"/>
                <w:sz w:val="16"/>
                <w:szCs w:val="16"/>
                <w:b w:val="1"/>
                <w:bCs w:val="1"/>
                <w:color w:val="auto"/>
              </w:rPr>
              <w:t>Shares</w:t>
            </w:r>
          </w:p>
        </w:tc>
        <w:tc>
          <w:tcPr>
            <w:tcW w:w="1320" w:type="dxa"/>
            <w:vAlign w:val="bottom"/>
            <w:gridSpan w:val="2"/>
          </w:tcPr>
          <w:p>
            <w:pPr>
              <w:ind w:left="20"/>
              <w:spacing w:after="0"/>
              <w:rPr>
                <w:sz w:val="20"/>
                <w:szCs w:val="20"/>
                <w:color w:val="auto"/>
              </w:rPr>
            </w:pPr>
            <w:r>
              <w:rPr>
                <w:rFonts w:ascii="Arial" w:cs="Arial" w:eastAsia="Arial" w:hAnsi="Arial"/>
                <w:sz w:val="16"/>
                <w:szCs w:val="16"/>
                <w:b w:val="1"/>
                <w:bCs w:val="1"/>
                <w:color w:val="auto"/>
              </w:rPr>
              <w:t>Cost of shares</w:t>
            </w:r>
          </w:p>
        </w:tc>
      </w:tr>
      <w:tr>
        <w:trPr>
          <w:trHeight w:val="33"/>
        </w:trPr>
        <w:tc>
          <w:tcPr>
            <w:tcW w:w="70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70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194"/>
              <w:spacing w:after="0"/>
              <w:rPr>
                <w:sz w:val="20"/>
                <w:szCs w:val="20"/>
                <w:color w:val="auto"/>
              </w:rPr>
            </w:pPr>
            <w:r>
              <w:rPr>
                <w:rFonts w:ascii="Arial" w:cs="Arial" w:eastAsia="Arial" w:hAnsi="Arial"/>
                <w:sz w:val="14"/>
                <w:szCs w:val="14"/>
                <w:b w:val="1"/>
                <w:bCs w:val="1"/>
                <w:color w:val="auto"/>
              </w:rPr>
              <w:t>(In millions)</w:t>
            </w:r>
          </w:p>
        </w:tc>
      </w:tr>
      <w:tr>
        <w:trPr>
          <w:trHeight w:val="276"/>
        </w:trPr>
        <w:tc>
          <w:tcPr>
            <w:tcW w:w="70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Repurchased during the three months ended June 30, 2020</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r>
      <w:tr>
        <w:trPr>
          <w:trHeight w:val="270"/>
        </w:trPr>
        <w:tc>
          <w:tcPr>
            <w:tcW w:w="7000" w:type="dxa"/>
            <w:vAlign w:val="bottom"/>
          </w:tcPr>
          <w:p>
            <w:pPr>
              <w:ind w:left="260"/>
              <w:spacing w:after="0"/>
              <w:rPr>
                <w:sz w:val="20"/>
                <w:szCs w:val="20"/>
                <w:color w:val="auto"/>
              </w:rPr>
            </w:pPr>
            <w:r>
              <w:rPr>
                <w:rFonts w:ascii="Arial" w:cs="Arial" w:eastAsia="Arial" w:hAnsi="Arial"/>
                <w:sz w:val="18"/>
                <w:szCs w:val="18"/>
                <w:color w:val="auto"/>
              </w:rPr>
              <w:t>Repurchased during the six months ended June 30, 2020</w:t>
            </w: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459,899</w:t>
            </w:r>
          </w:p>
        </w:tc>
        <w:tc>
          <w:tcPr>
            <w:tcW w:w="100" w:type="dxa"/>
            <w:vAlign w:val="bottom"/>
          </w:tcPr>
          <w:p>
            <w:pPr>
              <w:spacing w:after="0"/>
              <w:rPr>
                <w:sz w:val="23"/>
                <w:szCs w:val="23"/>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26.5</w:t>
            </w:r>
          </w:p>
        </w:tc>
      </w:tr>
      <w:tr>
        <w:trPr>
          <w:trHeight w:val="270"/>
        </w:trPr>
        <w:tc>
          <w:tcPr>
            <w:tcW w:w="70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Cumulative (life-of-program) repurchases</w:t>
            </w:r>
          </w:p>
        </w:tc>
        <w:tc>
          <w:tcPr>
            <w:tcW w:w="1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1,697,597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129.8</w:t>
            </w:r>
          </w:p>
        </w:tc>
      </w:tr>
      <w:tr>
        <w:trPr>
          <w:trHeight w:val="270"/>
        </w:trPr>
        <w:tc>
          <w:tcPr>
            <w:tcW w:w="7000" w:type="dxa"/>
            <w:vAlign w:val="bottom"/>
          </w:tcPr>
          <w:p>
            <w:pPr>
              <w:ind w:left="260"/>
              <w:spacing w:after="0"/>
              <w:rPr>
                <w:sz w:val="20"/>
                <w:szCs w:val="20"/>
                <w:color w:val="auto"/>
              </w:rPr>
            </w:pPr>
            <w:r>
              <w:rPr>
                <w:rFonts w:ascii="Arial" w:cs="Arial" w:eastAsia="Arial" w:hAnsi="Arial"/>
                <w:sz w:val="18"/>
                <w:szCs w:val="18"/>
                <w:color w:val="auto"/>
              </w:rPr>
              <w:t>Remaining dollar value of shares that may be repurchased</w:t>
            </w:r>
          </w:p>
        </w:tc>
        <w:tc>
          <w:tcPr>
            <w:tcW w:w="1400" w:type="dxa"/>
            <w:vAlign w:val="bottom"/>
            <w:gridSpan w:val="2"/>
          </w:tcPr>
          <w:p>
            <w:pPr>
              <w:ind w:left="700"/>
              <w:spacing w:after="0"/>
              <w:rPr>
                <w:sz w:val="20"/>
                <w:szCs w:val="20"/>
                <w:color w:val="auto"/>
              </w:rPr>
            </w:pPr>
            <w:r>
              <w:rPr>
                <w:rFonts w:ascii="Arial" w:cs="Arial" w:eastAsia="Arial" w:hAnsi="Arial"/>
                <w:sz w:val="18"/>
                <w:szCs w:val="18"/>
                <w:color w:val="auto"/>
              </w:rPr>
              <w:t>n/a</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70.2</w:t>
            </w:r>
          </w:p>
        </w:tc>
      </w:tr>
    </w:tbl>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Treasury Stock</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Repurchases of the Company's common stock are included in treasury stock at the cost of shares repurchased plus any transaction costs. Treasury stock may be re-issued when stock options are exercised, when restricted stock awards are granted and when restricted stock units settle in stock upon vesting. The cost of treasury stock re-issued is determined using the first-in, first-out (“FIFO”) method. During the six months ended June 30, 2020, the Company re-issued 380,607 shares of treasury stock at a total FIFO cost of $17.2 million.</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6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Company's effective tax rate was 4.5% for the six months ended June 30, 2020 as compared to 24.5% for the six months ended June 30, 2019. The effective tax rate of 4.5% for the six months ended June 30, 2020 (the tax benefit of $5.3 million on the pretax book loss of $117.7 million) was significantly different than the rate of the prior comparable period and the statutory federal tax rate of 21% because the $92.2 million impairment of goodwill is not deductible for federal income tax purposes and therefore has no associated tax benefit. The Company did recognize a deferred tax benefit of $3.4 million as a discrete item related to the $14.3 million impairment of Applebee's tradename and reacquired franchise rights in the second quarter of 2020.</w:t>
      </w:r>
    </w:p>
    <w:p>
      <w:pPr>
        <w:spacing w:after="0" w:line="219"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The total gross unrecognized tax benefit as of June 30, 2020 and December 31, 2019 was $7.9 million and $7.6 million, respectively, excluding interest, penalties and related tax benefits. The Company estimates the unrecognized tax benefit as of June 30, 2020 may decrease over the upcoming 12 months by an amount up to $1.5 million related to settlements with taxing authorities, statutes of limitations expirations and method changes. For the remaining liability, due to the uncertainties related to these tax matters, the Company is unable to make a reasonable estimate as to when cash settlement with a taxing authority will occur.</w:t>
      </w:r>
    </w:p>
    <w:p>
      <w:pPr>
        <w:spacing w:after="0" w:line="21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June 30, 2020, accrued interest was $2.9 million and accrued penalties were less than $0.1 million, excluding any related income tax benefits. As of December 31, 2019, accrued interest was $2.5 million and accrued penalties were less than $0.1 million, excluding any related income tax benefits. The Company recognizes interest accrued related to unrecognized tax benefits and penalties as a component of its income tax provision recognized in its Consolidated Statements of Comprehensive (Loss) Income.</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5" w:name="page26"/>
    <w:bookmarkEnd w:id="2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Income Taxes (Continued)</w:t>
      </w:r>
    </w:p>
    <w:p>
      <w:pPr>
        <w:spacing w:after="0" w:line="200" w:lineRule="exact"/>
        <w:rPr>
          <w:sz w:val="20"/>
          <w:szCs w:val="20"/>
          <w:color w:val="auto"/>
        </w:rPr>
      </w:pPr>
    </w:p>
    <w:p>
      <w:pPr>
        <w:spacing w:after="0" w:line="318"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Company files federal income tax returns and the Company or one of its subsidiaries file income tax returns in various state and international jurisdictions. With few exceptions, the Company is no longer subject to federal tax examinations by tax authorities for years before 2014 and state or non-United States tax examinations by tax authorities for years before 2011. The Company believes that adequate reserves have been provided related to all matters contained in the tax periods open to examination.</w:t>
      </w:r>
    </w:p>
    <w:p>
      <w:pPr>
        <w:spacing w:after="0" w:line="214" w:lineRule="exact"/>
        <w:rPr>
          <w:sz w:val="20"/>
          <w:szCs w:val="20"/>
          <w:color w:val="auto"/>
        </w:rPr>
      </w:pPr>
    </w:p>
    <w:p>
      <w:pPr>
        <w:jc w:val="both"/>
        <w:ind w:right="180" w:firstLine="324"/>
        <w:spacing w:after="0" w:line="263" w:lineRule="auto"/>
        <w:rPr>
          <w:sz w:val="20"/>
          <w:szCs w:val="20"/>
          <w:color w:val="auto"/>
        </w:rPr>
      </w:pPr>
      <w:r>
        <w:rPr>
          <w:rFonts w:ascii="Arial" w:cs="Arial" w:eastAsia="Arial" w:hAnsi="Arial"/>
          <w:sz w:val="18"/>
          <w:szCs w:val="18"/>
          <w:color w:val="auto"/>
        </w:rPr>
        <w:t>On March 27, 2020, the Coronavirus Aid, Relief, and Economic Security Act (“CARES Act”) was enacted in response to the COVID-19 pandemic. The Company is continuing to evaluate the impact of the CARES Act, but at present does not expect the CARES Act would result in a material impact to our income tax benefit or provision.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components of stock-based compensation expense included in general and administrative expenses in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Comprehensive (Loss) Income:</w:t>
      </w:r>
    </w:p>
    <w:p>
      <w:pPr>
        <w:sectPr>
          <w:pgSz w:w="11900" w:h="16838" w:orient="portrait"/>
          <w:cols w:equalWidth="0" w:num="1">
            <w:col w:w="11240"/>
          </w:cols>
          <w:pgMar w:left="320" w:top="118" w:right="339"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stock-based compensation expense:</w:t>
      </w:r>
    </w:p>
    <w:p>
      <w:pPr>
        <w:spacing w:after="0" w:line="9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Equity classified awards expense</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Liability classified awards expense (credit)</w:t>
      </w:r>
    </w:p>
    <w:p>
      <w:pPr>
        <w:spacing w:after="0" w:line="61" w:lineRule="exact"/>
        <w:rPr>
          <w:sz w:val="20"/>
          <w:szCs w:val="20"/>
          <w:color w:val="auto"/>
        </w:rPr>
      </w:pPr>
    </w:p>
    <w:p>
      <w:pPr>
        <w:ind w:left="20" w:right="2420"/>
        <w:spacing w:after="0" w:line="336" w:lineRule="auto"/>
        <w:rPr>
          <w:sz w:val="20"/>
          <w:szCs w:val="20"/>
          <w:color w:val="auto"/>
        </w:rPr>
      </w:pPr>
      <w:r>
        <w:rPr>
          <w:rFonts w:ascii="Arial" w:cs="Arial" w:eastAsia="Arial" w:hAnsi="Arial"/>
          <w:sz w:val="18"/>
          <w:szCs w:val="18"/>
          <w:color w:val="auto"/>
        </w:rPr>
        <w:t>Total pre-tax stock-based compensation expense Book income tax benefit</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5"/>
          <w:szCs w:val="15"/>
          <w:color w:val="auto"/>
        </w:rPr>
        <w:t>Total stock-based compensation expense, net of tax</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2340" w:type="dxa"/>
            <w:vAlign w:val="bottom"/>
            <w:gridSpan w:val="6"/>
          </w:tcPr>
          <w:p>
            <w:pPr>
              <w:ind w:left="100"/>
              <w:spacing w:after="0"/>
              <w:rPr>
                <w:sz w:val="20"/>
                <w:szCs w:val="20"/>
                <w:color w:val="auto"/>
              </w:rPr>
            </w:pPr>
            <w:r>
              <w:rPr>
                <w:rFonts w:ascii="Arial" w:cs="Arial" w:eastAsia="Arial" w:hAnsi="Arial"/>
                <w:sz w:val="16"/>
                <w:szCs w:val="16"/>
                <w:b w:val="1"/>
                <w:bCs w:val="1"/>
                <w:color w:val="auto"/>
                <w:w w:val="98"/>
              </w:rPr>
              <w:t>Three months ended June 30,</w:t>
            </w:r>
          </w:p>
        </w:tc>
        <w:tc>
          <w:tcPr>
            <w:tcW w:w="2060" w:type="dxa"/>
            <w:vAlign w:val="bottom"/>
            <w:gridSpan w:val="5"/>
          </w:tcPr>
          <w:p>
            <w:pPr>
              <w:jc w:val="right"/>
              <w:ind w:right="32"/>
              <w:spacing w:after="0"/>
              <w:rPr>
                <w:sz w:val="20"/>
                <w:szCs w:val="20"/>
                <w:color w:val="auto"/>
              </w:rPr>
            </w:pPr>
            <w:r>
              <w:rPr>
                <w:rFonts w:ascii="Arial" w:cs="Arial" w:eastAsia="Arial" w:hAnsi="Arial"/>
                <w:sz w:val="16"/>
                <w:szCs w:val="16"/>
                <w:b w:val="1"/>
                <w:bCs w:val="1"/>
                <w:color w:val="auto"/>
                <w:w w:val="93"/>
              </w:rPr>
              <w:t>Six months ended June 30,</w:t>
            </w:r>
          </w:p>
        </w:tc>
      </w:tr>
      <w:tr>
        <w:trPr>
          <w:trHeight w:val="33"/>
        </w:trPr>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17"/>
        </w:trPr>
        <w:tc>
          <w:tcPr>
            <w:tcW w:w="240" w:type="dxa"/>
            <w:vAlign w:val="bottom"/>
          </w:tcPr>
          <w:p>
            <w:pPr>
              <w:spacing w:after="0"/>
              <w:rPr>
                <w:sz w:val="18"/>
                <w:szCs w:val="18"/>
                <w:color w:val="auto"/>
              </w:rPr>
            </w:pPr>
          </w:p>
        </w:tc>
        <w:tc>
          <w:tcPr>
            <w:tcW w:w="820" w:type="dxa"/>
            <w:vAlign w:val="bottom"/>
          </w:tcPr>
          <w:p>
            <w:pPr>
              <w:jc w:val="right"/>
              <w:ind w:right="27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94"/>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ind w:right="27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212"/>
              <w:spacing w:after="0"/>
              <w:rPr>
                <w:sz w:val="20"/>
                <w:szCs w:val="20"/>
                <w:color w:val="auto"/>
              </w:rPr>
            </w:pPr>
            <w:r>
              <w:rPr>
                <w:rFonts w:ascii="Arial" w:cs="Arial" w:eastAsia="Arial" w:hAnsi="Arial"/>
                <w:sz w:val="16"/>
                <w:szCs w:val="16"/>
                <w:b w:val="1"/>
                <w:bCs w:val="1"/>
                <w:color w:val="auto"/>
              </w:rPr>
              <w:t>2019</w:t>
            </w:r>
          </w:p>
        </w:tc>
      </w:tr>
      <w:tr>
        <w:trPr>
          <w:trHeight w:val="33"/>
        </w:trPr>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4"/>
        </w:trPr>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525"/>
        </w:trPr>
        <w:tc>
          <w:tcPr>
            <w:tcW w:w="240" w:type="dxa"/>
            <w:vAlign w:val="bottom"/>
          </w:tcPr>
          <w:p>
            <w:pPr>
              <w:jc w:val="right"/>
              <w:ind w:right="33"/>
              <w:spacing w:after="0"/>
              <w:rPr>
                <w:sz w:val="20"/>
                <w:szCs w:val="20"/>
                <w:color w:val="auto"/>
              </w:rPr>
            </w:pPr>
            <w:r>
              <w:rPr>
                <w:rFonts w:ascii="Arial" w:cs="Arial" w:eastAsia="Arial" w:hAnsi="Arial"/>
                <w:sz w:val="18"/>
                <w:szCs w:val="18"/>
                <w:color w:val="auto"/>
                <w:w w:val="99"/>
              </w:rPr>
              <w:t>$</w:t>
            </w:r>
          </w:p>
        </w:tc>
        <w:tc>
          <w:tcPr>
            <w:tcW w:w="820" w:type="dxa"/>
            <w:vAlign w:val="bottom"/>
          </w:tcPr>
          <w:p>
            <w:pPr>
              <w:jc w:val="center"/>
              <w:ind w:left="232"/>
              <w:spacing w:after="0"/>
              <w:rPr>
                <w:sz w:val="20"/>
                <w:szCs w:val="20"/>
                <w:color w:val="auto"/>
              </w:rPr>
            </w:pPr>
            <w:r>
              <w:rPr>
                <w:rFonts w:ascii="Arial" w:cs="Arial" w:eastAsia="Arial" w:hAnsi="Arial"/>
                <w:sz w:val="18"/>
                <w:szCs w:val="18"/>
                <w:color w:val="auto"/>
                <w:w w:val="87"/>
              </w:rPr>
              <w:t>2.6</w:t>
            </w:r>
          </w:p>
        </w:tc>
        <w:tc>
          <w:tcPr>
            <w:tcW w:w="12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center"/>
              <w:ind w:left="194"/>
              <w:spacing w:after="0"/>
              <w:rPr>
                <w:sz w:val="20"/>
                <w:szCs w:val="20"/>
                <w:color w:val="auto"/>
              </w:rPr>
            </w:pPr>
            <w:r>
              <w:rPr>
                <w:rFonts w:ascii="Arial" w:cs="Arial" w:eastAsia="Arial" w:hAnsi="Arial"/>
                <w:sz w:val="18"/>
                <w:szCs w:val="18"/>
                <w:color w:val="auto"/>
                <w:w w:val="87"/>
              </w:rPr>
              <w:t>1.8</w:t>
            </w:r>
          </w:p>
        </w:tc>
        <w:tc>
          <w:tcPr>
            <w:tcW w:w="100" w:type="dxa"/>
            <w:vAlign w:val="bottom"/>
          </w:tcPr>
          <w:p>
            <w:pPr>
              <w:spacing w:after="0"/>
              <w:rPr>
                <w:sz w:val="24"/>
                <w:szCs w:val="24"/>
                <w:color w:val="auto"/>
              </w:rPr>
            </w:pPr>
          </w:p>
        </w:tc>
        <w:tc>
          <w:tcPr>
            <w:tcW w:w="300" w:type="dxa"/>
            <w:vAlign w:val="bottom"/>
          </w:tcPr>
          <w:p>
            <w:pPr>
              <w:jc w:val="right"/>
              <w:ind w:right="113"/>
              <w:spacing w:after="0"/>
              <w:rPr>
                <w:sz w:val="20"/>
                <w:szCs w:val="20"/>
                <w:color w:val="auto"/>
              </w:rPr>
            </w:pPr>
            <w:r>
              <w:rPr>
                <w:rFonts w:ascii="Arial" w:cs="Arial" w:eastAsia="Arial" w:hAnsi="Arial"/>
                <w:sz w:val="18"/>
                <w:szCs w:val="18"/>
                <w:color w:val="auto"/>
                <w:w w:val="79"/>
              </w:rPr>
              <w:t>$</w:t>
            </w:r>
          </w:p>
        </w:tc>
        <w:tc>
          <w:tcPr>
            <w:tcW w:w="740" w:type="dxa"/>
            <w:vAlign w:val="bottom"/>
          </w:tcPr>
          <w:p>
            <w:pPr>
              <w:jc w:val="center"/>
              <w:ind w:left="112"/>
              <w:spacing w:after="0"/>
              <w:rPr>
                <w:sz w:val="20"/>
                <w:szCs w:val="20"/>
                <w:color w:val="auto"/>
              </w:rPr>
            </w:pPr>
            <w:r>
              <w:rPr>
                <w:rFonts w:ascii="Arial" w:cs="Arial" w:eastAsia="Arial" w:hAnsi="Arial"/>
                <w:sz w:val="18"/>
                <w:szCs w:val="18"/>
                <w:color w:val="auto"/>
                <w:w w:val="87"/>
              </w:rPr>
              <w:t>6.7</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center"/>
              <w:ind w:left="92"/>
              <w:spacing w:after="0"/>
              <w:rPr>
                <w:sz w:val="20"/>
                <w:szCs w:val="20"/>
                <w:color w:val="auto"/>
              </w:rPr>
            </w:pPr>
            <w:r>
              <w:rPr>
                <w:rFonts w:ascii="Arial" w:cs="Arial" w:eastAsia="Arial" w:hAnsi="Arial"/>
                <w:sz w:val="18"/>
                <w:szCs w:val="18"/>
                <w:color w:val="auto"/>
                <w:w w:val="87"/>
              </w:rPr>
              <w:t>5.9</w:t>
            </w:r>
          </w:p>
        </w:tc>
      </w:tr>
      <w:tr>
        <w:trPr>
          <w:trHeight w:val="270"/>
        </w:trPr>
        <w:tc>
          <w:tcPr>
            <w:tcW w:w="240" w:type="dxa"/>
            <w:vAlign w:val="bottom"/>
          </w:tcPr>
          <w:p>
            <w:pPr>
              <w:spacing w:after="0"/>
              <w:rPr>
                <w:sz w:val="23"/>
                <w:szCs w:val="23"/>
                <w:color w:val="auto"/>
              </w:rPr>
            </w:pPr>
          </w:p>
        </w:tc>
        <w:tc>
          <w:tcPr>
            <w:tcW w:w="820" w:type="dxa"/>
            <w:vAlign w:val="bottom"/>
          </w:tcPr>
          <w:p>
            <w:pPr>
              <w:jc w:val="center"/>
              <w:ind w:left="232"/>
              <w:spacing w:after="0"/>
              <w:rPr>
                <w:sz w:val="20"/>
                <w:szCs w:val="20"/>
                <w:color w:val="auto"/>
              </w:rPr>
            </w:pPr>
            <w:r>
              <w:rPr>
                <w:rFonts w:ascii="Arial" w:cs="Arial" w:eastAsia="Arial" w:hAnsi="Arial"/>
                <w:sz w:val="18"/>
                <w:szCs w:val="18"/>
                <w:color w:val="auto"/>
                <w:w w:val="87"/>
              </w:rPr>
              <w:t>0.1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center"/>
              <w:ind w:left="194"/>
              <w:spacing w:after="0"/>
              <w:rPr>
                <w:sz w:val="20"/>
                <w:szCs w:val="20"/>
                <w:color w:val="auto"/>
              </w:rPr>
            </w:pPr>
            <w:r>
              <w:rPr>
                <w:rFonts w:ascii="Arial" w:cs="Arial" w:eastAsia="Arial" w:hAnsi="Arial"/>
                <w:sz w:val="18"/>
                <w:szCs w:val="18"/>
                <w:color w:val="auto"/>
                <w:w w:val="87"/>
              </w:rPr>
              <w:t>1.4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tcPr>
          <w:p>
            <w:pPr>
              <w:jc w:val="center"/>
              <w:ind w:left="92"/>
              <w:spacing w:after="0"/>
              <w:rPr>
                <w:sz w:val="20"/>
                <w:szCs w:val="20"/>
                <w:color w:val="auto"/>
              </w:rPr>
            </w:pPr>
            <w:r>
              <w:rPr>
                <w:rFonts w:ascii="Arial" w:cs="Arial" w:eastAsia="Arial" w:hAnsi="Arial"/>
                <w:sz w:val="18"/>
                <w:szCs w:val="18"/>
                <w:color w:val="auto"/>
                <w:w w:val="97"/>
              </w:rPr>
              <w:t>(0.5)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center"/>
              <w:ind w:left="92"/>
              <w:spacing w:after="0"/>
              <w:rPr>
                <w:sz w:val="20"/>
                <w:szCs w:val="20"/>
                <w:color w:val="auto"/>
              </w:rPr>
            </w:pPr>
            <w:r>
              <w:rPr>
                <w:rFonts w:ascii="Arial" w:cs="Arial" w:eastAsia="Arial" w:hAnsi="Arial"/>
                <w:sz w:val="18"/>
                <w:szCs w:val="18"/>
                <w:color w:val="auto"/>
                <w:w w:val="87"/>
              </w:rPr>
              <w:t>2.4</w:t>
            </w:r>
          </w:p>
        </w:tc>
      </w:tr>
      <w:tr>
        <w:trPr>
          <w:trHeight w:val="27"/>
        </w:trPr>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240" w:type="dxa"/>
            <w:vAlign w:val="bottom"/>
          </w:tcPr>
          <w:p>
            <w:pPr>
              <w:spacing w:after="0"/>
              <w:rPr>
                <w:sz w:val="20"/>
                <w:szCs w:val="20"/>
                <w:color w:val="auto"/>
              </w:rPr>
            </w:pPr>
          </w:p>
        </w:tc>
        <w:tc>
          <w:tcPr>
            <w:tcW w:w="820" w:type="dxa"/>
            <w:vAlign w:val="bottom"/>
          </w:tcPr>
          <w:p>
            <w:pPr>
              <w:jc w:val="center"/>
              <w:ind w:left="232"/>
              <w:spacing w:after="0"/>
              <w:rPr>
                <w:sz w:val="20"/>
                <w:szCs w:val="20"/>
                <w:color w:val="auto"/>
              </w:rPr>
            </w:pPr>
            <w:r>
              <w:rPr>
                <w:rFonts w:ascii="Arial" w:cs="Arial" w:eastAsia="Arial" w:hAnsi="Arial"/>
                <w:sz w:val="18"/>
                <w:szCs w:val="18"/>
                <w:color w:val="auto"/>
                <w:w w:val="87"/>
              </w:rPr>
              <w:t>2.7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center"/>
              <w:ind w:left="194"/>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center"/>
              <w:ind w:left="112"/>
              <w:spacing w:after="0"/>
              <w:rPr>
                <w:sz w:val="20"/>
                <w:szCs w:val="20"/>
                <w:color w:val="auto"/>
              </w:rPr>
            </w:pPr>
            <w:r>
              <w:rPr>
                <w:rFonts w:ascii="Arial" w:cs="Arial" w:eastAsia="Arial" w:hAnsi="Arial"/>
                <w:sz w:val="18"/>
                <w:szCs w:val="18"/>
                <w:color w:val="auto"/>
                <w:w w:val="87"/>
              </w:rPr>
              <w:t>6.2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center"/>
              <w:ind w:left="92"/>
              <w:spacing w:after="0"/>
              <w:rPr>
                <w:sz w:val="20"/>
                <w:szCs w:val="20"/>
                <w:color w:val="auto"/>
              </w:rPr>
            </w:pPr>
            <w:r>
              <w:rPr>
                <w:rFonts w:ascii="Arial" w:cs="Arial" w:eastAsia="Arial" w:hAnsi="Arial"/>
                <w:sz w:val="18"/>
                <w:szCs w:val="18"/>
                <w:color w:val="auto"/>
                <w:w w:val="87"/>
              </w:rPr>
              <w:t>8.3</w:t>
            </w:r>
          </w:p>
        </w:tc>
      </w:tr>
      <w:tr>
        <w:trPr>
          <w:trHeight w:val="270"/>
        </w:trPr>
        <w:tc>
          <w:tcPr>
            <w:tcW w:w="240" w:type="dxa"/>
            <w:vAlign w:val="bottom"/>
          </w:tcPr>
          <w:p>
            <w:pPr>
              <w:spacing w:after="0"/>
              <w:rPr>
                <w:sz w:val="23"/>
                <w:szCs w:val="23"/>
                <w:color w:val="auto"/>
              </w:rPr>
            </w:pPr>
          </w:p>
        </w:tc>
        <w:tc>
          <w:tcPr>
            <w:tcW w:w="820" w:type="dxa"/>
            <w:vAlign w:val="bottom"/>
          </w:tcPr>
          <w:p>
            <w:pPr>
              <w:jc w:val="center"/>
              <w:ind w:left="192"/>
              <w:spacing w:after="0"/>
              <w:rPr>
                <w:sz w:val="20"/>
                <w:szCs w:val="20"/>
                <w:color w:val="auto"/>
              </w:rPr>
            </w:pPr>
            <w:r>
              <w:rPr>
                <w:rFonts w:ascii="Arial" w:cs="Arial" w:eastAsia="Arial" w:hAnsi="Arial"/>
                <w:sz w:val="18"/>
                <w:szCs w:val="18"/>
                <w:color w:val="auto"/>
                <w:w w:val="91"/>
              </w:rPr>
              <w:t>(0.7)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center"/>
              <w:ind w:left="154"/>
              <w:spacing w:after="0"/>
              <w:rPr>
                <w:sz w:val="20"/>
                <w:szCs w:val="20"/>
                <w:color w:val="auto"/>
              </w:rPr>
            </w:pPr>
            <w:r>
              <w:rPr>
                <w:rFonts w:ascii="Arial" w:cs="Arial" w:eastAsia="Arial" w:hAnsi="Arial"/>
                <w:sz w:val="18"/>
                <w:szCs w:val="18"/>
                <w:color w:val="auto"/>
                <w:w w:val="91"/>
              </w:rPr>
              <w:t>(0.9)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tcPr>
          <w:p>
            <w:pPr>
              <w:jc w:val="center"/>
              <w:ind w:left="92"/>
              <w:spacing w:after="0"/>
              <w:rPr>
                <w:sz w:val="20"/>
                <w:szCs w:val="20"/>
                <w:color w:val="auto"/>
              </w:rPr>
            </w:pPr>
            <w:r>
              <w:rPr>
                <w:rFonts w:ascii="Arial" w:cs="Arial" w:eastAsia="Arial" w:hAnsi="Arial"/>
                <w:sz w:val="18"/>
                <w:szCs w:val="18"/>
                <w:color w:val="auto"/>
                <w:w w:val="97"/>
              </w:rPr>
              <w:t>(1.6)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center"/>
              <w:ind w:left="52"/>
              <w:spacing w:after="0"/>
              <w:rPr>
                <w:sz w:val="20"/>
                <w:szCs w:val="20"/>
                <w:color w:val="auto"/>
              </w:rPr>
            </w:pPr>
            <w:r>
              <w:rPr>
                <w:rFonts w:ascii="Arial" w:cs="Arial" w:eastAsia="Arial" w:hAnsi="Arial"/>
                <w:sz w:val="18"/>
                <w:szCs w:val="18"/>
                <w:color w:val="auto"/>
                <w:w w:val="91"/>
              </w:rPr>
              <w:t>(2.2)</w:t>
            </w:r>
          </w:p>
        </w:tc>
      </w:tr>
      <w:tr>
        <w:trPr>
          <w:trHeight w:val="27"/>
        </w:trPr>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240" w:type="dxa"/>
            <w:vAlign w:val="bottom"/>
          </w:tcPr>
          <w:p>
            <w:pPr>
              <w:jc w:val="right"/>
              <w:ind w:right="33"/>
              <w:spacing w:after="0"/>
              <w:rPr>
                <w:sz w:val="20"/>
                <w:szCs w:val="20"/>
                <w:color w:val="auto"/>
              </w:rPr>
            </w:pPr>
            <w:r>
              <w:rPr>
                <w:rFonts w:ascii="Arial" w:cs="Arial" w:eastAsia="Arial" w:hAnsi="Arial"/>
                <w:sz w:val="18"/>
                <w:szCs w:val="18"/>
                <w:color w:val="auto"/>
                <w:w w:val="99"/>
              </w:rPr>
              <w:t>$</w:t>
            </w:r>
          </w:p>
        </w:tc>
        <w:tc>
          <w:tcPr>
            <w:tcW w:w="820" w:type="dxa"/>
            <w:vAlign w:val="bottom"/>
          </w:tcPr>
          <w:p>
            <w:pPr>
              <w:jc w:val="center"/>
              <w:ind w:left="232"/>
              <w:spacing w:after="0"/>
              <w:rPr>
                <w:sz w:val="20"/>
                <w:szCs w:val="20"/>
                <w:color w:val="auto"/>
              </w:rPr>
            </w:pPr>
            <w:r>
              <w:rPr>
                <w:rFonts w:ascii="Arial" w:cs="Arial" w:eastAsia="Arial" w:hAnsi="Arial"/>
                <w:sz w:val="18"/>
                <w:szCs w:val="18"/>
                <w:color w:val="auto"/>
                <w:w w:val="87"/>
              </w:rPr>
              <w:t>2.0</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center"/>
              <w:ind w:left="194"/>
              <w:spacing w:after="0"/>
              <w:rPr>
                <w:sz w:val="20"/>
                <w:szCs w:val="20"/>
                <w:color w:val="auto"/>
              </w:rPr>
            </w:pPr>
            <w:r>
              <w:rPr>
                <w:rFonts w:ascii="Arial" w:cs="Arial" w:eastAsia="Arial" w:hAnsi="Arial"/>
                <w:sz w:val="18"/>
                <w:szCs w:val="18"/>
                <w:color w:val="auto"/>
                <w:w w:val="87"/>
              </w:rPr>
              <w:t>2.3</w:t>
            </w:r>
          </w:p>
        </w:tc>
        <w:tc>
          <w:tcPr>
            <w:tcW w:w="100" w:type="dxa"/>
            <w:vAlign w:val="bottom"/>
          </w:tcPr>
          <w:p>
            <w:pPr>
              <w:spacing w:after="0"/>
              <w:rPr>
                <w:sz w:val="20"/>
                <w:szCs w:val="20"/>
                <w:color w:val="auto"/>
              </w:rPr>
            </w:pPr>
          </w:p>
        </w:tc>
        <w:tc>
          <w:tcPr>
            <w:tcW w:w="300" w:type="dxa"/>
            <w:vAlign w:val="bottom"/>
          </w:tcPr>
          <w:p>
            <w:pPr>
              <w:jc w:val="right"/>
              <w:ind w:right="113"/>
              <w:spacing w:after="0"/>
              <w:rPr>
                <w:sz w:val="20"/>
                <w:szCs w:val="20"/>
                <w:color w:val="auto"/>
              </w:rPr>
            </w:pPr>
            <w:r>
              <w:rPr>
                <w:rFonts w:ascii="Arial" w:cs="Arial" w:eastAsia="Arial" w:hAnsi="Arial"/>
                <w:sz w:val="18"/>
                <w:szCs w:val="18"/>
                <w:color w:val="auto"/>
                <w:w w:val="79"/>
              </w:rPr>
              <w:t>$</w:t>
            </w:r>
          </w:p>
        </w:tc>
        <w:tc>
          <w:tcPr>
            <w:tcW w:w="740" w:type="dxa"/>
            <w:vAlign w:val="bottom"/>
          </w:tcPr>
          <w:p>
            <w:pPr>
              <w:jc w:val="center"/>
              <w:ind w:left="112"/>
              <w:spacing w:after="0"/>
              <w:rPr>
                <w:sz w:val="20"/>
                <w:szCs w:val="20"/>
                <w:color w:val="auto"/>
              </w:rPr>
            </w:pPr>
            <w:r>
              <w:rPr>
                <w:rFonts w:ascii="Arial" w:cs="Arial" w:eastAsia="Arial" w:hAnsi="Arial"/>
                <w:sz w:val="18"/>
                <w:szCs w:val="18"/>
                <w:color w:val="auto"/>
                <w:w w:val="87"/>
              </w:rPr>
              <w:t>4.6</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center"/>
              <w:ind w:left="92"/>
              <w:spacing w:after="0"/>
              <w:rPr>
                <w:sz w:val="20"/>
                <w:szCs w:val="20"/>
                <w:color w:val="auto"/>
              </w:rPr>
            </w:pPr>
            <w:r>
              <w:rPr>
                <w:rFonts w:ascii="Arial" w:cs="Arial" w:eastAsia="Arial" w:hAnsi="Arial"/>
                <w:sz w:val="18"/>
                <w:szCs w:val="18"/>
                <w:color w:val="auto"/>
                <w:w w:val="87"/>
              </w:rPr>
              <w:t>6.1</w:t>
            </w:r>
          </w:p>
        </w:tc>
      </w:tr>
      <w:tr>
        <w:trPr>
          <w:trHeight w:val="27"/>
        </w:trPr>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-908050</wp:posOffset>
            </wp:positionV>
            <wp:extent cx="7012305"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12305" cy="171450"/>
                    </a:xfrm>
                    <a:prstGeom prst="rect">
                      <a:avLst/>
                    </a:prstGeom>
                    <a:noFill/>
                  </pic:spPr>
                </pic:pic>
              </a:graphicData>
            </a:graphic>
          </wp:anchor>
        </w:drawing>
        <w:drawing>
          <wp:anchor simplePos="0" relativeHeight="251657728" behindDoc="1" locked="0" layoutInCell="0" allowOverlap="1">
            <wp:simplePos x="0" y="0"/>
            <wp:positionH relativeFrom="column">
              <wp:posOffset>-4223385</wp:posOffset>
            </wp:positionH>
            <wp:positionV relativeFrom="paragraph">
              <wp:posOffset>-565150</wp:posOffset>
            </wp:positionV>
            <wp:extent cx="7012305" cy="1797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12305" cy="179705"/>
                    </a:xfrm>
                    <a:prstGeom prst="rect">
                      <a:avLst/>
                    </a:prstGeom>
                    <a:noFill/>
                  </pic:spPr>
                </pic:pic>
              </a:graphicData>
            </a:graphic>
          </wp:anchor>
        </w:drawing>
        <w:drawing>
          <wp:anchor simplePos="0" relativeHeight="251657728" behindDoc="1" locked="0" layoutInCell="0" allowOverlap="1">
            <wp:simplePos x="0" y="0"/>
            <wp:positionH relativeFrom="column">
              <wp:posOffset>-4223385</wp:posOffset>
            </wp:positionH>
            <wp:positionV relativeFrom="paragraph">
              <wp:posOffset>-213995</wp:posOffset>
            </wp:positionV>
            <wp:extent cx="7012305" cy="1968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12305" cy="1968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40" w:space="720"/>
            <w:col w:w="4580"/>
          </w:cols>
          <w:pgMar w:left="320" w:top="118" w:right="339" w:bottom="723" w:gutter="0" w:footer="0" w:header="0"/>
          <w:type w:val="continuous"/>
        </w:sectPr>
      </w:pPr>
    </w:p>
    <w:p>
      <w:pPr>
        <w:spacing w:after="0" w:line="69"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As of June 30, 2020, total unrecognized compensation expense of $17.0 million related to restricted stock and restricted stock units and $3.8 million related to stock options are expected to be recognized over a weighted average period of 1.3 years for restricted stock and restricted stock units and 1.5 years for stock options.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Assumptions</w:t>
      </w:r>
    </w:p>
    <w:p>
      <w:pPr>
        <w:spacing w:after="0" w:line="252" w:lineRule="exact"/>
        <w:rPr>
          <w:sz w:val="20"/>
          <w:szCs w:val="20"/>
          <w:color w:val="auto"/>
        </w:rPr>
      </w:pPr>
    </w:p>
    <w:p>
      <w:pPr>
        <w:ind w:right="100" w:firstLine="324"/>
        <w:spacing w:after="0" w:line="274" w:lineRule="auto"/>
        <w:rPr>
          <w:sz w:val="20"/>
          <w:szCs w:val="20"/>
          <w:color w:val="auto"/>
        </w:rPr>
      </w:pPr>
      <w:r>
        <w:rPr>
          <w:rFonts w:ascii="Arial" w:cs="Arial" w:eastAsia="Arial" w:hAnsi="Arial"/>
          <w:sz w:val="18"/>
          <w:szCs w:val="18"/>
          <w:color w:val="auto"/>
        </w:rPr>
        <w:t>The Company granted 167,969 stock options during the six months ended June 30, 2020 for which the fair value was estimated using a Black-Scholes option pricing model. The following summarizes the assumptions used in the Black-Scholes model:</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43"/>
        </w:trPr>
        <w:tc>
          <w:tcPr>
            <w:tcW w:w="5720" w:type="dxa"/>
            <w:vAlign w:val="bottom"/>
          </w:tcPr>
          <w:p>
            <w:pPr>
              <w:ind w:left="20"/>
              <w:spacing w:after="0"/>
              <w:rPr>
                <w:sz w:val="20"/>
                <w:szCs w:val="20"/>
                <w:color w:val="auto"/>
              </w:rPr>
            </w:pPr>
            <w:r>
              <w:rPr>
                <w:rFonts w:ascii="Arial" w:cs="Arial" w:eastAsia="Arial" w:hAnsi="Arial"/>
                <w:sz w:val="18"/>
                <w:szCs w:val="18"/>
                <w:color w:val="auto"/>
              </w:rPr>
              <w:t>Weighted average historical volatility</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30.5 %</w:t>
            </w:r>
          </w:p>
        </w:tc>
      </w:tr>
      <w:tr>
        <w:trPr>
          <w:trHeight w:val="27"/>
        </w:trPr>
        <w:tc>
          <w:tcPr>
            <w:tcW w:w="57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3.5 %</w:t>
            </w:r>
          </w:p>
        </w:tc>
      </w:tr>
      <w:tr>
        <w:trPr>
          <w:trHeight w:val="243"/>
        </w:trPr>
        <w:tc>
          <w:tcPr>
            <w:tcW w:w="5720" w:type="dxa"/>
            <w:vAlign w:val="bottom"/>
          </w:tcPr>
          <w:p>
            <w:pPr>
              <w:ind w:left="20"/>
              <w:spacing w:after="0"/>
              <w:rPr>
                <w:sz w:val="20"/>
                <w:szCs w:val="20"/>
                <w:color w:val="auto"/>
              </w:rPr>
            </w:pPr>
            <w:r>
              <w:rPr>
                <w:rFonts w:ascii="Arial" w:cs="Arial" w:eastAsia="Arial" w:hAnsi="Arial"/>
                <w:sz w:val="18"/>
                <w:szCs w:val="18"/>
                <w:color w:val="auto"/>
              </w:rPr>
              <w:t>Expected years until exercise</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57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fair value of options granted</w:t>
            </w: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$17.53</w:t>
            </w:r>
          </w:p>
        </w:tc>
      </w:tr>
      <w:tr>
        <w:trPr>
          <w:trHeight w:val="567"/>
        </w:trPr>
        <w:tc>
          <w:tcPr>
            <w:tcW w:w="572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Equity Classified Awards - Stock Options</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59"/>
        </w:trPr>
        <w:tc>
          <w:tcPr>
            <w:tcW w:w="8200" w:type="dxa"/>
            <w:vAlign w:val="bottom"/>
            <w:gridSpan w:val="6"/>
          </w:tcPr>
          <w:p>
            <w:pPr>
              <w:ind w:left="340"/>
              <w:spacing w:after="0"/>
              <w:rPr>
                <w:sz w:val="20"/>
                <w:szCs w:val="20"/>
                <w:color w:val="auto"/>
              </w:rPr>
            </w:pPr>
            <w:r>
              <w:rPr>
                <w:rFonts w:ascii="Arial" w:cs="Arial" w:eastAsia="Arial" w:hAnsi="Arial"/>
                <w:sz w:val="18"/>
                <w:szCs w:val="18"/>
                <w:color w:val="auto"/>
                <w:w w:val="90"/>
              </w:rPr>
              <w:t>Stock option balances at June 30, 2020, and activity for the six months ended June 30, 2020 were as follows:</w:t>
            </w: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43"/>
        </w:trPr>
        <w:tc>
          <w:tcPr>
            <w:tcW w:w="57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Weighted</w:t>
            </w: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Weighted Average</w:t>
            </w:r>
          </w:p>
        </w:tc>
        <w:tc>
          <w:tcPr>
            <w:tcW w:w="180" w:type="dxa"/>
            <w:vAlign w:val="bottom"/>
          </w:tcPr>
          <w:p>
            <w:pPr>
              <w:spacing w:after="0"/>
              <w:rPr>
                <w:sz w:val="21"/>
                <w:szCs w:val="21"/>
                <w:color w:val="auto"/>
              </w:rPr>
            </w:pPr>
          </w:p>
        </w:tc>
        <w:tc>
          <w:tcPr>
            <w:tcW w:w="1040" w:type="dxa"/>
            <w:vAlign w:val="bottom"/>
          </w:tcPr>
          <w:p>
            <w:pPr>
              <w:jc w:val="center"/>
              <w:ind w:right="93"/>
              <w:spacing w:after="0"/>
              <w:rPr>
                <w:sz w:val="20"/>
                <w:szCs w:val="20"/>
                <w:color w:val="auto"/>
              </w:rPr>
            </w:pPr>
            <w:r>
              <w:rPr>
                <w:rFonts w:ascii="Arial" w:cs="Arial" w:eastAsia="Arial" w:hAnsi="Arial"/>
                <w:sz w:val="16"/>
                <w:szCs w:val="16"/>
                <w:b w:val="1"/>
                <w:bCs w:val="1"/>
                <w:color w:val="auto"/>
                <w:w w:val="88"/>
              </w:rPr>
              <w:t>Aggregate</w:t>
            </w:r>
          </w:p>
        </w:tc>
      </w:tr>
      <w:tr>
        <w:trPr>
          <w:trHeight w:val="203"/>
        </w:trPr>
        <w:tc>
          <w:tcPr>
            <w:tcW w:w="5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Average</w:t>
            </w: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180" w:type="dxa"/>
            <w:vAlign w:val="bottom"/>
          </w:tcPr>
          <w:p>
            <w:pPr>
              <w:spacing w:after="0"/>
              <w:rPr>
                <w:sz w:val="17"/>
                <w:szCs w:val="17"/>
                <w:color w:val="auto"/>
              </w:rPr>
            </w:pPr>
          </w:p>
        </w:tc>
        <w:tc>
          <w:tcPr>
            <w:tcW w:w="1040" w:type="dxa"/>
            <w:vAlign w:val="bottom"/>
          </w:tcPr>
          <w:p>
            <w:pPr>
              <w:jc w:val="center"/>
              <w:ind w:right="113"/>
              <w:spacing w:after="0"/>
              <w:rPr>
                <w:sz w:val="20"/>
                <w:szCs w:val="20"/>
                <w:color w:val="auto"/>
              </w:rPr>
            </w:pPr>
            <w:r>
              <w:rPr>
                <w:rFonts w:ascii="Arial" w:cs="Arial" w:eastAsia="Arial" w:hAnsi="Arial"/>
                <w:sz w:val="16"/>
                <w:szCs w:val="16"/>
                <w:b w:val="1"/>
                <w:bCs w:val="1"/>
                <w:color w:val="auto"/>
                <w:w w:val="96"/>
              </w:rPr>
              <w:t>Intrinsic</w:t>
            </w:r>
          </w:p>
        </w:tc>
      </w:tr>
      <w:tr>
        <w:trPr>
          <w:trHeight w:val="203"/>
        </w:trPr>
        <w:tc>
          <w:tcPr>
            <w:tcW w:w="5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Exercise</w:t>
            </w: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Contractual Term</w:t>
            </w:r>
          </w:p>
        </w:tc>
        <w:tc>
          <w:tcPr>
            <w:tcW w:w="180" w:type="dxa"/>
            <w:vAlign w:val="bottom"/>
          </w:tcPr>
          <w:p>
            <w:pPr>
              <w:spacing w:after="0"/>
              <w:rPr>
                <w:sz w:val="17"/>
                <w:szCs w:val="17"/>
                <w:color w:val="auto"/>
              </w:rPr>
            </w:pPr>
          </w:p>
        </w:tc>
        <w:tc>
          <w:tcPr>
            <w:tcW w:w="1040" w:type="dxa"/>
            <w:vAlign w:val="bottom"/>
          </w:tcPr>
          <w:p>
            <w:pPr>
              <w:jc w:val="center"/>
              <w:ind w:right="93"/>
              <w:spacing w:after="0"/>
              <w:rPr>
                <w:sz w:val="20"/>
                <w:szCs w:val="20"/>
                <w:color w:val="auto"/>
              </w:rPr>
            </w:pPr>
            <w:r>
              <w:rPr>
                <w:rFonts w:ascii="Arial" w:cs="Arial" w:eastAsia="Arial" w:hAnsi="Arial"/>
                <w:sz w:val="16"/>
                <w:szCs w:val="16"/>
                <w:b w:val="1"/>
                <w:bCs w:val="1"/>
                <w:color w:val="auto"/>
                <w:w w:val="92"/>
              </w:rPr>
              <w:t>Value (in</w:t>
            </w:r>
          </w:p>
        </w:tc>
      </w:tr>
      <w:tr>
        <w:trPr>
          <w:trHeight w:val="210"/>
        </w:trPr>
        <w:tc>
          <w:tcPr>
            <w:tcW w:w="5720" w:type="dxa"/>
            <w:vAlign w:val="bottom"/>
          </w:tcPr>
          <w:p>
            <w:pPr>
              <w:spacing w:after="0"/>
              <w:rPr>
                <w:sz w:val="18"/>
                <w:szCs w:val="18"/>
                <w:color w:val="auto"/>
              </w:rPr>
            </w:pPr>
          </w:p>
        </w:tc>
        <w:tc>
          <w:tcPr>
            <w:tcW w:w="1180" w:type="dxa"/>
            <w:vAlign w:val="bottom"/>
          </w:tcPr>
          <w:p>
            <w:pPr>
              <w:jc w:val="right"/>
              <w:ind w:right="271"/>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Price</w:t>
            </w: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(in Years)</w:t>
            </w:r>
          </w:p>
        </w:tc>
        <w:tc>
          <w:tcPr>
            <w:tcW w:w="180" w:type="dxa"/>
            <w:vAlign w:val="bottom"/>
          </w:tcPr>
          <w:p>
            <w:pPr>
              <w:spacing w:after="0"/>
              <w:rPr>
                <w:sz w:val="18"/>
                <w:szCs w:val="18"/>
                <w:color w:val="auto"/>
              </w:rPr>
            </w:pPr>
          </w:p>
        </w:tc>
        <w:tc>
          <w:tcPr>
            <w:tcW w:w="1040" w:type="dxa"/>
            <w:vAlign w:val="bottom"/>
          </w:tcPr>
          <w:p>
            <w:pPr>
              <w:jc w:val="center"/>
              <w:ind w:right="93"/>
              <w:spacing w:after="0"/>
              <w:rPr>
                <w:sz w:val="20"/>
                <w:szCs w:val="20"/>
                <w:color w:val="auto"/>
              </w:rPr>
            </w:pPr>
            <w:r>
              <w:rPr>
                <w:rFonts w:ascii="Arial" w:cs="Arial" w:eastAsia="Arial" w:hAnsi="Arial"/>
                <w:sz w:val="16"/>
                <w:szCs w:val="16"/>
                <w:b w:val="1"/>
                <w:bCs w:val="1"/>
                <w:color w:val="auto"/>
                <w:w w:val="95"/>
              </w:rPr>
              <w:t>Millions)</w:t>
            </w:r>
          </w:p>
        </w:tc>
      </w:tr>
      <w:tr>
        <w:trPr>
          <w:trHeight w:val="33"/>
        </w:trPr>
        <w:tc>
          <w:tcPr>
            <w:tcW w:w="57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1,217,438</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66.43</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20"/>
              <w:spacing w:after="0"/>
              <w:rPr>
                <w:sz w:val="20"/>
                <w:szCs w:val="20"/>
                <w:color w:val="auto"/>
              </w:rPr>
            </w:pPr>
            <w:r>
              <w:rPr>
                <w:rFonts w:ascii="Arial" w:cs="Arial" w:eastAsia="Arial" w:hAnsi="Arial"/>
                <w:sz w:val="18"/>
                <w:szCs w:val="18"/>
                <w:color w:val="auto"/>
              </w:rPr>
              <w:t>Granted</w:t>
            </w: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167,969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87.17</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7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(270,024)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76.01</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20"/>
              <w:spacing w:after="0"/>
              <w:rPr>
                <w:sz w:val="20"/>
                <w:szCs w:val="20"/>
                <w:color w:val="auto"/>
              </w:rPr>
            </w:pPr>
            <w:r>
              <w:rPr>
                <w:rFonts w:ascii="Arial" w:cs="Arial" w:eastAsia="Arial" w:hAnsi="Arial"/>
                <w:sz w:val="18"/>
                <w:szCs w:val="18"/>
                <w:color w:val="auto"/>
              </w:rPr>
              <w:t>Expired</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(48,119)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112.58</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7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(30,106)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85.14</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r>
      <w:tr>
        <w:trPr>
          <w:trHeight w:val="263"/>
        </w:trPr>
        <w:tc>
          <w:tcPr>
            <w:tcW w:w="5720" w:type="dxa"/>
            <w:vAlign w:val="bottom"/>
          </w:tcPr>
          <w:p>
            <w:pPr>
              <w:ind w:left="20"/>
              <w:spacing w:after="0"/>
              <w:rPr>
                <w:sz w:val="20"/>
                <w:szCs w:val="20"/>
                <w:color w:val="auto"/>
              </w:rPr>
            </w:pPr>
            <w:r>
              <w:rPr>
                <w:rFonts w:ascii="Arial" w:cs="Arial" w:eastAsia="Arial" w:hAnsi="Arial"/>
                <w:sz w:val="18"/>
                <w:szCs w:val="18"/>
                <w:color w:val="auto"/>
              </w:rPr>
              <w:t>Outstanding at June 30, 2020</w:t>
            </w:r>
          </w:p>
        </w:tc>
        <w:tc>
          <w:tcPr>
            <w:tcW w:w="11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1,037,158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64.61</w:t>
            </w:r>
          </w:p>
        </w:tc>
        <w:tc>
          <w:tcPr>
            <w:tcW w:w="100" w:type="dxa"/>
            <w:vAlign w:val="bottom"/>
          </w:tcPr>
          <w:p>
            <w:pPr>
              <w:spacing w:after="0"/>
              <w:rPr>
                <w:sz w:val="22"/>
                <w:szCs w:val="22"/>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7.1</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w:t>
            </w: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r>
      <w:tr>
        <w:trPr>
          <w:trHeight w:val="289"/>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 at June 30, 2020 and Expected to Vest</w:t>
            </w:r>
          </w:p>
        </w:tc>
        <w:tc>
          <w:tcPr>
            <w:tcW w:w="11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980,893</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64.41</w:t>
            </w:r>
          </w:p>
        </w:tc>
        <w:tc>
          <w:tcPr>
            <w:tcW w:w="100" w:type="dxa"/>
            <w:vAlign w:val="bottom"/>
            <w:tcBorders>
              <w:bottom w:val="single" w:sz="8" w:color="CCEEFF"/>
            </w:tcBorders>
            <w:shd w:val="clear" w:color="auto" w:fill="CCEEFF"/>
          </w:tcPr>
          <w:p>
            <w:pPr>
              <w:spacing w:after="0"/>
              <w:rPr>
                <w:sz w:val="24"/>
                <w:szCs w:val="24"/>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7.0</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r>
      <w:tr>
        <w:trPr>
          <w:trHeight w:val="244"/>
        </w:trPr>
        <w:tc>
          <w:tcPr>
            <w:tcW w:w="5720" w:type="dxa"/>
            <w:vAlign w:val="bottom"/>
          </w:tcPr>
          <w:p>
            <w:pPr>
              <w:ind w:left="20"/>
              <w:spacing w:after="0"/>
              <w:rPr>
                <w:sz w:val="20"/>
                <w:szCs w:val="20"/>
                <w:color w:val="auto"/>
              </w:rPr>
            </w:pPr>
            <w:r>
              <w:rPr>
                <w:rFonts w:ascii="Arial" w:cs="Arial" w:eastAsia="Arial" w:hAnsi="Arial"/>
                <w:sz w:val="18"/>
                <w:szCs w:val="18"/>
                <w:color w:val="auto"/>
              </w:rPr>
              <w:t>Exercisable at June 30, 2020</w:t>
            </w:r>
          </w:p>
        </w:tc>
        <w:tc>
          <w:tcPr>
            <w:tcW w:w="11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559,407</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59.79</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8.0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w:t>
            </w:r>
          </w:p>
        </w:tc>
      </w:tr>
      <w:tr>
        <w:trPr>
          <w:trHeight w:val="21"/>
        </w:trPr>
        <w:tc>
          <w:tcPr>
            <w:tcW w:w="57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723" w:gutter="0" w:footer="0" w:header="0"/>
          <w:type w:val="continuous"/>
        </w:sect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723" w:gutter="0" w:footer="0" w:header="0"/>
          <w:type w:val="continuous"/>
        </w:sectPr>
      </w:pPr>
    </w:p>
    <w:bookmarkStart w:id="26" w:name="page27"/>
    <w:bookmarkEnd w:id="2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Stock-Based Compensation (Continued)</w:t>
      </w:r>
    </w:p>
    <w:p>
      <w:pPr>
        <w:spacing w:after="0" w:line="200" w:lineRule="exact"/>
        <w:rPr>
          <w:sz w:val="20"/>
          <w:szCs w:val="20"/>
          <w:color w:val="auto"/>
        </w:rPr>
      </w:pPr>
    </w:p>
    <w:p>
      <w:pPr>
        <w:spacing w:after="0" w:line="318"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The aggregate intrinsic value in the table above represents the total pre-tax intrinsic value (the difference between the closing stock price of the Company’s common stock on the last trading day of the second quarter of 2020 and the exercise price, multiplied by the number of in-the-money options) that would have been received by the option holders had all option holders exercised their options on June 30, 2020. The aggregate intrinsic value will change based on the fair market value of the Company’s common stock and the number of in-the-money options.</w:t>
      </w:r>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Equity Classified Awards - Restricted Stock and Restricted Stock Units</w:t>
      </w:r>
    </w:p>
    <w:p>
      <w:pPr>
        <w:spacing w:after="0" w:line="252"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Outstanding balances as of June 30, 2020, and activity related to restricted stock and restricted stock units for the six months ended June 30, 2020 were as follows: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Weighted</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center"/>
              <w:ind w:right="74"/>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6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Average</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9"/>
              </w:rPr>
              <w:t>Stock-Settled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center"/>
              <w:ind w:right="54"/>
              <w:spacing w:after="0"/>
              <w:rPr>
                <w:sz w:val="20"/>
                <w:szCs w:val="20"/>
                <w:color w:val="auto"/>
              </w:rPr>
            </w:pPr>
            <w:r>
              <w:rPr>
                <w:rFonts w:ascii="Arial" w:cs="Arial" w:eastAsia="Arial" w:hAnsi="Arial"/>
                <w:sz w:val="16"/>
                <w:szCs w:val="16"/>
                <w:b w:val="1"/>
                <w:bCs w:val="1"/>
                <w:color w:val="auto"/>
                <w:w w:val="88"/>
              </w:rPr>
              <w:t>Average</w:t>
            </w:r>
          </w:p>
        </w:tc>
      </w:tr>
      <w:tr>
        <w:trPr>
          <w:trHeight w:val="203"/>
        </w:trPr>
        <w:tc>
          <w:tcPr>
            <w:tcW w:w="6000" w:type="dxa"/>
            <w:vAlign w:val="bottom"/>
          </w:tcPr>
          <w:p>
            <w:pPr>
              <w:spacing w:after="0"/>
              <w:rPr>
                <w:sz w:val="17"/>
                <w:szCs w:val="17"/>
                <w:color w:val="auto"/>
              </w:rPr>
            </w:pPr>
          </w:p>
        </w:tc>
        <w:tc>
          <w:tcPr>
            <w:tcW w:w="1280" w:type="dxa"/>
            <w:vAlign w:val="bottom"/>
          </w:tcPr>
          <w:p>
            <w:pPr>
              <w:ind w:left="280"/>
              <w:spacing w:after="0"/>
              <w:rPr>
                <w:sz w:val="20"/>
                <w:szCs w:val="20"/>
                <w:color w:val="auto"/>
              </w:rPr>
            </w:pPr>
            <w:r>
              <w:rPr>
                <w:rFonts w:ascii="Arial" w:cs="Arial" w:eastAsia="Arial" w:hAnsi="Arial"/>
                <w:sz w:val="16"/>
                <w:szCs w:val="16"/>
                <w:b w:val="1"/>
                <w:bCs w:val="1"/>
                <w:color w:val="auto"/>
              </w:rPr>
              <w:t>Restricted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Grant Date</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1"/>
              </w:rPr>
              <w:t>Restricted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center"/>
              <w:ind w:right="74"/>
              <w:spacing w:after="0"/>
              <w:rPr>
                <w:sz w:val="20"/>
                <w:szCs w:val="20"/>
                <w:color w:val="auto"/>
              </w:rPr>
            </w:pPr>
            <w:r>
              <w:rPr>
                <w:rFonts w:ascii="Arial" w:cs="Arial" w:eastAsia="Arial" w:hAnsi="Arial"/>
                <w:sz w:val="16"/>
                <w:szCs w:val="16"/>
                <w:b w:val="1"/>
                <w:bCs w:val="1"/>
                <w:color w:val="auto"/>
                <w:w w:val="95"/>
              </w:rPr>
              <w:t>Grant Date</w:t>
            </w:r>
          </w:p>
        </w:tc>
      </w:tr>
      <w:tr>
        <w:trPr>
          <w:trHeight w:val="210"/>
        </w:trPr>
        <w:tc>
          <w:tcPr>
            <w:tcW w:w="6000" w:type="dxa"/>
            <w:vAlign w:val="bottom"/>
          </w:tcPr>
          <w:p>
            <w:pPr>
              <w:spacing w:after="0"/>
              <w:rPr>
                <w:sz w:val="18"/>
                <w:szCs w:val="18"/>
                <w:color w:val="auto"/>
              </w:rPr>
            </w:pPr>
          </w:p>
        </w:tc>
        <w:tc>
          <w:tcPr>
            <w:tcW w:w="1280" w:type="dxa"/>
            <w:vAlign w:val="bottom"/>
          </w:tcPr>
          <w:p>
            <w:pPr>
              <w:ind w:left="440"/>
              <w:spacing w:after="0"/>
              <w:rPr>
                <w:sz w:val="20"/>
                <w:szCs w:val="20"/>
                <w:color w:val="auto"/>
              </w:rPr>
            </w:pPr>
            <w:r>
              <w:rPr>
                <w:rFonts w:ascii="Arial" w:cs="Arial" w:eastAsia="Arial" w:hAnsi="Arial"/>
                <w:sz w:val="16"/>
                <w:szCs w:val="16"/>
                <w:b w:val="1"/>
                <w:bCs w:val="1"/>
                <w:color w:val="auto"/>
              </w:rPr>
              <w:t>Stock</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Fair Value</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0"/>
              </w:rPr>
              <w:t>Stock Units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ind w:right="54"/>
              <w:spacing w:after="0"/>
              <w:rPr>
                <w:sz w:val="20"/>
                <w:szCs w:val="20"/>
                <w:color w:val="auto"/>
              </w:rPr>
            </w:pPr>
            <w:r>
              <w:rPr>
                <w:rFonts w:ascii="Arial" w:cs="Arial" w:eastAsia="Arial" w:hAnsi="Arial"/>
                <w:sz w:val="16"/>
                <w:szCs w:val="16"/>
                <w:b w:val="1"/>
                <w:bCs w:val="1"/>
                <w:color w:val="auto"/>
                <w:w w:val="94"/>
              </w:rPr>
              <w:t>Fair Value</w:t>
            </w:r>
          </w:p>
        </w:tc>
      </w:tr>
      <w:tr>
        <w:trPr>
          <w:trHeight w:val="33"/>
        </w:trPr>
        <w:tc>
          <w:tcPr>
            <w:tcW w:w="60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12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224,515</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70.52</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357,807</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30.35</w:t>
            </w:r>
          </w:p>
        </w:tc>
      </w:tr>
      <w:tr>
        <w:trPr>
          <w:trHeight w:val="243"/>
        </w:trPr>
        <w:tc>
          <w:tcPr>
            <w:tcW w:w="6000" w:type="dxa"/>
            <w:vAlign w:val="bottom"/>
          </w:tcPr>
          <w:p>
            <w:pPr>
              <w:ind w:left="20"/>
              <w:spacing w:after="0"/>
              <w:rPr>
                <w:sz w:val="20"/>
                <w:szCs w:val="20"/>
                <w:color w:val="auto"/>
              </w:rPr>
            </w:pPr>
            <w:r>
              <w:rPr>
                <w:rFonts w:ascii="Arial" w:cs="Arial" w:eastAsia="Arial" w:hAnsi="Arial"/>
                <w:sz w:val="18"/>
                <w:szCs w:val="18"/>
                <w:color w:val="auto"/>
              </w:rPr>
              <w:t>Granted</w:t>
            </w:r>
          </w:p>
        </w:tc>
        <w:tc>
          <w:tcPr>
            <w:tcW w:w="1280" w:type="dxa"/>
            <w:vAlign w:val="bottom"/>
          </w:tcPr>
          <w:p>
            <w:pPr>
              <w:ind w:left="560"/>
              <w:spacing w:after="0"/>
              <w:rPr>
                <w:sz w:val="20"/>
                <w:szCs w:val="20"/>
                <w:color w:val="auto"/>
              </w:rPr>
            </w:pPr>
            <w:r>
              <w:rPr>
                <w:rFonts w:ascii="Arial" w:cs="Arial" w:eastAsia="Arial" w:hAnsi="Arial"/>
                <w:sz w:val="18"/>
                <w:szCs w:val="18"/>
                <w:color w:val="auto"/>
              </w:rPr>
              <w:t>110,583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79.32</w:t>
            </w:r>
          </w:p>
        </w:tc>
        <w:tc>
          <w:tcPr>
            <w:tcW w:w="120" w:type="dxa"/>
            <w:vAlign w:val="bottom"/>
          </w:tcPr>
          <w:p>
            <w:pPr>
              <w:spacing w:after="0"/>
              <w:rPr>
                <w:sz w:val="21"/>
                <w:szCs w:val="21"/>
                <w:color w:val="auto"/>
              </w:rPr>
            </w:pPr>
          </w:p>
        </w:tc>
        <w:tc>
          <w:tcPr>
            <w:tcW w:w="1280" w:type="dxa"/>
            <w:vAlign w:val="bottom"/>
          </w:tcPr>
          <w:p>
            <w:pPr>
              <w:jc w:val="right"/>
              <w:ind w:right="73"/>
              <w:spacing w:after="0"/>
              <w:rPr>
                <w:sz w:val="20"/>
                <w:szCs w:val="20"/>
                <w:color w:val="auto"/>
              </w:rPr>
            </w:pPr>
            <w:r>
              <w:rPr>
                <w:rFonts w:ascii="Arial" w:cs="Arial" w:eastAsia="Arial" w:hAnsi="Arial"/>
                <w:sz w:val="18"/>
                <w:szCs w:val="18"/>
                <w:color w:val="auto"/>
              </w:rPr>
              <w:t>27,893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87.17</w:t>
            </w:r>
          </w:p>
        </w:tc>
      </w:tr>
      <w:tr>
        <w:trPr>
          <w:trHeight w:val="27"/>
        </w:trPr>
        <w:tc>
          <w:tcPr>
            <w:tcW w:w="6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Released</w:t>
            </w:r>
          </w:p>
        </w:tc>
        <w:tc>
          <w:tcPr>
            <w:tcW w:w="12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(74,826)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57.38</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(30,032)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64.76</w:t>
            </w:r>
          </w:p>
        </w:tc>
      </w:tr>
      <w:tr>
        <w:trPr>
          <w:trHeight w:val="243"/>
        </w:trPr>
        <w:tc>
          <w:tcPr>
            <w:tcW w:w="600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280" w:type="dxa"/>
            <w:vAlign w:val="bottom"/>
          </w:tcPr>
          <w:p>
            <w:pPr>
              <w:ind w:left="560"/>
              <w:spacing w:after="0"/>
              <w:rPr>
                <w:sz w:val="20"/>
                <w:szCs w:val="20"/>
                <w:color w:val="auto"/>
              </w:rPr>
            </w:pPr>
            <w:r>
              <w:rPr>
                <w:rFonts w:ascii="Arial" w:cs="Arial" w:eastAsia="Arial" w:hAnsi="Arial"/>
                <w:sz w:val="18"/>
                <w:szCs w:val="18"/>
                <w:color w:val="auto"/>
              </w:rPr>
              <w:t>(23,675)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83.45</w:t>
            </w:r>
          </w:p>
        </w:tc>
        <w:tc>
          <w:tcPr>
            <w:tcW w:w="120" w:type="dxa"/>
            <w:vAlign w:val="bottom"/>
          </w:tcPr>
          <w:p>
            <w:pPr>
              <w:spacing w:after="0"/>
              <w:rPr>
                <w:sz w:val="21"/>
                <w:szCs w:val="21"/>
                <w:color w:val="auto"/>
              </w:rPr>
            </w:pPr>
          </w:p>
        </w:tc>
        <w:tc>
          <w:tcPr>
            <w:tcW w:w="128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w:t>
            </w:r>
          </w:p>
        </w:tc>
      </w:tr>
      <w:tr>
        <w:trPr>
          <w:trHeight w:val="27"/>
        </w:trPr>
        <w:tc>
          <w:tcPr>
            <w:tcW w:w="60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88"/>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June 30, 2020</w:t>
            </w:r>
          </w:p>
        </w:tc>
        <w:tc>
          <w:tcPr>
            <w:tcW w:w="12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236,597</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78.16</w:t>
            </w:r>
          </w:p>
        </w:tc>
        <w:tc>
          <w:tcPr>
            <w:tcW w:w="1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355,668</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28.19</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Liability Classified Awards - Cash-settled Restricted Stock Units</w:t>
      </w:r>
    </w:p>
    <w:p>
      <w:pPr>
        <w:spacing w:after="0" w:line="252"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Company has granted cash-settled restricted stock units to certain employees. These instruments are recorded as liabilities at fair value as of the respective period end.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84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1"/>
              </w:rPr>
              <w:t>Cash-Settled</w:t>
            </w:r>
          </w:p>
        </w:tc>
      </w:tr>
      <w:tr>
        <w:trPr>
          <w:trHeight w:val="203"/>
        </w:trPr>
        <w:tc>
          <w:tcPr>
            <w:tcW w:w="984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89"/>
              </w:rPr>
              <w:t>Restricted</w:t>
            </w:r>
          </w:p>
        </w:tc>
      </w:tr>
      <w:tr>
        <w:trPr>
          <w:trHeight w:val="210"/>
        </w:trPr>
        <w:tc>
          <w:tcPr>
            <w:tcW w:w="98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88"/>
              </w:rPr>
              <w:t>Stock Units</w:t>
            </w:r>
          </w:p>
        </w:tc>
      </w:tr>
      <w:tr>
        <w:trPr>
          <w:trHeight w:val="33"/>
        </w:trPr>
        <w:tc>
          <w:tcPr>
            <w:tcW w:w="98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9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13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63,852</w:t>
            </w:r>
          </w:p>
        </w:tc>
      </w:tr>
      <w:tr>
        <w:trPr>
          <w:trHeight w:val="243"/>
        </w:trPr>
        <w:tc>
          <w:tcPr>
            <w:tcW w:w="9840" w:type="dxa"/>
            <w:vAlign w:val="bottom"/>
          </w:tcPr>
          <w:p>
            <w:pPr>
              <w:ind w:left="2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ind w:right="74"/>
              <w:spacing w:after="0"/>
              <w:rPr>
                <w:sz w:val="20"/>
                <w:szCs w:val="20"/>
                <w:color w:val="auto"/>
              </w:rPr>
            </w:pPr>
            <w:r>
              <w:rPr>
                <w:rFonts w:ascii="Arial" w:cs="Arial" w:eastAsia="Arial" w:hAnsi="Arial"/>
                <w:sz w:val="18"/>
                <w:szCs w:val="18"/>
                <w:color w:val="auto"/>
              </w:rPr>
              <w:t>2,658</w:t>
            </w:r>
          </w:p>
        </w:tc>
      </w:tr>
      <w:tr>
        <w:trPr>
          <w:trHeight w:val="27"/>
        </w:trPr>
        <w:tc>
          <w:tcPr>
            <w:tcW w:w="98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9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(10,085)</w:t>
            </w:r>
          </w:p>
        </w:tc>
      </w:tr>
      <w:tr>
        <w:trPr>
          <w:trHeight w:val="263"/>
        </w:trPr>
        <w:tc>
          <w:tcPr>
            <w:tcW w:w="9840" w:type="dxa"/>
            <w:vAlign w:val="bottom"/>
          </w:tcPr>
          <w:p>
            <w:pPr>
              <w:ind w:left="20"/>
              <w:spacing w:after="0"/>
              <w:rPr>
                <w:sz w:val="20"/>
                <w:szCs w:val="20"/>
                <w:color w:val="auto"/>
              </w:rPr>
            </w:pPr>
            <w:r>
              <w:rPr>
                <w:rFonts w:ascii="Arial" w:cs="Arial" w:eastAsia="Arial" w:hAnsi="Arial"/>
                <w:sz w:val="18"/>
                <w:szCs w:val="18"/>
                <w:color w:val="auto"/>
              </w:rPr>
              <w:t>Outstanding at June 30, 2020</w:t>
            </w:r>
          </w:p>
        </w:tc>
        <w:tc>
          <w:tcPr>
            <w:tcW w:w="130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56,425</w:t>
            </w:r>
          </w:p>
        </w:tc>
      </w:tr>
      <w:tr>
        <w:trPr>
          <w:trHeight w:val="20"/>
        </w:trPr>
        <w:tc>
          <w:tcPr>
            <w:tcW w:w="98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For the three months ended June 30, 2020 and 2019, an expense of $0.4 million and $0.5 million, respectively, was included as stock-based compensation expense related to cash-settled restricted stock units. For the six months ended June 30, 2020 and 2019, a credit of $0.9 million and an expense of $1.1 million, respectively, was included as stock-based compensation expense related to cash-settled restricted stock units. At June 30, 2020 and December 31, 2019, liabilities of $1.3 million and $2.3 million, respectively, related to cash-settled restricted stock units were included as part of accrued employee compensation and benefits in the Consolidated Balance Sheets.</w:t>
      </w:r>
    </w:p>
    <w:p>
      <w:pPr>
        <w:spacing w:after="0" w:line="200" w:lineRule="exact"/>
        <w:rPr>
          <w:sz w:val="20"/>
          <w:szCs w:val="20"/>
          <w:color w:val="auto"/>
        </w:rPr>
      </w:pPr>
    </w:p>
    <w:p>
      <w:pPr>
        <w:spacing w:after="0" w:line="2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Liability Classified Awards - Long-Term Incentive Awards</w:t>
      </w:r>
    </w:p>
    <w:p>
      <w:pPr>
        <w:spacing w:after="0" w:line="158"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The Company has granted cash long-term incentive awards (“LTIP awards”) to certain employees. Annual LTIP awards vest over a three-year period and are determined using multipliers from 0% to 200% of the target award based on (i) the total stockholder return of Dine Brands Global common stock compared to the total stockholder returns of a peer group of companies and (ii) the percentage increase in the Company's adjusted earnings per share (as defined in the applicable award agreement). The awards are considered stock-based compensation and are classified as liabilities measured at fair value as of the respective period end. For the three months ended June 30, 2020 and 2019, a credit of $0.3 million and an expense of $0.8 million, respectively, were included in total stock-based compensation expense related to LTIP awards. For the six months ended June 30, 2020 and 2019, $0.4 million and $1.2 million, respectively, were included in total stock-based compensation expense related to LTIP awards. At June 30, 2020 and December 31, 2019, liabilities of $1.8 million and $2.9 million, respectively, related to LTIP awards were included as part of accrued employee compensation and benefits in the Consolidated Balance Sheets.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7" w:name="page28"/>
    <w:bookmarkEnd w:id="2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Segments</w:t>
      </w:r>
    </w:p>
    <w:p>
      <w:pPr>
        <w:spacing w:after="0" w:line="18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Company identifies its reporting segments based on the organizational units used by management to monitor performance and make operating decisions. The Company currently has five operating segments: Applebee's franchise operations, Applebee's company-operated restaurant operations, IHOP franchise operations, rental operations and financing operations. The Company has four reportable segments: franchise operations, (an aggregation of Applebee's and IHOP franchise operations), company-operated restaurant operations, rental operations and financing operations. The Company considers these to be its reportable segments, regardless of whether any segment exceeds 10% of consolidated revenues, income before income tax provision or total assets.</w:t>
      </w:r>
    </w:p>
    <w:p>
      <w:pPr>
        <w:spacing w:after="0" w:line="152"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As of June 30, 2020, the franchise operations segment consisted of (i) 1,680 restaurants operated by Applebee’s franchisees in the United States, two U.S. territories and 11 countries outside the United States and (ii) 1,823 restaurants operated by IHOP franchisees and area licensees in the United States, two U.S. territories and 13 countries outside the United States. Franchise operations revenue consists primarily of franchise royalty revenues, franchise advertising revenue, sales of proprietary products to franchisees (primarily pancake and waffle dry mixes for the IHOP restaurants), and franchise fees. Franchise operations expenses include advertising expenses, the cost of IHOP proprietary products, bad debt expense, franchisor contributions to marketing funds, pre-opening training expenses and other franchise-related costs.</w:t>
      </w:r>
    </w:p>
    <w:p>
      <w:pPr>
        <w:spacing w:after="0" w:line="205"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Company restaurant sales are retail sales at 69 Applebee's company-operated restaurants. Company restaurant expenses are operating expenses at company-operated restaurants and include food, labor, utilities, rent and other restaurant operating costs.</w:t>
      </w:r>
    </w:p>
    <w:p>
      <w:pPr>
        <w:spacing w:after="0" w:line="197"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Rental operations revenue includes revenue from operating leases and interest income from direct financing leases. Rental operations expenses are costs of operating leases and interest expense from finance leases on which the Company is the lessee.</w:t>
      </w:r>
    </w:p>
    <w:p>
      <w:pPr>
        <w:spacing w:after="0" w:line="197"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Financing revenues primarily consist of interest income from the financing of IHOP equipment leases and franchise fees, sales of equipment associated with refranchised IHOP restaurants and interest income on Applebee's notes receivable from franchisees. Financing expenses are primarily the cost of restaurant equipment associated with refranchised IHOP restaurants.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Dine Brand Global,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Segments (Continued)</w:t>
      </w:r>
    </w:p>
    <w:p>
      <w:pPr>
        <w:spacing w:after="0" w:line="200" w:lineRule="exact"/>
        <w:rPr>
          <w:sz w:val="20"/>
          <w:szCs w:val="20"/>
          <w:color w:val="auto"/>
        </w:rPr>
      </w:pPr>
    </w:p>
    <w:p>
      <w:pPr>
        <w:spacing w:after="0" w:line="3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on segments is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80" w:type="dxa"/>
            <w:vAlign w:val="bottom"/>
            <w:gridSpan w:val="5"/>
          </w:tcPr>
          <w:p>
            <w:pPr>
              <w:ind w:left="220"/>
              <w:spacing w:after="0"/>
              <w:rPr>
                <w:sz w:val="20"/>
                <w:szCs w:val="20"/>
                <w:color w:val="auto"/>
              </w:rPr>
            </w:pPr>
            <w:r>
              <w:rPr>
                <w:rFonts w:ascii="Arial" w:cs="Arial" w:eastAsia="Arial" w:hAnsi="Arial"/>
                <w:sz w:val="16"/>
                <w:szCs w:val="16"/>
                <w:b w:val="1"/>
                <w:bCs w:val="1"/>
                <w:color w:val="auto"/>
              </w:rPr>
              <w:t>Three months ended June 30,</w:t>
            </w:r>
          </w:p>
        </w:tc>
        <w:tc>
          <w:tcPr>
            <w:tcW w:w="420" w:type="dxa"/>
            <w:vAlign w:val="bottom"/>
          </w:tcPr>
          <w:p>
            <w:pPr>
              <w:spacing w:after="0"/>
              <w:rPr>
                <w:sz w:val="18"/>
                <w:szCs w:val="18"/>
                <w:color w:val="auto"/>
              </w:rPr>
            </w:pPr>
          </w:p>
        </w:tc>
        <w:tc>
          <w:tcPr>
            <w:tcW w:w="2600" w:type="dxa"/>
            <w:vAlign w:val="bottom"/>
            <w:gridSpan w:val="4"/>
          </w:tcPr>
          <w:p>
            <w:pPr>
              <w:jc w:val="right"/>
              <w:ind w:right="490"/>
              <w:spacing w:after="0"/>
              <w:rPr>
                <w:sz w:val="20"/>
                <w:szCs w:val="20"/>
                <w:color w:val="auto"/>
              </w:rPr>
            </w:pPr>
            <w:r>
              <w:rPr>
                <w:rFonts w:ascii="Arial" w:cs="Arial" w:eastAsia="Arial" w:hAnsi="Arial"/>
                <w:sz w:val="16"/>
                <w:szCs w:val="16"/>
                <w:b w:val="1"/>
                <w:bCs w:val="1"/>
                <w:color w:val="auto"/>
                <w:w w:val="96"/>
              </w:rPr>
              <w:t>Six months ended June 30,</w:t>
            </w:r>
          </w:p>
        </w:tc>
        <w:tc>
          <w:tcPr>
            <w:tcW w:w="0" w:type="dxa"/>
            <w:vAlign w:val="bottom"/>
          </w:tcPr>
          <w:p>
            <w:pPr>
              <w:spacing w:after="0"/>
              <w:rPr>
                <w:sz w:val="1"/>
                <w:szCs w:val="1"/>
                <w:color w:val="auto"/>
              </w:rPr>
            </w:pPr>
          </w:p>
        </w:tc>
      </w:tr>
      <w:tr>
        <w:trPr>
          <w:trHeight w:val="33"/>
        </w:trPr>
        <w:tc>
          <w:tcPr>
            <w:tcW w:w="5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49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9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ind w:right="471"/>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70"/>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5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Revenues from external customers:</w:t>
            </w: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Franchise operations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67.8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162.7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212.9</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331.6</w:t>
            </w: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Rental operations</w:t>
            </w:r>
          </w:p>
        </w:tc>
        <w:tc>
          <w:tcPr>
            <w:tcW w:w="32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52.7</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Company restaurants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48.1</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Financing operations</w:t>
            </w:r>
          </w:p>
        </w:tc>
        <w:tc>
          <w:tcPr>
            <w:tcW w:w="32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109.7</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228.1</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316.6</w:t>
            </w:r>
          </w:p>
        </w:tc>
        <w:tc>
          <w:tcPr>
            <w:tcW w:w="1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465.3</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Interest expense: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02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Rental operations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3.1</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Company restaurants</w:t>
            </w:r>
          </w:p>
        </w:tc>
        <w:tc>
          <w:tcPr>
            <w:tcW w:w="32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32.3</w:t>
            </w: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63"/>
        </w:trPr>
        <w:tc>
          <w:tcPr>
            <w:tcW w:w="5020" w:type="dxa"/>
            <w:vAlign w:val="bottom"/>
          </w:tcPr>
          <w:p>
            <w:pPr>
              <w:ind w:left="10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36.4</w:t>
            </w:r>
          </w:p>
        </w:tc>
        <w:tc>
          <w:tcPr>
            <w:tcW w:w="14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
        </w:trPr>
        <w:tc>
          <w:tcPr>
            <w:tcW w:w="50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5020" w:type="dxa"/>
            <w:vAlign w:val="bottom"/>
            <w:vMerge w:val="continue"/>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Franchise operations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5.1</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Rental operations</w:t>
            </w:r>
          </w:p>
        </w:tc>
        <w:tc>
          <w:tcPr>
            <w:tcW w:w="32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Company restaurants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3.2</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Corporate</w:t>
            </w:r>
          </w:p>
        </w:tc>
        <w:tc>
          <w:tcPr>
            <w:tcW w:w="32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21.3</w:t>
            </w:r>
          </w:p>
        </w:tc>
        <w:tc>
          <w:tcPr>
            <w:tcW w:w="1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Gross profit, by segment:</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02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Franchise operations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30.8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83.8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106.4</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172.4</w:t>
            </w: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Rental operations</w:t>
            </w:r>
          </w:p>
        </w:tc>
        <w:tc>
          <w:tcPr>
            <w:tcW w:w="32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8.9</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Company restaurants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Financing operations</w:t>
            </w:r>
          </w:p>
        </w:tc>
        <w:tc>
          <w:tcPr>
            <w:tcW w:w="32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gross profit</w:t>
            </w: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94.9</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114.5</w:t>
            </w:r>
          </w:p>
        </w:tc>
        <w:tc>
          <w:tcPr>
            <w:tcW w:w="1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197.4</w:t>
            </w:r>
          </w:p>
        </w:tc>
        <w:tc>
          <w:tcPr>
            <w:tcW w:w="0" w:type="dxa"/>
            <w:vAlign w:val="bottom"/>
          </w:tcPr>
          <w:p>
            <w:pPr>
              <w:spacing w:after="0"/>
              <w:rPr>
                <w:sz w:val="1"/>
                <w:szCs w:val="1"/>
                <w:color w:val="auto"/>
              </w:rPr>
            </w:pPr>
          </w:p>
        </w:tc>
      </w:tr>
      <w:tr>
        <w:trPr>
          <w:trHeight w:val="270"/>
        </w:trPr>
        <w:tc>
          <w:tcPr>
            <w:tcW w:w="5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Corporate and unallocated expenses, net</w:t>
            </w:r>
          </w:p>
        </w:tc>
        <w:tc>
          <w:tcPr>
            <w:tcW w:w="3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(176.9)</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(65.8)</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(232.2)</w:t>
            </w:r>
          </w:p>
        </w:tc>
        <w:tc>
          <w:tcPr>
            <w:tcW w:w="14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88"/>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income before income tax provision</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(146.8)</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(117.7)</w:t>
            </w:r>
          </w:p>
        </w:tc>
        <w:tc>
          <w:tcPr>
            <w:tcW w:w="1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(Loss) Income per Share</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computation of the Company's basic and diluted net income per share is as follows: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740" w:type="dxa"/>
            <w:vAlign w:val="bottom"/>
          </w:tcPr>
          <w:p>
            <w:pPr>
              <w:spacing w:after="0"/>
              <w:rPr>
                <w:sz w:val="19"/>
                <w:szCs w:val="19"/>
                <w:color w:val="auto"/>
              </w:rPr>
            </w:pPr>
          </w:p>
        </w:tc>
        <w:tc>
          <w:tcPr>
            <w:tcW w:w="2360" w:type="dxa"/>
            <w:vAlign w:val="bottom"/>
            <w:gridSpan w:val="7"/>
          </w:tcPr>
          <w:p>
            <w:pPr>
              <w:ind w:left="60"/>
              <w:spacing w:after="0"/>
              <w:rPr>
                <w:sz w:val="20"/>
                <w:szCs w:val="20"/>
                <w:color w:val="auto"/>
              </w:rPr>
            </w:pPr>
            <w:r>
              <w:rPr>
                <w:rFonts w:ascii="Arial" w:cs="Arial" w:eastAsia="Arial" w:hAnsi="Arial"/>
                <w:sz w:val="17"/>
                <w:szCs w:val="17"/>
                <w:b w:val="1"/>
                <w:bCs w:val="1"/>
                <w:color w:val="auto"/>
                <w:w w:val="94"/>
              </w:rPr>
              <w:t>Three months ended June 30,</w:t>
            </w:r>
          </w:p>
        </w:tc>
        <w:tc>
          <w:tcPr>
            <w:tcW w:w="2140" w:type="dxa"/>
            <w:vAlign w:val="bottom"/>
            <w:gridSpan w:val="5"/>
          </w:tcPr>
          <w:p>
            <w:pPr>
              <w:jc w:val="right"/>
              <w:ind w:right="11"/>
              <w:spacing w:after="0"/>
              <w:rPr>
                <w:sz w:val="20"/>
                <w:szCs w:val="20"/>
                <w:color w:val="auto"/>
              </w:rPr>
            </w:pPr>
            <w:r>
              <w:rPr>
                <w:rFonts w:ascii="Arial" w:cs="Arial" w:eastAsia="Arial" w:hAnsi="Arial"/>
                <w:sz w:val="17"/>
                <w:szCs w:val="17"/>
                <w:b w:val="1"/>
                <w:bCs w:val="1"/>
                <w:color w:val="auto"/>
                <w:w w:val="92"/>
              </w:rPr>
              <w:t>Six months ended June 30,</w:t>
            </w:r>
          </w:p>
        </w:tc>
        <w:tc>
          <w:tcPr>
            <w:tcW w:w="0" w:type="dxa"/>
            <w:vAlign w:val="bottom"/>
          </w:tcPr>
          <w:p>
            <w:pPr>
              <w:spacing w:after="0"/>
              <w:rPr>
                <w:sz w:val="1"/>
                <w:szCs w:val="1"/>
                <w:color w:val="auto"/>
              </w:rPr>
            </w:pPr>
          </w:p>
        </w:tc>
      </w:tr>
      <w:tr>
        <w:trPr>
          <w:trHeight w:val="31"/>
        </w:trPr>
        <w:tc>
          <w:tcPr>
            <w:tcW w:w="6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251"/>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7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27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5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8"/>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40" w:type="dxa"/>
            <w:vAlign w:val="bottom"/>
            <w:gridSpan w:val="8"/>
          </w:tcPr>
          <w:p>
            <w:pPr>
              <w:ind w:left="40"/>
              <w:spacing w:after="0"/>
              <w:rPr>
                <w:sz w:val="20"/>
                <w:szCs w:val="20"/>
                <w:color w:val="auto"/>
              </w:rPr>
            </w:pPr>
            <w:r>
              <w:rPr>
                <w:rFonts w:ascii="Arial" w:cs="Arial" w:eastAsia="Arial" w:hAnsi="Arial"/>
                <w:sz w:val="14"/>
                <w:szCs w:val="14"/>
                <w:b w:val="1"/>
                <w:bCs w:val="1"/>
                <w:color w:val="auto"/>
                <w:w w:val="95"/>
              </w:rPr>
              <w:t>(In thousands, except per share data)</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6740" w:type="dxa"/>
            <w:vAlign w:val="bottom"/>
          </w:tcPr>
          <w:p>
            <w:pPr>
              <w:ind w:left="20"/>
              <w:spacing w:after="0"/>
              <w:rPr>
                <w:sz w:val="20"/>
                <w:szCs w:val="20"/>
                <w:color w:val="auto"/>
              </w:rPr>
            </w:pPr>
            <w:r>
              <w:rPr>
                <w:rFonts w:ascii="Arial" w:cs="Arial" w:eastAsia="Arial" w:hAnsi="Arial"/>
                <w:sz w:val="18"/>
                <w:szCs w:val="18"/>
                <w:color w:val="auto"/>
              </w:rPr>
              <w:t>Numerator for basic and diluted (loss) income per common share:</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(134,779)</w:t>
            </w:r>
          </w:p>
        </w:tc>
        <w:tc>
          <w:tcPr>
            <w:tcW w:w="40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21,390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5"/>
              </w:rPr>
              <w:t>(112,451)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53,033</w:t>
            </w:r>
          </w:p>
        </w:tc>
        <w:tc>
          <w:tcPr>
            <w:tcW w:w="0" w:type="dxa"/>
            <w:vAlign w:val="bottom"/>
          </w:tcPr>
          <w:p>
            <w:pPr>
              <w:spacing w:after="0"/>
              <w:rPr>
                <w:sz w:val="1"/>
                <w:szCs w:val="1"/>
                <w:color w:val="auto"/>
              </w:rPr>
            </w:pPr>
          </w:p>
        </w:tc>
      </w:tr>
      <w:tr>
        <w:trPr>
          <w:trHeight w:val="243"/>
        </w:trPr>
        <w:tc>
          <w:tcPr>
            <w:tcW w:w="6740" w:type="dxa"/>
            <w:vAlign w:val="bottom"/>
          </w:tcPr>
          <w:p>
            <w:pPr>
              <w:ind w:left="220"/>
              <w:spacing w:after="0"/>
              <w:rPr>
                <w:sz w:val="20"/>
                <w:szCs w:val="20"/>
                <w:color w:val="auto"/>
              </w:rPr>
            </w:pPr>
            <w:r>
              <w:rPr>
                <w:rFonts w:ascii="Arial" w:cs="Arial" w:eastAsia="Arial" w:hAnsi="Arial"/>
                <w:sz w:val="18"/>
                <w:szCs w:val="18"/>
                <w:color w:val="auto"/>
              </w:rPr>
              <w:t>Less: Net loss (income) allocated to unvested participating restricted stock</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4,763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3,961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(1,827)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 available to common stockholders - basic</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(130,016)</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20,671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5"/>
              </w:rPr>
              <w:t>(108,490)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51,206</w:t>
            </w:r>
          </w:p>
        </w:tc>
        <w:tc>
          <w:tcPr>
            <w:tcW w:w="0" w:type="dxa"/>
            <w:vAlign w:val="bottom"/>
          </w:tcPr>
          <w:p>
            <w:pPr>
              <w:spacing w:after="0"/>
              <w:rPr>
                <w:sz w:val="1"/>
                <w:szCs w:val="1"/>
                <w:color w:val="auto"/>
              </w:rPr>
            </w:pPr>
          </w:p>
        </w:tc>
      </w:tr>
      <w:tr>
        <w:trPr>
          <w:trHeight w:val="243"/>
        </w:trPr>
        <w:tc>
          <w:tcPr>
            <w:tcW w:w="6740" w:type="dxa"/>
            <w:vAlign w:val="bottom"/>
          </w:tcPr>
          <w:p>
            <w:pPr>
              <w:ind w:left="220"/>
              <w:spacing w:after="0"/>
              <w:rPr>
                <w:sz w:val="20"/>
                <w:szCs w:val="20"/>
                <w:color w:val="auto"/>
              </w:rPr>
            </w:pPr>
            <w:r>
              <w:rPr>
                <w:rFonts w:ascii="Arial" w:cs="Arial" w:eastAsia="Arial" w:hAnsi="Arial"/>
                <w:sz w:val="18"/>
                <w:szCs w:val="18"/>
                <w:color w:val="auto"/>
              </w:rPr>
              <w:t>Effect of unvested participating restricted stock in two-class calculation</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 available to common stockholders - diluted</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(130,013)</w:t>
            </w:r>
          </w:p>
        </w:tc>
        <w:tc>
          <w:tcPr>
            <w:tcW w:w="4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20,678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5"/>
              </w:rPr>
              <w:t>(108,490)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51,226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Denominator:</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7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outstanding shares of common stock - basic</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16,177</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17,181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16,215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17,262</w:t>
            </w:r>
          </w:p>
        </w:tc>
        <w:tc>
          <w:tcPr>
            <w:tcW w:w="0" w:type="dxa"/>
            <w:vAlign w:val="bottom"/>
          </w:tcPr>
          <w:p>
            <w:pPr>
              <w:spacing w:after="0"/>
              <w:rPr>
                <w:sz w:val="1"/>
                <w:szCs w:val="1"/>
                <w:color w:val="auto"/>
              </w:rPr>
            </w:pPr>
          </w:p>
        </w:tc>
      </w:tr>
      <w:tr>
        <w:trPr>
          <w:trHeight w:val="243"/>
        </w:trPr>
        <w:tc>
          <w:tcPr>
            <w:tcW w:w="6740" w:type="dxa"/>
            <w:vAlign w:val="bottom"/>
          </w:tcPr>
          <w:p>
            <w:pPr>
              <w:ind w:left="220"/>
              <w:spacing w:after="0"/>
              <w:rPr>
                <w:sz w:val="20"/>
                <w:szCs w:val="20"/>
                <w:color w:val="auto"/>
              </w:rPr>
            </w:pPr>
            <w:r>
              <w:rPr>
                <w:rFonts w:ascii="Arial" w:cs="Arial" w:eastAsia="Arial" w:hAnsi="Arial"/>
                <w:sz w:val="18"/>
                <w:szCs w:val="18"/>
                <w:color w:val="auto"/>
              </w:rPr>
              <w:t>Dilutive effect of stock options</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outstanding shares of common stock - diluted</w:t>
            </w:r>
          </w:p>
        </w:tc>
        <w:tc>
          <w:tcPr>
            <w:tcW w:w="20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16,177</w:t>
            </w:r>
          </w:p>
        </w:tc>
        <w:tc>
          <w:tcPr>
            <w:tcW w:w="6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17,563</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16,215</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17,626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(loss) income per common share: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7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6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6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(6.69)</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740" w:type="dxa"/>
            <w:vAlign w:val="bottom"/>
          </w:tcPr>
          <w:p>
            <w:pPr>
              <w:ind w:left="220"/>
              <w:spacing w:after="0"/>
              <w:rPr>
                <w:sz w:val="20"/>
                <w:szCs w:val="20"/>
                <w:color w:val="auto"/>
              </w:rPr>
            </w:pPr>
            <w:r>
              <w:rPr>
                <w:rFonts w:ascii="Arial" w:cs="Arial" w:eastAsia="Arial" w:hAnsi="Arial"/>
                <w:sz w:val="18"/>
                <w:szCs w:val="18"/>
                <w:color w:val="auto"/>
              </w:rPr>
              <w:t>Diluted</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(8.04)</w:t>
            </w:r>
          </w:p>
        </w:tc>
        <w:tc>
          <w:tcPr>
            <w:tcW w:w="4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
        </w:trPr>
        <w:tc>
          <w:tcPr>
            <w:tcW w:w="6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75"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75" w:gutter="0" w:footer="0" w:header="0"/>
          <w:type w:val="continuous"/>
        </w:sectPr>
      </w:pPr>
    </w:p>
    <w:bookmarkStart w:id="29" w:name="page30"/>
    <w:bookmarkEnd w:id="2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Net (Loss) Income per Share (Continued)</w:t>
      </w:r>
    </w:p>
    <w:p>
      <w:pPr>
        <w:spacing w:after="0" w:line="275"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For the six months ended June 30, 2020, diluted loss per common share was computed using the basic weighted average number of shares outstanding during the period as the 101,000 shares from common stock equivalents would have been antidilutive. There were no common stock equivalents for the three months ended June 30,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Fair Value Measurements</w:t>
      </w:r>
    </w:p>
    <w:p>
      <w:pPr>
        <w:spacing w:after="0" w:line="162" w:lineRule="exact"/>
        <w:rPr>
          <w:sz w:val="20"/>
          <w:szCs w:val="20"/>
          <w:color w:val="auto"/>
        </w:rPr>
      </w:pPr>
    </w:p>
    <w:p>
      <w:pPr>
        <w:jc w:val="both"/>
        <w:ind w:right="100" w:firstLine="324"/>
        <w:spacing w:after="0" w:line="301" w:lineRule="auto"/>
        <w:rPr>
          <w:sz w:val="20"/>
          <w:szCs w:val="20"/>
          <w:color w:val="auto"/>
        </w:rPr>
      </w:pPr>
      <w:r>
        <w:rPr>
          <w:rFonts w:ascii="Arial" w:cs="Arial" w:eastAsia="Arial" w:hAnsi="Arial"/>
          <w:sz w:val="16"/>
          <w:szCs w:val="16"/>
          <w:color w:val="auto"/>
        </w:rPr>
        <w:t>The Company does not have a material amount of financial assets or liabilities that are required under U.S. GAAP to be measured on a recurring basis at fair value. The Company is not a party to any material derivative financial instruments. The Company does not have a material amount of non-financial assets or non-financial liabilities that are required under U.S. GAAP to be measured at fair value on a recurring basis. The Company has not elected to use the fair value measurement option, as permitted under U.S. GAAP, for any assets or liabilities for which fair value measurement is not presently required.</w:t>
      </w:r>
    </w:p>
    <w:p>
      <w:pPr>
        <w:spacing w:after="0" w:line="117"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Company believes the fair values of cash equivalents, accounts receivable and accounts payable approximate their carrying amounts due to their short duration.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fair values of the Company's 2019 Class A-2 Notes at June 30, 2020 and December 31, 2019 were as follows:</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June 30, 2020</w:t>
            </w: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8"/>
              </w:rPr>
              <w:t>December 31, 2019</w:t>
            </w:r>
          </w:p>
        </w:tc>
        <w:tc>
          <w:tcPr>
            <w:tcW w:w="100" w:type="dxa"/>
            <w:vAlign w:val="bottom"/>
            <w:tcBorders>
              <w:bottom w:val="single" w:sz="8" w:color="auto"/>
            </w:tcBorders>
          </w:tcPr>
          <w:p>
            <w:pPr>
              <w:spacing w:after="0"/>
              <w:rPr>
                <w:sz w:val="16"/>
                <w:szCs w:val="16"/>
                <w:color w:val="auto"/>
              </w:rPr>
            </w:pPr>
          </w:p>
        </w:tc>
      </w:tr>
      <w:tr>
        <w:trPr>
          <w:trHeight w:val="190"/>
        </w:trPr>
        <w:tc>
          <w:tcPr>
            <w:tcW w:w="7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80" w:type="dxa"/>
            <w:vAlign w:val="bottom"/>
            <w:gridSpan w:val="4"/>
          </w:tcPr>
          <w:p>
            <w:pPr>
              <w:jc w:val="right"/>
              <w:ind w:right="1176"/>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6"/>
                <w:szCs w:val="16"/>
                <w:color w:val="auto"/>
              </w:rPr>
            </w:pPr>
          </w:p>
        </w:tc>
      </w:tr>
      <w:tr>
        <w:trPr>
          <w:trHeight w:val="282"/>
        </w:trPr>
        <w:tc>
          <w:tcPr>
            <w:tcW w:w="7760" w:type="dxa"/>
            <w:vAlign w:val="bottom"/>
          </w:tcPr>
          <w:p>
            <w:pPr>
              <w:spacing w:after="0"/>
              <w:rPr>
                <w:sz w:val="20"/>
                <w:szCs w:val="20"/>
                <w:color w:val="auto"/>
              </w:rPr>
            </w:pPr>
            <w:r>
              <w:rPr>
                <w:rFonts w:ascii="Arial" w:cs="Arial" w:eastAsia="Arial" w:hAnsi="Arial"/>
                <w:sz w:val="18"/>
                <w:szCs w:val="18"/>
                <w:color w:val="auto"/>
              </w:rPr>
              <w:t>Face Value of Class A-2 Notes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color w:val="auto"/>
              </w:rPr>
              <w:t>1,300.0</w:t>
            </w:r>
          </w:p>
        </w:tc>
        <w:tc>
          <w:tcPr>
            <w:tcW w:w="12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1,300.0</w:t>
            </w:r>
          </w:p>
        </w:tc>
        <w:tc>
          <w:tcPr>
            <w:tcW w:w="100" w:type="dxa"/>
            <w:vAlign w:val="bottom"/>
          </w:tcPr>
          <w:p>
            <w:pPr>
              <w:spacing w:after="0"/>
              <w:rPr>
                <w:sz w:val="24"/>
                <w:szCs w:val="24"/>
                <w:color w:val="auto"/>
              </w:rPr>
            </w:pPr>
          </w:p>
        </w:tc>
      </w:tr>
      <w:tr>
        <w:trPr>
          <w:trHeight w:val="20"/>
        </w:trPr>
        <w:tc>
          <w:tcPr>
            <w:tcW w:w="7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760" w:type="dxa"/>
            <w:vAlign w:val="bottom"/>
          </w:tcPr>
          <w:p>
            <w:pPr>
              <w:spacing w:after="0"/>
              <w:rPr>
                <w:sz w:val="20"/>
                <w:szCs w:val="20"/>
                <w:color w:val="auto"/>
              </w:rPr>
            </w:pPr>
            <w:r>
              <w:rPr>
                <w:rFonts w:ascii="Arial" w:cs="Arial" w:eastAsia="Arial" w:hAnsi="Arial"/>
                <w:sz w:val="18"/>
                <w:szCs w:val="18"/>
                <w:color w:val="auto"/>
              </w:rPr>
              <w:t>Fair Value of Class A-2 Notes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color w:val="auto"/>
              </w:rPr>
              <w:t>1,122.8</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1,326.3</w:t>
            </w:r>
          </w:p>
        </w:tc>
        <w:tc>
          <w:tcPr>
            <w:tcW w:w="100" w:type="dxa"/>
            <w:vAlign w:val="bottom"/>
          </w:tcPr>
          <w:p>
            <w:pPr>
              <w:spacing w:after="0"/>
              <w:rPr>
                <w:sz w:val="22"/>
                <w:szCs w:val="22"/>
                <w:color w:val="auto"/>
              </w:rPr>
            </w:pPr>
          </w:p>
        </w:tc>
      </w:tr>
      <w:tr>
        <w:trPr>
          <w:trHeight w:val="21"/>
        </w:trPr>
        <w:tc>
          <w:tcPr>
            <w:tcW w:w="7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right="280" w:firstLine="324"/>
        <w:spacing w:after="0" w:line="277" w:lineRule="auto"/>
        <w:rPr>
          <w:sz w:val="20"/>
          <w:szCs w:val="20"/>
          <w:color w:val="auto"/>
        </w:rPr>
      </w:pPr>
      <w:r>
        <w:rPr>
          <w:rFonts w:ascii="Arial" w:cs="Arial" w:eastAsia="Arial" w:hAnsi="Arial"/>
          <w:sz w:val="18"/>
          <w:szCs w:val="18"/>
          <w:color w:val="auto"/>
        </w:rPr>
        <w:t>The fair values were determined based on Level 2 inputs, including information gathered from brokers who trade in the Company’s 2019 Class A-2 Notes, as well as information on notes that are similar to those of the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Litigation, Claims and Disputes</w:t>
      </w:r>
    </w:p>
    <w:p>
      <w:pPr>
        <w:spacing w:after="0" w:line="185" w:lineRule="exact"/>
        <w:rPr>
          <w:sz w:val="20"/>
          <w:szCs w:val="20"/>
          <w:color w:val="auto"/>
        </w:rPr>
      </w:pPr>
    </w:p>
    <w:p>
      <w:pPr>
        <w:ind w:firstLine="324"/>
        <w:spacing w:after="0" w:line="274" w:lineRule="auto"/>
        <w:rPr>
          <w:sz w:val="20"/>
          <w:szCs w:val="20"/>
          <w:color w:val="auto"/>
        </w:rPr>
      </w:pPr>
      <w:r>
        <w:rPr>
          <w:rFonts w:ascii="Arial" w:cs="Arial" w:eastAsia="Arial" w:hAnsi="Arial"/>
          <w:sz w:val="16"/>
          <w:szCs w:val="16"/>
          <w:color w:val="auto"/>
        </w:rPr>
        <w:t>The Company is subject to various lawsuits, administrative proceedings, audits and claims arising in the ordinary course of business. Some of these lawsuits purport to be class actions and/or seek substantial damages. The Company is required under U.S. GAAP to record an accrual for litigation loss contingencies that are both probable and reasonably estimable. Legal fees and expenses associated with the defense of all of the Company's litigation are expensed as such fees and expenses are incurred. Management regularly assesses the Company's insurance coverage, analyzes litigation information with the Company's attorneys and evaluates the Company's loss experience in connection with pending legal proceedings. While the Company does not presently believe that any of the legal proceedings to which it is currently a party will ultimately have a material adverse impact on the Company, there can be no assurance that the Company will prevail in all the proceedings the Company is party to, or that the Company will not incur material losses from them.</w:t>
      </w:r>
    </w:p>
    <w:p>
      <w:pPr>
        <w:spacing w:after="0" w:line="200" w:lineRule="exact"/>
        <w:rPr>
          <w:sz w:val="20"/>
          <w:szCs w:val="20"/>
          <w:color w:val="auto"/>
        </w:rPr>
      </w:pPr>
    </w:p>
    <w:p>
      <w:pPr>
        <w:spacing w:after="0" w:line="2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 Guarantees</w:t>
      </w:r>
    </w:p>
    <w:p>
      <w:pPr>
        <w:spacing w:after="0" w:line="185"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In connection with the sale of Applebee’s restaurants to franchisees, the Company has, in certain cases, guaranteed or has potential continuing liability for lease payments totaling $250.3 million as of June 30, 2020. This amount represents the maximum potential liability for future payments under these leases. These leases have been assigned to the buyers and expire at the end of the respective lease terms, which range from 2020 through 2048. Excluding unexercised option periods, the Company's potential liability for future payments under these leases is $36.8 million. In the event of default, the indemnity and default clauses in the sale or assignment agreements govern the Company's ability to pursue and recover damages incurred.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Restricted Cash</w:t>
      </w:r>
    </w:p>
    <w:p>
      <w:pPr>
        <w:spacing w:after="0" w:line="256"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Current restricted cash of $31.2 million at June 30, 2020 primarily consisted of $29.5 million of funds required to be held in trust in connection with the Company's securitized debt and $1.6 million of funds from Applebee's franchisees pursuant to franchise agreements, usage of which was restricted to advertising activities. Current restricted cash of $40.7 million at December 31, 2019 primarily consisted of $38.4 million of funds required to be held in trust in connection with the Company's securitized debt and $2.3 million of funds from Applebee's franchisees pursuant to franchise agreements, usage of which was restricted to advertising activities.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0" w:name="page31"/>
    <w:bookmarkEnd w:id="3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Restricted Cash (Continued)</w:t>
      </w:r>
    </w:p>
    <w:p>
      <w:pPr>
        <w:spacing w:after="0" w:line="200" w:lineRule="exact"/>
        <w:rPr>
          <w:sz w:val="20"/>
          <w:szCs w:val="20"/>
          <w:color w:val="auto"/>
        </w:rPr>
      </w:pPr>
    </w:p>
    <w:p>
      <w:pPr>
        <w:spacing w:after="0" w:line="29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Non-current restricted cash of $32.8 million at June 30, 2020 and $15.7 million at December 31, 2019 represents interest reserves required to be set aside for the duration of the Company's securitized debt. During the six months ended June 30, 2020, the Company voluntarily increased the reserve from the required $16.4 million (one quarter of interest and fees related to the 2019 Class A-1 Notes and 2019 Class A-2 Notes) to the current balance of $32.8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18" w:right="49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You should read the following Management's Discussion and Analysis of Financial Condition and Results of Operations (“MD&amp;A”) in conjunction with the consolidated financial statements and the related notes that appear elsewhere in this report. Statements contained in this report may constitute forward-looking statements within the meaning of the Private Securities Litigation Reform Act of 1995. Please refer to the section of this report under the heading “Cautionary Statement Regarding Forward-Looking Statements” for more information.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The following discussion and analysis provides information which we believe is relevant to an assessment and understanding of our consolidated results of operations and financial condition. The discussion should be read in conjunction with the consolidated financial statements and the notes thereto included in Item 1 of Part I of this Quarterly Report and the audited consolidated financial statements and notes thereto and the MD&amp;A contained in the Company’s Annual Report on Form 10-K for the fiscal year ended December 31, 2019. Except where the context indicates otherwise, the words “we,” “us,” “our,” “Dine Brands Global” and the “Company” refer to Dine Brands Global, Inc., together with its subsidiaries that are consolidated in accordance with United States generally accepted accounting principles (“U.S. GAAP”). The financial tables appearing in Management's Discussion and Analysis present amounts in millions of dollars that are rounded from our consolidated financial statements presented in thousands of dollars. As a result, the tables may not foot or crossfoot due to rounding.</w:t>
      </w:r>
    </w:p>
    <w:p>
      <w:pPr>
        <w:spacing w:after="0" w:line="178" w:lineRule="exact"/>
        <w:rPr>
          <w:sz w:val="20"/>
          <w:szCs w:val="20"/>
          <w:color w:val="auto"/>
        </w:rPr>
      </w:pPr>
    </w:p>
    <w:p>
      <w:pPr>
        <w:ind w:firstLine="324"/>
        <w:spacing w:after="0" w:line="237" w:lineRule="auto"/>
        <w:rPr>
          <w:sz w:val="20"/>
          <w:szCs w:val="20"/>
          <w:color w:val="auto"/>
        </w:rPr>
      </w:pPr>
      <w:r>
        <w:rPr>
          <w:rFonts w:ascii="Arial" w:cs="Arial" w:eastAsia="Arial" w:hAnsi="Arial"/>
          <w:sz w:val="17"/>
          <w:szCs w:val="17"/>
          <w:color w:val="auto"/>
        </w:rPr>
        <w:t>Through various subsidiaries, we own, franchise and operate the Applebee's Neighborhood Grill &amp; Bar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(“Applebee's”) concept in the bar and grill segment within the casual dining category of the restaurant industry and we own and franchise the International House of Pancakes</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(“IHOP”) concept in the family dining category of the restaurant industry. References herein to Applebee's</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IHOP</w:t>
      </w:r>
      <w:r>
        <w:rPr>
          <w:rFonts w:ascii="Arial" w:cs="Arial" w:eastAsia="Arial" w:hAnsi="Arial"/>
          <w:sz w:val="22"/>
          <w:szCs w:val="22"/>
          <w:color w:val="auto"/>
          <w:vertAlign w:val="superscript"/>
        </w:rPr>
        <w:t>®</w:t>
      </w:r>
      <w:r>
        <w:rPr>
          <w:rFonts w:ascii="Arial" w:cs="Arial" w:eastAsia="Arial" w:hAnsi="Arial"/>
          <w:sz w:val="17"/>
          <w:szCs w:val="17"/>
          <w:color w:val="auto"/>
        </w:rPr>
        <w:t xml:space="preserve"> restaurants are to these two restaurant concepts, whether operated by franchisees, area licensees and their sub-licensees (collectively, “area licensees”) or by us. With over 3,500 restaurants combined, the substantial majority of which are franchised, we believe we are one of the largest full-service restaurant companies in the world. The June 15, 2020 issue of </w:t>
      </w:r>
      <w:r>
        <w:rPr>
          <w:rFonts w:ascii="Arial" w:cs="Arial" w:eastAsia="Arial" w:hAnsi="Arial"/>
          <w:sz w:val="17"/>
          <w:szCs w:val="17"/>
          <w:i w:val="1"/>
          <w:iCs w:val="1"/>
          <w:color w:val="auto"/>
        </w:rPr>
        <w:t xml:space="preserve">Nation's Restaurant News </w:t>
      </w:r>
      <w:r>
        <w:rPr>
          <w:rFonts w:ascii="Arial" w:cs="Arial" w:eastAsia="Arial" w:hAnsi="Arial"/>
          <w:sz w:val="17"/>
          <w:szCs w:val="17"/>
          <w:color w:val="auto"/>
        </w:rPr>
        <w:t>reported that IHOP and Applebee's were the largest restaurant systems in the family dining and casual dining categories,</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in terms of United States system-wide sales during 2019.</w:t>
      </w:r>
    </w:p>
    <w:p>
      <w:pPr>
        <w:spacing w:after="0" w:line="233" w:lineRule="exact"/>
        <w:rPr>
          <w:sz w:val="20"/>
          <w:szCs w:val="20"/>
          <w:color w:val="auto"/>
        </w:rPr>
      </w:pPr>
    </w:p>
    <w:p>
      <w:pPr>
        <w:ind w:right="140" w:firstLine="324"/>
        <w:spacing w:after="0" w:line="296" w:lineRule="auto"/>
        <w:rPr>
          <w:sz w:val="20"/>
          <w:szCs w:val="20"/>
          <w:color w:val="auto"/>
        </w:rPr>
      </w:pPr>
      <w:r>
        <w:rPr>
          <w:rFonts w:ascii="Arial" w:cs="Arial" w:eastAsia="Arial" w:hAnsi="Arial"/>
          <w:sz w:val="16"/>
          <w:szCs w:val="16"/>
          <w:color w:val="auto"/>
        </w:rPr>
        <w:t>We identify our business segments based on the organizational units used by management to monitor performance and make operating decisions. We currently have five operating segments: Applebee's franchise operations, Applebee's company-operated restaurant operations, IHOP franchise operations, rental operations and financing operations. We have four reportable segments: franchise operations (an aggregation of Applebee's and IHOP franchise operations), company-operated restaurant operations, rental operations and financing operations. We consider these to be our reportable segments, regardless of whether any segment exceeds 10% of consolidated revenues, income before income tax provision or total assets.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Impact of COVID-19</w:t>
      </w:r>
    </w:p>
    <w:p>
      <w:pPr>
        <w:spacing w:after="0" w:line="256"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252525"/>
        </w:rPr>
        <w:t xml:space="preserve">The global pandemic declared in March 2020 by the World Health Organization related to the outbreak of a novel strain of coronavirus, designated </w:t>
      </w:r>
      <w:r>
        <w:rPr>
          <w:rFonts w:ascii="Arial" w:cs="Arial" w:eastAsia="Arial" w:hAnsi="Arial"/>
          <w:sz w:val="16"/>
          <w:szCs w:val="16"/>
          <w:color w:val="000000"/>
        </w:rPr>
        <w:t>“</w:t>
      </w:r>
      <w:r>
        <w:rPr>
          <w:rFonts w:ascii="Arial" w:cs="Arial" w:eastAsia="Arial" w:hAnsi="Arial"/>
          <w:sz w:val="16"/>
          <w:szCs w:val="16"/>
          <w:color w:val="252525"/>
        </w:rPr>
        <w:t>COVID-19,</w:t>
      </w:r>
      <w:r>
        <w:rPr>
          <w:rFonts w:ascii="Arial" w:cs="Arial" w:eastAsia="Arial" w:hAnsi="Arial"/>
          <w:sz w:val="16"/>
          <w:szCs w:val="16"/>
          <w:color w:val="000000"/>
        </w:rPr>
        <w:t xml:space="preserve">” continued to have a significant adverse impact on our operations throughout the second fiscal quarter and remains ongoing. Initially, international, federal, state and local governments reacted to the COVID-19 pandemic by encouraging or requiring “social distancing,” instituting shelter-in-place orders, and requiring, in varying degrees, reduced operating hours, restaurant dine-in limitations, capacity limitations or other restrictions that largely limited restaurants to take-out and delivery sales. While shelter-in-place directives largely have been removed as of June 30, 2020, most </w:t>
      </w:r>
      <w:r>
        <w:rPr>
          <w:rFonts w:ascii="Arial" w:cs="Arial" w:eastAsia="Arial" w:hAnsi="Arial"/>
          <w:sz w:val="16"/>
          <w:szCs w:val="16"/>
          <w:color w:val="252525"/>
        </w:rPr>
        <w:t xml:space="preserve">international, federal, state and local governments have maintained protocols that limit restaurant dine-in occupancy levels to 50% capacity or less at most of our restaurants. </w:t>
      </w:r>
      <w:r>
        <w:rPr>
          <w:rFonts w:ascii="Arial" w:cs="Arial" w:eastAsia="Arial" w:hAnsi="Arial"/>
          <w:sz w:val="16"/>
          <w:szCs w:val="16"/>
          <w:color w:val="000000"/>
        </w:rPr>
        <w:t>We and our franchisees have instituted operational procedures to comply with applicable regulatory requirements and to monitor</w:t>
      </w:r>
      <w:r>
        <w:rPr>
          <w:rFonts w:ascii="Arial" w:cs="Arial" w:eastAsia="Arial" w:hAnsi="Arial"/>
          <w:sz w:val="16"/>
          <w:szCs w:val="16"/>
          <w:color w:val="252525"/>
        </w:rPr>
        <w:t xml:space="preserve"> </w:t>
      </w:r>
      <w:r>
        <w:rPr>
          <w:rFonts w:ascii="Arial" w:cs="Arial" w:eastAsia="Arial" w:hAnsi="Arial"/>
          <w:sz w:val="16"/>
          <w:szCs w:val="16"/>
          <w:color w:val="000000"/>
        </w:rPr>
        <w:t>developing health authority recommendations in order to protect the health and foster the confidence of employees and guests at the restaurants.</w:t>
      </w:r>
    </w:p>
    <w:p>
      <w:pPr>
        <w:spacing w:after="0" w:line="192"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We have taken several actions to mitigate the effects of the COVID-19 pandemic on the Company, its operations and its franchisees, as discussed below, some of which were initiated in March 2020:</w:t>
      </w:r>
    </w:p>
    <w:p>
      <w:pPr>
        <w:spacing w:after="0" w:line="197" w:lineRule="exact"/>
        <w:rPr>
          <w:sz w:val="20"/>
          <w:szCs w:val="20"/>
          <w:color w:val="auto"/>
        </w:rPr>
      </w:pPr>
    </w:p>
    <w:p>
      <w:pPr>
        <w:ind w:left="580" w:right="40" w:hanging="329"/>
        <w:spacing w:after="0" w:line="259" w:lineRule="auto"/>
        <w:tabs>
          <w:tab w:leader="none" w:pos="5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drew down a total of $220 million from our revolving credit facility. Including approximately $3 million in letters of credit, $223 million of the total $225 million available under our revolving facility has been utilized. We had no immediate need for additional liquidity, but in light of then-current market conditions and uncertainty related to the COVID-19 pandemic, we drew on the revolving facility to maximize our financial flexibility.</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80" w:right="460" w:hanging="329"/>
        <w:spacing w:after="0" w:line="255" w:lineRule="auto"/>
        <w:tabs>
          <w:tab w:leader="none" w:pos="5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ceased repurchasing our common stock for the foreseeable future and our Board of Directors has decided not to declare a dividend for the second and third quarters of 2020. We will reevaluate our capital allocation strategy as industry conditions improve and normal restaurant operations resume.</w:t>
      </w:r>
    </w:p>
    <w:p>
      <w:pPr>
        <w:spacing w:after="0" w:line="2" w:lineRule="exact"/>
        <w:rPr>
          <w:rFonts w:ascii="Arial" w:cs="Arial" w:eastAsia="Arial" w:hAnsi="Arial"/>
          <w:sz w:val="18"/>
          <w:szCs w:val="18"/>
          <w:color w:val="auto"/>
        </w:rPr>
      </w:pPr>
    </w:p>
    <w:p>
      <w:pPr>
        <w:ind w:left="580" w:hanging="329"/>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voluntarily increased the interest reserve set aside for our securitized debt, from the required $16.4 million to $34.8 million.</w:t>
      </w:r>
    </w:p>
    <w:p>
      <w:pPr>
        <w:spacing w:after="0" w:line="9" w:lineRule="exact"/>
        <w:rPr>
          <w:rFonts w:ascii="Arial" w:cs="Arial" w:eastAsia="Arial" w:hAnsi="Arial"/>
          <w:sz w:val="18"/>
          <w:szCs w:val="18"/>
          <w:color w:val="auto"/>
        </w:rPr>
      </w:pPr>
    </w:p>
    <w:p>
      <w:pPr>
        <w:ind w:left="580" w:right="40" w:hanging="329"/>
        <w:spacing w:after="0" w:line="250" w:lineRule="auto"/>
        <w:tabs>
          <w:tab w:leader="none" w:pos="5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voluntarily accelerated the funding of interest on our securitized debt with the redirection of cash receipts within the securitization structure. As of July 27, 2020, the interest payments on long-term debt due September 8, 2020 and December 7, 2020 have been fully funded, in addition to the $32.8 million of interest reserve noted above.</w:t>
      </w:r>
    </w:p>
    <w:p>
      <w:pPr>
        <w:spacing w:after="0" w:line="1" w:lineRule="exact"/>
        <w:rPr>
          <w:rFonts w:ascii="Arial" w:cs="Arial" w:eastAsia="Arial" w:hAnsi="Arial"/>
          <w:sz w:val="18"/>
          <w:szCs w:val="18"/>
          <w:color w:val="auto"/>
        </w:rPr>
      </w:pPr>
    </w:p>
    <w:p>
      <w:pPr>
        <w:ind w:left="580" w:right="100" w:hanging="329"/>
        <w:spacing w:after="0" w:line="250" w:lineRule="auto"/>
        <w:tabs>
          <w:tab w:leader="none" w:pos="5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reduced discretionary costs, limited new hiring and significantly reduced the use of independent contractors. As of June 30, 2020, approximately one-third of the team members across various functional groups in our restaurant support centers remain furloughed, while most of the hourly restaurant associates at our company-operated restaurants have returned to work following the re-opening of those restaurants. Our General &amp; Administrative (“G&amp;A”) expenses for the three and six months ended June 30, 2020 were lower than the same periods of the prior year by $8.5 million and $13.7 million, respectively.</w:t>
      </w:r>
    </w:p>
    <w:p>
      <w:pPr>
        <w:spacing w:after="0" w:line="1" w:lineRule="exact"/>
        <w:rPr>
          <w:rFonts w:ascii="Arial" w:cs="Arial" w:eastAsia="Arial" w:hAnsi="Arial"/>
          <w:sz w:val="18"/>
          <w:szCs w:val="18"/>
          <w:color w:val="auto"/>
        </w:rPr>
      </w:pPr>
    </w:p>
    <w:p>
      <w:pPr>
        <w:ind w:left="580" w:right="40" w:hanging="329"/>
        <w:spacing w:after="0" w:line="235" w:lineRule="auto"/>
        <w:tabs>
          <w:tab w:leader="none" w:pos="5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offered Applebee's franchisees the opportunity to defer payment of their royalty, advertising and IT support fees, primarily amounts due for the months of March and April. A total of 30 franchisees representing 94% of Applebee’s restaurants have deferred payments totaling $33.4 million. Amounts deferred are scheduled to be repaid over nine months, beginning in the third quarter of 2020, and are not subject to any interest charges or other fees.</w:t>
      </w:r>
    </w:p>
    <w:p>
      <w:pPr>
        <w:ind w:left="580" w:hanging="329"/>
        <w:spacing w:after="0" w:line="234" w:lineRule="auto"/>
        <w:tabs>
          <w:tab w:leader="none" w:pos="5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offered IHOP franchisees the opportunity to defer their royalty, advertising, equipment rent and sublease rent payments, primarily amounts due for the months of March and April. A total of 193 franchisees representing 58% of IHOP restaurants have deferred payments totaling $22.3 million. Amounts deferred are scheduled to be repaid over 36 weeks, beginning in the third quarter of 2020, and are not subject to any interest charge or other fees.</w:t>
      </w:r>
    </w:p>
    <w:p>
      <w:pPr>
        <w:spacing w:after="0" w:line="2" w:lineRule="exact"/>
        <w:rPr>
          <w:rFonts w:ascii="Arial" w:cs="Arial" w:eastAsia="Arial" w:hAnsi="Arial"/>
          <w:sz w:val="18"/>
          <w:szCs w:val="18"/>
          <w:color w:val="auto"/>
        </w:rPr>
      </w:pPr>
    </w:p>
    <w:p>
      <w:pPr>
        <w:ind w:left="580" w:right="380" w:hanging="329"/>
        <w:spacing w:after="0" w:line="234" w:lineRule="auto"/>
        <w:tabs>
          <w:tab w:leader="none" w:pos="5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received rent deferrals and abatements on properties we lease of approximately $11 million, primarily related to properties on which IHOP restaurants are located, of which approximately $8 million relates to amounts scheduled to paid as of June 30, 2020 and $3 million relates to deferrals to be received over the last six months of 2020.</w:t>
      </w:r>
    </w:p>
    <w:p>
      <w:pPr>
        <w:spacing w:after="0" w:line="2" w:lineRule="exact"/>
        <w:rPr>
          <w:rFonts w:ascii="Arial" w:cs="Arial" w:eastAsia="Arial" w:hAnsi="Arial"/>
          <w:sz w:val="18"/>
          <w:szCs w:val="18"/>
          <w:color w:val="auto"/>
        </w:rPr>
      </w:pPr>
    </w:p>
    <w:p>
      <w:pPr>
        <w:ind w:left="580" w:hanging="329"/>
        <w:spacing w:after="0" w:line="234" w:lineRule="auto"/>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allowed franchisees to defer their 2020 unit remodel and development obligations for up to 12 months.</w:t>
      </w:r>
    </w:p>
    <w:p>
      <w:pPr>
        <w:ind w:left="580" w:right="940" w:hanging="329"/>
        <w:spacing w:after="0" w:line="243" w:lineRule="auto"/>
        <w:tabs>
          <w:tab w:leader="none" w:pos="5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worked with our franchisees to offer a limited menu and to modify their operating hours in the way they feel can optimize the functionality of their restaurants.</w:t>
      </w:r>
    </w:p>
    <w:p>
      <w:pPr>
        <w:spacing w:after="0" w:line="213" w:lineRule="exact"/>
        <w:rPr>
          <w:sz w:val="20"/>
          <w:szCs w:val="20"/>
          <w:color w:val="auto"/>
        </w:rPr>
      </w:pPr>
    </w:p>
    <w:p>
      <w:pPr>
        <w:ind w:firstLine="405"/>
        <w:spacing w:after="0" w:line="239" w:lineRule="auto"/>
        <w:rPr>
          <w:sz w:val="20"/>
          <w:szCs w:val="20"/>
          <w:color w:val="auto"/>
        </w:rPr>
      </w:pPr>
      <w:r>
        <w:rPr>
          <w:rFonts w:ascii="Arial" w:cs="Arial" w:eastAsia="Arial" w:hAnsi="Arial"/>
          <w:sz w:val="18"/>
          <w:szCs w:val="18"/>
          <w:color w:val="auto"/>
        </w:rPr>
        <w:t>On March 27, 2020, the Coronavirus Aid, Relief, and Economic Security Act (“CARES Act”) was enacted in response to the COVID-19 pandemic. Among the various provisions in the CARES Act, the Company is utilizing the payroll tax deferrals offered and has claimed an Employee Retention Credit. As of June 30, 2020, the Company has deferred the payment of $0.7 million of payroll taxes, of which 50% will be paid by December 31, 2021 and the remaining 50% will be paid by December 31, 2022. The Company also has claimed an Employee Retention Credit of $0.5 million as of June 30, 2020.The Company did not receive any form of loan pursuant to the Paycheck Protection Program established under the CARES Act. Other than the deferrals and credits noted above, the Company did not receive financial aid pursuant to assistance programs offered by the federal government related to the COVID-19 pandemic.</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total cash balances as of December 31, 2019, March 31, 2020 and June 30, 2020 were are follows:</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2019</w:t>
            </w:r>
          </w:p>
        </w:tc>
        <w:tc>
          <w:tcPr>
            <w:tcW w:w="24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2020</w:t>
            </w:r>
          </w:p>
        </w:tc>
        <w:tc>
          <w:tcPr>
            <w:tcW w:w="380" w:type="dxa"/>
            <w:vAlign w:val="bottom"/>
          </w:tcPr>
          <w:p>
            <w:pPr>
              <w:spacing w:after="0"/>
              <w:rPr>
                <w:sz w:val="16"/>
                <w:szCs w:val="16"/>
                <w:color w:val="auto"/>
              </w:rPr>
            </w:pPr>
          </w:p>
        </w:tc>
        <w:tc>
          <w:tcPr>
            <w:tcW w:w="1340" w:type="dxa"/>
            <w:vAlign w:val="bottom"/>
          </w:tcPr>
          <w:p>
            <w:pPr>
              <w:jc w:val="right"/>
              <w:ind w:right="354"/>
              <w:spacing w:after="0"/>
              <w:rPr>
                <w:sz w:val="20"/>
                <w:szCs w:val="20"/>
                <w:color w:val="auto"/>
              </w:rPr>
            </w:pPr>
            <w:r>
              <w:rPr>
                <w:rFonts w:ascii="Arial" w:cs="Arial" w:eastAsia="Arial" w:hAnsi="Arial"/>
                <w:sz w:val="14"/>
                <w:szCs w:val="14"/>
                <w:b w:val="1"/>
                <w:bCs w:val="1"/>
                <w:color w:val="auto"/>
                <w:w w:val="96"/>
              </w:rPr>
              <w:t>June 30, 2020</w:t>
            </w:r>
          </w:p>
        </w:tc>
      </w:tr>
      <w:tr>
        <w:trPr>
          <w:trHeight w:val="190"/>
        </w:trPr>
        <w:tc>
          <w:tcPr>
            <w:tcW w:w="53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96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340" w:type="dxa"/>
            <w:vAlign w:val="bottom"/>
            <w:tcBorders>
              <w:top w:val="single" w:sz="8" w:color="auto"/>
            </w:tcBorders>
          </w:tcPr>
          <w:p>
            <w:pPr>
              <w:spacing w:after="0"/>
              <w:rPr>
                <w:sz w:val="16"/>
                <w:szCs w:val="16"/>
                <w:color w:val="auto"/>
              </w:rPr>
            </w:pPr>
          </w:p>
        </w:tc>
      </w:tr>
      <w:tr>
        <w:trPr>
          <w:trHeight w:val="255"/>
        </w:trPr>
        <w:tc>
          <w:tcPr>
            <w:tcW w:w="53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54"/>
              <w:spacing w:after="0"/>
              <w:rPr>
                <w:sz w:val="20"/>
                <w:szCs w:val="20"/>
                <w:color w:val="auto"/>
              </w:rPr>
            </w:pPr>
            <w:r>
              <w:rPr>
                <w:rFonts w:ascii="Arial" w:cs="Arial" w:eastAsia="Arial" w:hAnsi="Arial"/>
                <w:sz w:val="18"/>
                <w:szCs w:val="18"/>
                <w:color w:val="auto"/>
              </w:rPr>
              <w:t>116.0</w:t>
            </w:r>
          </w:p>
        </w:tc>
        <w:tc>
          <w:tcPr>
            <w:tcW w:w="10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56"/>
              <w:spacing w:after="0"/>
              <w:rPr>
                <w:sz w:val="20"/>
                <w:szCs w:val="20"/>
                <w:color w:val="auto"/>
              </w:rPr>
            </w:pPr>
            <w:r>
              <w:rPr>
                <w:rFonts w:ascii="Arial" w:cs="Arial" w:eastAsia="Arial" w:hAnsi="Arial"/>
                <w:sz w:val="18"/>
                <w:szCs w:val="18"/>
                <w:color w:val="auto"/>
              </w:rPr>
              <w:t>344.6</w:t>
            </w:r>
          </w:p>
        </w:tc>
        <w:tc>
          <w:tcPr>
            <w:tcW w:w="100" w:type="dxa"/>
            <w:vAlign w:val="bottom"/>
          </w:tcPr>
          <w:p>
            <w:pPr>
              <w:spacing w:after="0"/>
              <w:rPr>
                <w:sz w:val="22"/>
                <w:szCs w:val="22"/>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54"/>
              <w:spacing w:after="0"/>
              <w:rPr>
                <w:sz w:val="20"/>
                <w:szCs w:val="20"/>
                <w:color w:val="auto"/>
              </w:rPr>
            </w:pPr>
            <w:r>
              <w:rPr>
                <w:rFonts w:ascii="Arial" w:cs="Arial" w:eastAsia="Arial" w:hAnsi="Arial"/>
                <w:sz w:val="18"/>
                <w:szCs w:val="18"/>
                <w:color w:val="auto"/>
              </w:rPr>
              <w:t>278.5</w:t>
            </w:r>
          </w:p>
        </w:tc>
      </w:tr>
      <w:tr>
        <w:trPr>
          <w:trHeight w:val="270"/>
        </w:trPr>
        <w:tc>
          <w:tcPr>
            <w:tcW w:w="5380" w:type="dxa"/>
            <w:vAlign w:val="bottom"/>
          </w:tcPr>
          <w:p>
            <w:pPr>
              <w:spacing w:after="0"/>
              <w:rPr>
                <w:sz w:val="20"/>
                <w:szCs w:val="20"/>
                <w:color w:val="auto"/>
              </w:rPr>
            </w:pPr>
            <w:r>
              <w:rPr>
                <w:rFonts w:ascii="Arial" w:cs="Arial" w:eastAsia="Arial" w:hAnsi="Arial"/>
                <w:sz w:val="18"/>
                <w:szCs w:val="18"/>
                <w:color w:val="auto"/>
              </w:rPr>
              <w:t>Restricted cash, current</w:t>
            </w:r>
          </w:p>
        </w:tc>
        <w:tc>
          <w:tcPr>
            <w:tcW w:w="200" w:type="dxa"/>
            <w:vAlign w:val="bottom"/>
          </w:tcPr>
          <w:p>
            <w:pPr>
              <w:spacing w:after="0"/>
              <w:rPr>
                <w:sz w:val="23"/>
                <w:szCs w:val="23"/>
                <w:color w:val="auto"/>
              </w:rPr>
            </w:pPr>
          </w:p>
        </w:tc>
        <w:tc>
          <w:tcPr>
            <w:tcW w:w="1520" w:type="dxa"/>
            <w:vAlign w:val="bottom"/>
          </w:tcPr>
          <w:p>
            <w:pPr>
              <w:jc w:val="right"/>
              <w:ind w:right="54"/>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jc w:val="right"/>
              <w:ind w:right="56"/>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40" w:type="dxa"/>
            <w:vAlign w:val="bottom"/>
          </w:tcPr>
          <w:p>
            <w:pPr>
              <w:jc w:val="right"/>
              <w:ind w:right="54"/>
              <w:spacing w:after="0"/>
              <w:rPr>
                <w:sz w:val="20"/>
                <w:szCs w:val="20"/>
                <w:color w:val="auto"/>
              </w:rPr>
            </w:pPr>
            <w:r>
              <w:rPr>
                <w:rFonts w:ascii="Arial" w:cs="Arial" w:eastAsia="Arial" w:hAnsi="Arial"/>
                <w:sz w:val="18"/>
                <w:szCs w:val="18"/>
                <w:color w:val="auto"/>
              </w:rPr>
              <w:t>31.2</w:t>
            </w:r>
          </w:p>
        </w:tc>
      </w:tr>
      <w:tr>
        <w:trPr>
          <w:trHeight w:val="270"/>
        </w:trPr>
        <w:tc>
          <w:tcPr>
            <w:tcW w:w="5380" w:type="dxa"/>
            <w:vAlign w:val="bottom"/>
          </w:tcPr>
          <w:p>
            <w:pPr>
              <w:spacing w:after="0"/>
              <w:rPr>
                <w:sz w:val="20"/>
                <w:szCs w:val="20"/>
                <w:color w:val="auto"/>
              </w:rPr>
            </w:pPr>
            <w:r>
              <w:rPr>
                <w:rFonts w:ascii="Arial" w:cs="Arial" w:eastAsia="Arial" w:hAnsi="Arial"/>
                <w:sz w:val="18"/>
                <w:szCs w:val="18"/>
                <w:color w:val="auto"/>
              </w:rPr>
              <w:t>Restricted cash, non-current</w:t>
            </w:r>
          </w:p>
        </w:tc>
        <w:tc>
          <w:tcPr>
            <w:tcW w:w="200" w:type="dxa"/>
            <w:vAlign w:val="bottom"/>
          </w:tcPr>
          <w:p>
            <w:pPr>
              <w:spacing w:after="0"/>
              <w:rPr>
                <w:sz w:val="23"/>
                <w:szCs w:val="23"/>
                <w:color w:val="auto"/>
              </w:rPr>
            </w:pPr>
          </w:p>
        </w:tc>
        <w:tc>
          <w:tcPr>
            <w:tcW w:w="1520" w:type="dxa"/>
            <w:vAlign w:val="bottom"/>
          </w:tcPr>
          <w:p>
            <w:pPr>
              <w:jc w:val="right"/>
              <w:ind w:right="54"/>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jc w:val="right"/>
              <w:ind w:right="56"/>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40" w:type="dxa"/>
            <w:vAlign w:val="bottom"/>
          </w:tcPr>
          <w:p>
            <w:pPr>
              <w:jc w:val="right"/>
              <w:ind w:right="54"/>
              <w:spacing w:after="0"/>
              <w:rPr>
                <w:sz w:val="20"/>
                <w:szCs w:val="20"/>
                <w:color w:val="auto"/>
              </w:rPr>
            </w:pPr>
            <w:r>
              <w:rPr>
                <w:rFonts w:ascii="Arial" w:cs="Arial" w:eastAsia="Arial" w:hAnsi="Arial"/>
                <w:sz w:val="18"/>
                <w:szCs w:val="18"/>
                <w:color w:val="auto"/>
              </w:rPr>
              <w:t>32.8</w:t>
            </w:r>
          </w:p>
        </w:tc>
      </w:tr>
      <w:tr>
        <w:trPr>
          <w:trHeight w:val="27"/>
        </w:trPr>
        <w:tc>
          <w:tcPr>
            <w:tcW w:w="5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538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172.4</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395.2</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342.5</w:t>
            </w:r>
          </w:p>
        </w:tc>
      </w:tr>
      <w:tr>
        <w:trPr>
          <w:trHeight w:val="20"/>
        </w:trPr>
        <w:tc>
          <w:tcPr>
            <w:tcW w:w="5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The increase in total cash balances from December 31, 2019 to March 31, 2020 is primarily due to the draw-down of $220 million from our revolving credit facility in March 2020. The decrease in total cash balances from March 31, 2020 to June 30, 2020 is primarily due the impact on our operations of</w:t>
      </w:r>
    </w:p>
    <w:p>
      <w:pPr>
        <w:ind w:right="340"/>
        <w:spacing w:after="0" w:line="250" w:lineRule="auto"/>
        <w:rPr>
          <w:sz w:val="20"/>
          <w:szCs w:val="20"/>
          <w:color w:val="auto"/>
        </w:rPr>
      </w:pPr>
      <w:r>
        <w:rPr>
          <w:rFonts w:ascii="Arial" w:cs="Arial" w:eastAsia="Arial" w:hAnsi="Arial"/>
          <w:sz w:val="18"/>
          <w:szCs w:val="18"/>
          <w:color w:val="auto"/>
        </w:rPr>
        <w:t xml:space="preserve">the COVID-19 pandemic as discussed under </w:t>
      </w:r>
      <w:r>
        <w:rPr>
          <w:rFonts w:ascii="Arial" w:cs="Arial" w:eastAsia="Arial" w:hAnsi="Arial"/>
          <w:sz w:val="18"/>
          <w:szCs w:val="18"/>
          <w:i w:val="1"/>
          <w:iCs w:val="1"/>
          <w:color w:val="auto"/>
        </w:rPr>
        <w:t>“Consolidated Results of Operations - Comparison of the Three and Six Months ended June 30, 2020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June 30, 2019” </w:t>
      </w:r>
      <w:r>
        <w:rPr>
          <w:rFonts w:ascii="Arial" w:cs="Arial" w:eastAsia="Arial" w:hAnsi="Arial"/>
          <w:sz w:val="18"/>
          <w:szCs w:val="18"/>
          <w:color w:val="auto"/>
        </w:rPr>
        <w:t>as well as to our offering franchisees the opportunity to defer payments due to us as noted above.</w:t>
      </w:r>
    </w:p>
    <w:p>
      <w:pPr>
        <w:spacing w:after="0" w:line="1"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 xml:space="preserve">Operating activities used cash of $10.4 million for the six months ended June 30, 2020, while operating activities generated cash of $69.3 million for the six months ended June 30, 2019. The decrease primarily was due a significant </w:t>
      </w:r>
      <w:r>
        <w:rPr>
          <w:rFonts w:ascii="Arial" w:cs="Arial" w:eastAsia="Arial" w:hAnsi="Arial"/>
          <w:sz w:val="17"/>
          <w:szCs w:val="17"/>
          <w:color w:val="252525"/>
        </w:rPr>
        <w:t>decline in customer traffic at our restaurants that adversely impacted our</w:t>
      </w:r>
      <w:r>
        <w:rPr>
          <w:rFonts w:ascii="Arial" w:cs="Arial" w:eastAsia="Arial" w:hAnsi="Arial"/>
          <w:sz w:val="17"/>
          <w:szCs w:val="17"/>
          <w:color w:val="auto"/>
        </w:rPr>
        <w:t xml:space="preserve"> </w:t>
      </w:r>
      <w:r>
        <w:rPr>
          <w:rFonts w:ascii="Arial" w:cs="Arial" w:eastAsia="Arial" w:hAnsi="Arial"/>
          <w:sz w:val="17"/>
          <w:szCs w:val="17"/>
          <w:color w:val="252525"/>
        </w:rPr>
        <w:t>segment operations and to payment deferrals we offered to our franchisees, partially offset by reduced G&amp;A expenses and rent deferrals and abatements we received from our landlords. Franchisees are scheduled to begin repaying the deferrals noted above in the third quarter of 2020. Based on current forecasts, we believe we will return to generating cash from operations for the remainder of 2020.</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Based on projected positive operating cash flows, required interest and debt payments and other forecast expenditures, we believe we have adequate cash for at least the next 12 months to fund our operations and meet all of our financial commitments.</w:t>
      </w:r>
    </w:p>
    <w:p>
      <w:pPr>
        <w:spacing w:after="0" w:line="197" w:lineRule="exact"/>
        <w:rPr>
          <w:sz w:val="20"/>
          <w:szCs w:val="20"/>
          <w:color w:val="auto"/>
        </w:rPr>
      </w:pPr>
    </w:p>
    <w:p>
      <w:pPr>
        <w:ind w:right="400" w:firstLine="324"/>
        <w:spacing w:after="0" w:line="303" w:lineRule="auto"/>
        <w:rPr>
          <w:sz w:val="20"/>
          <w:szCs w:val="20"/>
          <w:color w:val="auto"/>
        </w:rPr>
      </w:pPr>
      <w:r>
        <w:rPr>
          <w:rFonts w:ascii="Arial" w:cs="Arial" w:eastAsia="Arial" w:hAnsi="Arial"/>
          <w:sz w:val="16"/>
          <w:szCs w:val="16"/>
          <w:color w:val="auto"/>
        </w:rPr>
        <w:t>As international, federal, state and local governments began to remove or modify existing restrictions on dine-in restaurant operations in certain jurisdictions, we and our franchisees have been able to increase dine-in services at Applebee's and IHOP restaurants in compliance with jurisdictional requirements. As a result, the operating status of IHOP and Applebee's restaurants changed during the second quarter of 2020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3940" w:type="dxa"/>
            <w:vAlign w:val="bottom"/>
            <w:gridSpan w:val="10"/>
          </w:tcPr>
          <w:p>
            <w:pPr>
              <w:ind w:left="940"/>
              <w:spacing w:after="0"/>
              <w:rPr>
                <w:sz w:val="20"/>
                <w:szCs w:val="20"/>
                <w:color w:val="auto"/>
              </w:rPr>
            </w:pPr>
            <w:r>
              <w:rPr>
                <w:rFonts w:ascii="Arial" w:cs="Arial" w:eastAsia="Arial" w:hAnsi="Arial"/>
                <w:sz w:val="18"/>
                <w:szCs w:val="18"/>
                <w:b w:val="1"/>
                <w:bCs w:val="1"/>
                <w:color w:val="auto"/>
                <w:w w:val="92"/>
              </w:rPr>
              <w:t>Status as of 2020 Fiscal Month Ended</w:t>
            </w: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b w:val="1"/>
                <w:bCs w:val="1"/>
                <w:color w:val="auto"/>
              </w:rPr>
              <w:t>March</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b w:val="1"/>
                <w:bCs w:val="1"/>
                <w:color w:val="auto"/>
              </w:rPr>
              <w:t>April</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b w:val="1"/>
                <w:bCs w:val="1"/>
                <w:color w:val="auto"/>
              </w:rPr>
              <w:t>May</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b w:val="1"/>
                <w:bCs w:val="1"/>
                <w:color w:val="auto"/>
              </w:rPr>
              <w:t>June</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Applebee's Domestic</w:t>
            </w: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880" w:type="dxa"/>
            <w:vAlign w:val="bottom"/>
            <w:gridSpan w:val="4"/>
            <w:vMerge w:val="continue"/>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42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8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Restaurants with dining rooms open*</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80" w:type="dxa"/>
            <w:vAlign w:val="bottom"/>
            <w:gridSpan w:val="4"/>
          </w:tcPr>
          <w:p>
            <w:pPr>
              <w:spacing w:after="0"/>
              <w:rPr>
                <w:sz w:val="20"/>
                <w:szCs w:val="20"/>
                <w:color w:val="auto"/>
              </w:rPr>
            </w:pPr>
            <w:r>
              <w:rPr>
                <w:rFonts w:ascii="Arial" w:cs="Arial" w:eastAsia="Arial" w:hAnsi="Arial"/>
                <w:sz w:val="18"/>
                <w:szCs w:val="18"/>
                <w:color w:val="auto"/>
              </w:rPr>
              <w:t>Restaurants limited to off-premise sales</w:t>
            </w:r>
          </w:p>
        </w:tc>
        <w:tc>
          <w:tcPr>
            <w:tcW w:w="1040" w:type="dxa"/>
            <w:vAlign w:val="bottom"/>
          </w:tcPr>
          <w:p>
            <w:pPr>
              <w:jc w:val="right"/>
              <w:spacing w:after="0"/>
              <w:rPr>
                <w:sz w:val="20"/>
                <w:szCs w:val="20"/>
                <w:color w:val="auto"/>
              </w:rPr>
            </w:pPr>
            <w:r>
              <w:rPr>
                <w:rFonts w:ascii="Arial" w:cs="Arial" w:eastAsia="Arial" w:hAnsi="Arial"/>
                <w:sz w:val="18"/>
                <w:szCs w:val="18"/>
                <w:color w:val="auto"/>
              </w:rPr>
              <w:t>1,402</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1,397</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761</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8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Restaurants temporarily closed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880" w:type="dxa"/>
            <w:vAlign w:val="bottom"/>
            <w:gridSpan w:val="4"/>
          </w:tcPr>
          <w:p>
            <w:pPr>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1,657</w:t>
            </w:r>
          </w:p>
        </w:tc>
        <w:tc>
          <w:tcPr>
            <w:tcW w:w="2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1,651</w:t>
            </w:r>
          </w:p>
        </w:tc>
        <w:tc>
          <w:tcPr>
            <w:tcW w:w="2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1,647</w:t>
            </w:r>
          </w:p>
        </w:tc>
        <w:tc>
          <w:tcPr>
            <w:tcW w:w="2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1,633</w:t>
            </w:r>
          </w:p>
        </w:tc>
        <w:tc>
          <w:tcPr>
            <w:tcW w:w="20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8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 of total operating in some capacity</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5880" w:type="dxa"/>
            <w:vAlign w:val="bottom"/>
            <w:gridSpan w:val="4"/>
          </w:tcPr>
          <w:p>
            <w:pPr>
              <w:spacing w:after="0"/>
              <w:rPr>
                <w:sz w:val="20"/>
                <w:szCs w:val="20"/>
                <w:color w:val="auto"/>
              </w:rPr>
            </w:pPr>
            <w:r>
              <w:rPr>
                <w:rFonts w:ascii="Arial" w:cs="Arial" w:eastAsia="Arial" w:hAnsi="Arial"/>
                <w:sz w:val="18"/>
                <w:szCs w:val="18"/>
                <w:b w:val="1"/>
                <w:bCs w:val="1"/>
                <w:color w:val="auto"/>
              </w:rPr>
              <w:t>IHOP Domestic</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42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8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Restaurants with dining rooms open*</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80" w:type="dxa"/>
            <w:vAlign w:val="bottom"/>
            <w:gridSpan w:val="4"/>
          </w:tcPr>
          <w:p>
            <w:pPr>
              <w:spacing w:after="0"/>
              <w:rPr>
                <w:sz w:val="20"/>
                <w:szCs w:val="20"/>
                <w:color w:val="auto"/>
              </w:rPr>
            </w:pPr>
            <w:r>
              <w:rPr>
                <w:rFonts w:ascii="Arial" w:cs="Arial" w:eastAsia="Arial" w:hAnsi="Arial"/>
                <w:sz w:val="18"/>
                <w:szCs w:val="18"/>
                <w:color w:val="auto"/>
              </w:rPr>
              <w:t>Restaurants limited to off-premise sales</w:t>
            </w:r>
          </w:p>
        </w:tc>
        <w:tc>
          <w:tcPr>
            <w:tcW w:w="1040" w:type="dxa"/>
            <w:vAlign w:val="bottom"/>
          </w:tcPr>
          <w:p>
            <w:pPr>
              <w:jc w:val="right"/>
              <w:spacing w:after="0"/>
              <w:rPr>
                <w:sz w:val="20"/>
                <w:szCs w:val="20"/>
                <w:color w:val="auto"/>
              </w:rPr>
            </w:pPr>
            <w:r>
              <w:rPr>
                <w:rFonts w:ascii="Arial" w:cs="Arial" w:eastAsia="Arial" w:hAnsi="Arial"/>
                <w:sz w:val="18"/>
                <w:szCs w:val="18"/>
                <w:color w:val="auto"/>
              </w:rPr>
              <w:t>1,158</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1,334</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593</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8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Restaurants temporarily closed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880" w:type="dxa"/>
            <w:vAlign w:val="bottom"/>
            <w:gridSpan w:val="4"/>
          </w:tcPr>
          <w:p>
            <w:pPr>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1,709</w:t>
            </w:r>
          </w:p>
        </w:tc>
        <w:tc>
          <w:tcPr>
            <w:tcW w:w="2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1,703</w:t>
            </w:r>
          </w:p>
        </w:tc>
        <w:tc>
          <w:tcPr>
            <w:tcW w:w="2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1,700</w:t>
            </w:r>
          </w:p>
        </w:tc>
        <w:tc>
          <w:tcPr>
            <w:tcW w:w="2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1,695</w:t>
            </w:r>
          </w:p>
        </w:tc>
        <w:tc>
          <w:tcPr>
            <w:tcW w:w="20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8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 of total operating in some capacity</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472"/>
        </w:trPr>
        <w:tc>
          <w:tcPr>
            <w:tcW w:w="20" w:type="dxa"/>
            <w:vAlign w:val="bottom"/>
          </w:tcPr>
          <w:p>
            <w:pPr>
              <w:spacing w:after="0"/>
              <w:rPr>
                <w:sz w:val="24"/>
                <w:szCs w:val="24"/>
                <w:color w:val="auto"/>
              </w:rPr>
            </w:pPr>
          </w:p>
        </w:tc>
        <w:tc>
          <w:tcPr>
            <w:tcW w:w="5880" w:type="dxa"/>
            <w:vAlign w:val="bottom"/>
            <w:gridSpan w:val="4"/>
          </w:tcPr>
          <w:p>
            <w:pPr>
              <w:spacing w:after="0"/>
              <w:rPr>
                <w:sz w:val="20"/>
                <w:szCs w:val="20"/>
                <w:color w:val="auto"/>
              </w:rPr>
            </w:pPr>
            <w:r>
              <w:rPr>
                <w:rFonts w:ascii="Arial" w:cs="Arial" w:eastAsia="Arial" w:hAnsi="Arial"/>
                <w:sz w:val="18"/>
                <w:szCs w:val="18"/>
                <w:b w:val="1"/>
                <w:bCs w:val="1"/>
                <w:color w:val="auto"/>
              </w:rPr>
              <w:t>International</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8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Restaurants with dining rooms open*</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80" w:type="dxa"/>
            <w:vAlign w:val="bottom"/>
            <w:gridSpan w:val="4"/>
          </w:tcPr>
          <w:p>
            <w:pPr>
              <w:spacing w:after="0"/>
              <w:rPr>
                <w:sz w:val="20"/>
                <w:szCs w:val="20"/>
                <w:color w:val="auto"/>
              </w:rPr>
            </w:pPr>
            <w:r>
              <w:rPr>
                <w:rFonts w:ascii="Arial" w:cs="Arial" w:eastAsia="Arial" w:hAnsi="Arial"/>
                <w:sz w:val="18"/>
                <w:szCs w:val="18"/>
                <w:color w:val="auto"/>
              </w:rPr>
              <w:t>Restaurants limited to off-premise sales</w:t>
            </w:r>
          </w:p>
        </w:tc>
        <w:tc>
          <w:tcPr>
            <w:tcW w:w="1040" w:type="dxa"/>
            <w:vAlign w:val="bottom"/>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8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Restaurants temporarily closed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880" w:type="dxa"/>
            <w:vAlign w:val="bottom"/>
            <w:gridSpan w:val="4"/>
          </w:tcPr>
          <w:p>
            <w:pPr>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2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2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2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20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5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 of total operating in some capacity</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42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420" w:hanging="88"/>
        <w:spacing w:after="0"/>
        <w:tabs>
          <w:tab w:leader="none" w:pos="420" w:val="left"/>
        </w:tabs>
        <w:numPr>
          <w:ilvl w:val="0"/>
          <w:numId w:val="13"/>
        </w:numPr>
        <w:rPr>
          <w:rFonts w:ascii="Arial" w:cs="Arial" w:eastAsia="Arial" w:hAnsi="Arial"/>
          <w:sz w:val="23"/>
          <w:szCs w:val="23"/>
          <w:color w:val="252525"/>
          <w:vertAlign w:val="superscript"/>
        </w:rPr>
      </w:pPr>
      <w:r>
        <w:rPr>
          <w:rFonts w:ascii="Arial" w:cs="Arial" w:eastAsia="Arial" w:hAnsi="Arial"/>
          <w:sz w:val="18"/>
          <w:szCs w:val="18"/>
          <w:color w:val="252525"/>
        </w:rPr>
        <w:t>In most instances, limited to 50% capacity or less and/or reduced operating hours</w:t>
      </w:r>
    </w:p>
    <w:p>
      <w:pPr>
        <w:spacing w:after="0" w:line="22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252525"/>
        </w:rPr>
        <w:t>The operating status of our restaurant remains fluid and subject to change. There can be no assurance the favorable trend in operating status noted above will continue or will not reverse as government authorities modify existing restrictions or implement new restrictions on dine-in restaurant operations in responses to changes in the number of COVID-19 infections in their respective jurisdictions, such as the increase in the number of infections experienced in July 2020 in various states.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252525"/>
        </w:rPr>
        <w:t>As the number of restaurants with dining rooms open increased over the second quarter, our average weekly sales per restaurant increased as well:</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40" w:type="dxa"/>
            <w:vAlign w:val="bottom"/>
            <w:gridSpan w:val="2"/>
          </w:tcPr>
          <w:p>
            <w:pPr>
              <w:ind w:left="20"/>
              <w:spacing w:after="0"/>
              <w:rPr>
                <w:sz w:val="20"/>
                <w:szCs w:val="20"/>
                <w:color w:val="auto"/>
              </w:rPr>
            </w:pPr>
            <w:r>
              <w:rPr>
                <w:rFonts w:ascii="Arial" w:cs="Arial" w:eastAsia="Arial" w:hAnsi="Arial"/>
                <w:sz w:val="18"/>
                <w:szCs w:val="18"/>
                <w:b w:val="1"/>
                <w:bCs w:val="1"/>
                <w:color w:val="auto"/>
              </w:rPr>
              <w:t>Average weekly unit sales (in thousands)</w:t>
            </w:r>
          </w:p>
        </w:tc>
        <w:tc>
          <w:tcPr>
            <w:tcW w:w="3000" w:type="dxa"/>
            <w:vAlign w:val="bottom"/>
            <w:gridSpan w:val="5"/>
          </w:tcPr>
          <w:p>
            <w:pPr>
              <w:jc w:val="center"/>
              <w:spacing w:after="0"/>
              <w:rPr>
                <w:sz w:val="20"/>
                <w:szCs w:val="20"/>
                <w:color w:val="auto"/>
              </w:rPr>
            </w:pPr>
            <w:r>
              <w:rPr>
                <w:rFonts w:ascii="Arial" w:cs="Arial" w:eastAsia="Arial" w:hAnsi="Arial"/>
                <w:sz w:val="16"/>
                <w:szCs w:val="16"/>
                <w:b w:val="1"/>
                <w:bCs w:val="1"/>
                <w:color w:val="auto"/>
                <w:w w:val="92"/>
              </w:rPr>
              <w:t>Fiscal Month of 2020 Ended</w:t>
            </w:r>
          </w:p>
        </w:tc>
        <w:tc>
          <w:tcPr>
            <w:tcW w:w="100" w:type="dxa"/>
            <w:vAlign w:val="bottom"/>
          </w:tcPr>
          <w:p>
            <w:pPr>
              <w:spacing w:after="0"/>
              <w:rPr>
                <w:sz w:val="20"/>
                <w:szCs w:val="20"/>
                <w:color w:val="auto"/>
              </w:rPr>
            </w:pPr>
          </w:p>
        </w:tc>
        <w:tc>
          <w:tcPr>
            <w:tcW w:w="1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8"/>
              </w:rPr>
              <w:t>Three months ended June</w:t>
            </w:r>
          </w:p>
        </w:tc>
        <w:tc>
          <w:tcPr>
            <w:tcW w:w="166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1"/>
              </w:rPr>
              <w:t>Three months ended June</w:t>
            </w:r>
          </w:p>
        </w:tc>
        <w:tc>
          <w:tcPr>
            <w:tcW w:w="0" w:type="dxa"/>
            <w:vAlign w:val="bottom"/>
          </w:tcPr>
          <w:p>
            <w:pPr>
              <w:spacing w:after="0"/>
              <w:rPr>
                <w:sz w:val="1"/>
                <w:szCs w:val="1"/>
                <w:color w:val="auto"/>
              </w:rPr>
            </w:pPr>
          </w:p>
        </w:tc>
      </w:tr>
      <w:tr>
        <w:trPr>
          <w:trHeight w:val="27"/>
        </w:trPr>
        <w:tc>
          <w:tcPr>
            <w:tcW w:w="4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gridSpan w:val="2"/>
            <w:vMerge w:val="continue"/>
          </w:tcPr>
          <w:p>
            <w:pPr>
              <w:spacing w:after="0"/>
              <w:rPr>
                <w:sz w:val="2"/>
                <w:szCs w:val="2"/>
                <w:color w:val="auto"/>
              </w:rPr>
            </w:pPr>
          </w:p>
        </w:tc>
        <w:tc>
          <w:tcPr>
            <w:tcW w:w="1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52"/>
        </w:trPr>
        <w:tc>
          <w:tcPr>
            <w:tcW w:w="4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vMerge w:val="restart"/>
          </w:tcPr>
          <w:p>
            <w:pPr>
              <w:ind w:left="240"/>
              <w:spacing w:after="0"/>
              <w:rPr>
                <w:sz w:val="20"/>
                <w:szCs w:val="20"/>
                <w:color w:val="auto"/>
              </w:rPr>
            </w:pPr>
            <w:r>
              <w:rPr>
                <w:rFonts w:ascii="Arial" w:cs="Arial" w:eastAsia="Arial" w:hAnsi="Arial"/>
                <w:sz w:val="16"/>
                <w:szCs w:val="16"/>
                <w:b w:val="1"/>
                <w:bCs w:val="1"/>
                <w:color w:val="auto"/>
              </w:rPr>
              <w:t>April</w:t>
            </w:r>
          </w:p>
        </w:tc>
        <w:tc>
          <w:tcPr>
            <w:tcW w:w="220" w:type="dxa"/>
            <w:vAlign w:val="bottom"/>
            <w:vMerge w:val="restart"/>
          </w:tcPr>
          <w:p>
            <w:pPr>
              <w:spacing w:after="0"/>
              <w:rPr>
                <w:sz w:val="4"/>
                <w:szCs w:val="4"/>
                <w:color w:val="auto"/>
              </w:rPr>
            </w:pPr>
          </w:p>
        </w:tc>
        <w:tc>
          <w:tcPr>
            <w:tcW w:w="9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May</w:t>
            </w:r>
          </w:p>
        </w:tc>
        <w:tc>
          <w:tcPr>
            <w:tcW w:w="220" w:type="dxa"/>
            <w:vAlign w:val="bottom"/>
            <w:vMerge w:val="restart"/>
          </w:tcPr>
          <w:p>
            <w:pPr>
              <w:spacing w:after="0"/>
              <w:rPr>
                <w:sz w:val="4"/>
                <w:szCs w:val="4"/>
                <w:color w:val="auto"/>
              </w:rPr>
            </w:pPr>
          </w:p>
        </w:tc>
        <w:tc>
          <w:tcPr>
            <w:tcW w:w="8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June</w:t>
            </w:r>
          </w:p>
        </w:tc>
        <w:tc>
          <w:tcPr>
            <w:tcW w:w="100" w:type="dxa"/>
            <w:vAlign w:val="bottom"/>
          </w:tcPr>
          <w:p>
            <w:pPr>
              <w:spacing w:after="0"/>
              <w:rPr>
                <w:sz w:val="4"/>
                <w:szCs w:val="4"/>
                <w:color w:val="auto"/>
              </w:rPr>
            </w:pPr>
          </w:p>
        </w:tc>
        <w:tc>
          <w:tcPr>
            <w:tcW w:w="1780" w:type="dxa"/>
            <w:vAlign w:val="bottom"/>
            <w:gridSpan w:val="2"/>
            <w:vMerge w:val="continue"/>
          </w:tcPr>
          <w:p>
            <w:pPr>
              <w:spacing w:after="0"/>
              <w:rPr>
                <w:sz w:val="4"/>
                <w:szCs w:val="4"/>
                <w:color w:val="auto"/>
              </w:rPr>
            </w:pPr>
          </w:p>
        </w:tc>
        <w:tc>
          <w:tcPr>
            <w:tcW w:w="16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4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30, 2020</w:t>
            </w:r>
          </w:p>
        </w:tc>
        <w:tc>
          <w:tcPr>
            <w:tcW w:w="120" w:type="dxa"/>
            <w:vAlign w:val="bottom"/>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30, 2019</w:t>
            </w:r>
          </w:p>
        </w:tc>
        <w:tc>
          <w:tcPr>
            <w:tcW w:w="0" w:type="dxa"/>
            <w:vAlign w:val="bottom"/>
          </w:tcPr>
          <w:p>
            <w:pPr>
              <w:spacing w:after="0"/>
              <w:rPr>
                <w:sz w:val="1"/>
                <w:szCs w:val="1"/>
                <w:color w:val="auto"/>
              </w:rPr>
            </w:pPr>
          </w:p>
        </w:tc>
      </w:tr>
      <w:tr>
        <w:trPr>
          <w:trHeight w:val="243"/>
        </w:trPr>
        <w:tc>
          <w:tcPr>
            <w:tcW w:w="4640" w:type="dxa"/>
            <w:vAlign w:val="bottom"/>
            <w:gridSpan w:val="2"/>
          </w:tcPr>
          <w:p>
            <w:pPr>
              <w:ind w:left="20"/>
              <w:spacing w:after="0"/>
              <w:rPr>
                <w:sz w:val="20"/>
                <w:szCs w:val="20"/>
                <w:color w:val="auto"/>
              </w:rPr>
            </w:pPr>
            <w:r>
              <w:rPr>
                <w:rFonts w:ascii="Arial" w:cs="Arial" w:eastAsia="Arial" w:hAnsi="Arial"/>
                <w:sz w:val="18"/>
                <w:szCs w:val="18"/>
                <w:color w:val="auto"/>
              </w:rPr>
              <w:t>Applebee's domestic</w:t>
            </w:r>
          </w:p>
        </w:tc>
        <w:tc>
          <w:tcPr>
            <w:tcW w:w="840" w:type="dxa"/>
            <w:vAlign w:val="bottom"/>
          </w:tcPr>
          <w:p>
            <w:pPr>
              <w:jc w:val="right"/>
              <w:ind w:right="135"/>
              <w:spacing w:after="0"/>
              <w:rPr>
                <w:sz w:val="20"/>
                <w:szCs w:val="20"/>
                <w:color w:val="auto"/>
              </w:rPr>
            </w:pPr>
            <w:r>
              <w:rPr>
                <w:rFonts w:ascii="Arial" w:cs="Arial" w:eastAsia="Arial" w:hAnsi="Arial"/>
                <w:sz w:val="18"/>
                <w:szCs w:val="18"/>
                <w:color w:val="auto"/>
              </w:rPr>
              <w:t>$14.6</w:t>
            </w:r>
          </w:p>
        </w:tc>
        <w:tc>
          <w:tcPr>
            <w:tcW w:w="2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$22.8</w:t>
            </w:r>
          </w:p>
        </w:tc>
        <w:tc>
          <w:tcPr>
            <w:tcW w:w="2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3"/>
              </w:rPr>
              <w:t>$34.1</w:t>
            </w:r>
          </w:p>
        </w:tc>
        <w:tc>
          <w:tcPr>
            <w:tcW w:w="1760" w:type="dxa"/>
            <w:vAlign w:val="bottom"/>
            <w:gridSpan w:val="2"/>
          </w:tcPr>
          <w:p>
            <w:pPr>
              <w:jc w:val="center"/>
              <w:spacing w:after="0"/>
              <w:rPr>
                <w:sz w:val="20"/>
                <w:szCs w:val="20"/>
                <w:color w:val="auto"/>
              </w:rPr>
            </w:pPr>
            <w:r>
              <w:rPr>
                <w:rFonts w:ascii="Arial" w:cs="Arial" w:eastAsia="Arial" w:hAnsi="Arial"/>
                <w:sz w:val="18"/>
                <w:szCs w:val="18"/>
                <w:color w:val="auto"/>
                <w:w w:val="88"/>
              </w:rPr>
              <w:t>$25.0</w:t>
            </w:r>
          </w:p>
        </w:tc>
        <w:tc>
          <w:tcPr>
            <w:tcW w:w="120" w:type="dxa"/>
            <w:vAlign w:val="bottom"/>
          </w:tcPr>
          <w:p>
            <w:pPr>
              <w:spacing w:after="0"/>
              <w:rPr>
                <w:sz w:val="21"/>
                <w:szCs w:val="21"/>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3"/>
              </w:rPr>
              <w:t>$48.4</w:t>
            </w:r>
          </w:p>
        </w:tc>
        <w:tc>
          <w:tcPr>
            <w:tcW w:w="0" w:type="dxa"/>
            <w:vAlign w:val="bottom"/>
          </w:tcPr>
          <w:p>
            <w:pPr>
              <w:spacing w:after="0"/>
              <w:rPr>
                <w:sz w:val="1"/>
                <w:szCs w:val="1"/>
                <w:color w:val="auto"/>
              </w:rPr>
            </w:pPr>
          </w:p>
        </w:tc>
      </w:tr>
      <w:tr>
        <w:trPr>
          <w:trHeight w:val="270"/>
        </w:trPr>
        <w:tc>
          <w:tcPr>
            <w:tcW w:w="4640" w:type="dxa"/>
            <w:vAlign w:val="bottom"/>
            <w:gridSpan w:val="2"/>
          </w:tcPr>
          <w:p>
            <w:pPr>
              <w:ind w:left="20"/>
              <w:spacing w:after="0"/>
              <w:rPr>
                <w:sz w:val="20"/>
                <w:szCs w:val="20"/>
                <w:color w:val="auto"/>
              </w:rPr>
            </w:pPr>
            <w:r>
              <w:rPr>
                <w:rFonts w:ascii="Arial" w:cs="Arial" w:eastAsia="Arial" w:hAnsi="Arial"/>
                <w:sz w:val="18"/>
                <w:szCs w:val="18"/>
                <w:color w:val="auto"/>
              </w:rPr>
              <w:t>IHOP</w:t>
            </w:r>
          </w:p>
        </w:tc>
        <w:tc>
          <w:tcPr>
            <w:tcW w:w="840" w:type="dxa"/>
            <w:vAlign w:val="bottom"/>
          </w:tcPr>
          <w:p>
            <w:pPr>
              <w:jc w:val="right"/>
              <w:ind w:right="175"/>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$13.7</w:t>
            </w:r>
          </w:p>
        </w:tc>
        <w:tc>
          <w:tcPr>
            <w:tcW w:w="2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3"/>
              </w:rPr>
              <w:t>$22.2</w:t>
            </w:r>
          </w:p>
        </w:tc>
        <w:tc>
          <w:tcPr>
            <w:tcW w:w="1760" w:type="dxa"/>
            <w:vAlign w:val="bottom"/>
            <w:gridSpan w:val="2"/>
          </w:tcPr>
          <w:p>
            <w:pPr>
              <w:jc w:val="center"/>
              <w:spacing w:after="0"/>
              <w:rPr>
                <w:sz w:val="20"/>
                <w:szCs w:val="20"/>
                <w:color w:val="auto"/>
              </w:rPr>
            </w:pPr>
            <w:r>
              <w:rPr>
                <w:rFonts w:ascii="Arial" w:cs="Arial" w:eastAsia="Arial" w:hAnsi="Arial"/>
                <w:sz w:val="18"/>
                <w:szCs w:val="18"/>
                <w:color w:val="auto"/>
                <w:w w:val="88"/>
              </w:rPr>
              <w:t>$15.8</w:t>
            </w:r>
          </w:p>
        </w:tc>
        <w:tc>
          <w:tcPr>
            <w:tcW w:w="120" w:type="dxa"/>
            <w:vAlign w:val="bottom"/>
          </w:tcPr>
          <w:p>
            <w:pPr>
              <w:spacing w:after="0"/>
              <w:rPr>
                <w:sz w:val="23"/>
                <w:szCs w:val="23"/>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3"/>
              </w:rPr>
              <w:t>$36.8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252525"/>
        </w:rPr>
        <w:t>Despite the improvement noted over the course of the second quarter, average weekly restaurant sales for the three months ended June 30, 2020 decreased 48% at Applebee's restaurants and 57% at IHOP restaurants compared to the same period of the prior year. The decrease primarily was due to a substantial decline in customer traffic at our restaurants which had a significant unfavorable impact on the Key Financial Results presented below. Further, t</w:t>
      </w:r>
      <w:r>
        <w:rPr>
          <w:rFonts w:ascii="Arial" w:cs="Arial" w:eastAsia="Arial" w:hAnsi="Arial"/>
          <w:sz w:val="17"/>
          <w:szCs w:val="17"/>
          <w:color w:val="000000"/>
        </w:rPr>
        <w:t>he significance of the impacts of the COVID-19 pandemic resulted in our performing impairment assessments of our long-lived assets, goodwill and other</w:t>
      </w:r>
      <w:r>
        <w:rPr>
          <w:rFonts w:ascii="Arial" w:cs="Arial" w:eastAsia="Arial" w:hAnsi="Arial"/>
          <w:sz w:val="17"/>
          <w:szCs w:val="17"/>
          <w:color w:val="252525"/>
        </w:rPr>
        <w:t xml:space="preserve"> </w:t>
      </w:r>
      <w:r>
        <w:rPr>
          <w:rFonts w:ascii="Arial" w:cs="Arial" w:eastAsia="Arial" w:hAnsi="Arial"/>
          <w:sz w:val="17"/>
          <w:szCs w:val="17"/>
          <w:color w:val="000000"/>
        </w:rPr>
        <w:t xml:space="preserve">intangible assets. As a result of these assessments, we recorded impairment charges of approximately $124 million in during the three months ended June 30, 2020. See </w:t>
      </w:r>
      <w:r>
        <w:rPr>
          <w:rFonts w:ascii="Arial" w:cs="Arial" w:eastAsia="Arial" w:hAnsi="Arial"/>
          <w:sz w:val="17"/>
          <w:szCs w:val="17"/>
          <w:i w:val="1"/>
          <w:iCs w:val="1"/>
          <w:color w:val="000000"/>
        </w:rPr>
        <w:t>Consolidated Results of Operations - Comparison of the Three and Six Months ended June 30, 2020 and June 30, 2019 - Impairment and</w:t>
      </w:r>
      <w:r>
        <w:rPr>
          <w:rFonts w:ascii="Arial" w:cs="Arial" w:eastAsia="Arial" w:hAnsi="Arial"/>
          <w:sz w:val="17"/>
          <w:szCs w:val="17"/>
          <w:color w:val="000000"/>
        </w:rPr>
        <w:t xml:space="preserve"> </w:t>
      </w:r>
      <w:r>
        <w:rPr>
          <w:rFonts w:ascii="Arial" w:cs="Arial" w:eastAsia="Arial" w:hAnsi="Arial"/>
          <w:sz w:val="17"/>
          <w:szCs w:val="17"/>
          <w:i w:val="1"/>
          <w:iCs w:val="1"/>
          <w:color w:val="000000"/>
        </w:rPr>
        <w:t xml:space="preserve">Closure Costs” </w:t>
      </w:r>
      <w:r>
        <w:rPr>
          <w:rFonts w:ascii="Arial" w:cs="Arial" w:eastAsia="Arial" w:hAnsi="Arial"/>
          <w:sz w:val="17"/>
          <w:szCs w:val="17"/>
          <w:color w:val="000000"/>
        </w:rPr>
        <w:t>for further discussion of the impairments.</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We cannot predict how long the COVID-19 pandemic and its impact on our operations will last, whether or when recurrences of the virus may arise, what restrictions on in-restaurant dining may be enacted or re-enacted, the timing and extent of customer re-engagement with our brands and, in general, what the short- and long-term impact on consumer discretionary spending the COVID-19 pandemic might have on us and the restaurant industry as a whole.</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Results</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80" w:type="dxa"/>
            <w:vAlign w:val="bottom"/>
            <w:gridSpan w:val="4"/>
          </w:tcPr>
          <w:p>
            <w:pPr>
              <w:ind w:left="140"/>
              <w:spacing w:after="0"/>
              <w:rPr>
                <w:sz w:val="20"/>
                <w:szCs w:val="20"/>
                <w:color w:val="auto"/>
              </w:rPr>
            </w:pPr>
            <w:r>
              <w:rPr>
                <w:rFonts w:ascii="Arial" w:cs="Arial" w:eastAsia="Arial" w:hAnsi="Arial"/>
                <w:sz w:val="16"/>
                <w:szCs w:val="16"/>
                <w:b w:val="1"/>
                <w:bCs w:val="1"/>
                <w:color w:val="auto"/>
                <w:w w:val="98"/>
              </w:rPr>
              <w:t>Three months ended June 30,</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Favorable</w:t>
            </w:r>
          </w:p>
        </w:tc>
        <w:tc>
          <w:tcPr>
            <w:tcW w:w="220" w:type="dxa"/>
            <w:vAlign w:val="bottom"/>
          </w:tcPr>
          <w:p>
            <w:pPr>
              <w:spacing w:after="0"/>
              <w:rPr>
                <w:sz w:val="16"/>
                <w:szCs w:val="16"/>
                <w:color w:val="auto"/>
              </w:rPr>
            </w:pPr>
          </w:p>
        </w:tc>
        <w:tc>
          <w:tcPr>
            <w:tcW w:w="2060" w:type="dxa"/>
            <w:vAlign w:val="bottom"/>
            <w:gridSpan w:val="4"/>
          </w:tcPr>
          <w:p>
            <w:pPr>
              <w:jc w:val="right"/>
              <w:ind w:right="33"/>
              <w:spacing w:after="0"/>
              <w:rPr>
                <w:sz w:val="20"/>
                <w:szCs w:val="20"/>
                <w:color w:val="auto"/>
              </w:rPr>
            </w:pPr>
            <w:r>
              <w:rPr>
                <w:rFonts w:ascii="Arial" w:cs="Arial" w:eastAsia="Arial" w:hAnsi="Arial"/>
                <w:sz w:val="16"/>
                <w:szCs w:val="16"/>
                <w:b w:val="1"/>
                <w:bCs w:val="1"/>
                <w:color w:val="auto"/>
                <w:w w:val="93"/>
              </w:rPr>
              <w:t>Six months ended June 30,</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77"/>
              <w:spacing w:after="0"/>
              <w:rPr>
                <w:sz w:val="20"/>
                <w:szCs w:val="20"/>
                <w:color w:val="auto"/>
              </w:rPr>
            </w:pPr>
            <w:r>
              <w:rPr>
                <w:rFonts w:ascii="Arial" w:cs="Arial" w:eastAsia="Arial" w:hAnsi="Arial"/>
                <w:sz w:val="14"/>
                <w:szCs w:val="14"/>
                <w:b w:val="1"/>
                <w:bCs w:val="1"/>
                <w:color w:val="auto"/>
                <w:w w:val="93"/>
              </w:rPr>
              <w:t>Favorable</w:t>
            </w:r>
          </w:p>
        </w:tc>
        <w:tc>
          <w:tcPr>
            <w:tcW w:w="0" w:type="dxa"/>
            <w:vAlign w:val="bottom"/>
          </w:tcPr>
          <w:p>
            <w:pPr>
              <w:spacing w:after="0"/>
              <w:rPr>
                <w:sz w:val="1"/>
                <w:szCs w:val="1"/>
                <w:color w:val="auto"/>
              </w:rPr>
            </w:pPr>
          </w:p>
        </w:tc>
      </w:tr>
      <w:tr>
        <w:trPr>
          <w:trHeight w:val="77"/>
        </w:trPr>
        <w:tc>
          <w:tcPr>
            <w:tcW w:w="300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(Unfavorable)</w:t>
            </w:r>
          </w:p>
        </w:tc>
        <w:tc>
          <w:tcPr>
            <w:tcW w:w="2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40" w:type="dxa"/>
            <w:vAlign w:val="bottom"/>
            <w:vMerge w:val="restart"/>
          </w:tcPr>
          <w:p>
            <w:pPr>
              <w:jc w:val="center"/>
              <w:ind w:right="77"/>
              <w:spacing w:after="0" w:line="149" w:lineRule="exact"/>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52"/>
        </w:trPr>
        <w:tc>
          <w:tcPr>
            <w:tcW w:w="30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60" w:type="dxa"/>
            <w:vAlign w:val="bottom"/>
            <w:vMerge w:val="restart"/>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60" w:type="dxa"/>
            <w:vAlign w:val="bottom"/>
            <w:vMerge w:val="restart"/>
          </w:tcPr>
          <w:p>
            <w:pPr>
              <w:ind w:left="200"/>
              <w:spacing w:after="0"/>
              <w:rPr>
                <w:sz w:val="20"/>
                <w:szCs w:val="20"/>
                <w:color w:val="auto"/>
              </w:rPr>
            </w:pPr>
            <w:r>
              <w:rPr>
                <w:rFonts w:ascii="Arial" w:cs="Arial" w:eastAsia="Arial" w:hAnsi="Arial"/>
                <w:sz w:val="16"/>
                <w:szCs w:val="16"/>
                <w:b w:val="1"/>
                <w:bCs w:val="1"/>
                <w:color w:val="auto"/>
              </w:rPr>
              <w:t>2019</w:t>
            </w: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vMerge w:val="restart"/>
          </w:tcPr>
          <w:p>
            <w:pPr>
              <w:jc w:val="right"/>
              <w:ind w:right="37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30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2"/>
              </w:rPr>
              <w:t>Variance</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304"/>
        </w:trPr>
        <w:tc>
          <w:tcPr>
            <w:tcW w:w="3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gridSpan w:val="6"/>
          </w:tcPr>
          <w:p>
            <w:pPr>
              <w:ind w:left="60"/>
              <w:spacing w:after="0"/>
              <w:rPr>
                <w:sz w:val="20"/>
                <w:szCs w:val="20"/>
                <w:color w:val="auto"/>
              </w:rPr>
            </w:pPr>
            <w:r>
              <w:rPr>
                <w:rFonts w:ascii="Arial" w:cs="Arial" w:eastAsia="Arial" w:hAnsi="Arial"/>
                <w:sz w:val="14"/>
                <w:szCs w:val="14"/>
                <w:b w:val="1"/>
                <w:bCs w:val="1"/>
                <w:color w:val="auto"/>
              </w:rPr>
              <w:t>(In millions, except per share data)</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income before income taxes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(146.8)</w:t>
            </w:r>
          </w:p>
        </w:tc>
        <w:tc>
          <w:tcPr>
            <w:tcW w:w="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6"/>
              </w:rPr>
              <w:t>29.1</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(175.8)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(117.7)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center"/>
              <w:ind w:left="153"/>
              <w:spacing w:after="0"/>
              <w:rPr>
                <w:sz w:val="20"/>
                <w:szCs w:val="20"/>
                <w:color w:val="auto"/>
              </w:rPr>
            </w:pPr>
            <w:r>
              <w:rPr>
                <w:rFonts w:ascii="Arial" w:cs="Arial" w:eastAsia="Arial" w:hAnsi="Arial"/>
                <w:sz w:val="18"/>
                <w:szCs w:val="18"/>
                <w:color w:val="auto"/>
                <w:w w:val="85"/>
              </w:rPr>
              <w:t>70.2</w:t>
            </w:r>
          </w:p>
        </w:tc>
        <w:tc>
          <w:tcPr>
            <w:tcW w:w="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(187.9)</w:t>
            </w:r>
          </w:p>
        </w:tc>
        <w:tc>
          <w:tcPr>
            <w:tcW w:w="0" w:type="dxa"/>
            <w:vAlign w:val="bottom"/>
          </w:tcPr>
          <w:p>
            <w:pPr>
              <w:spacing w:after="0"/>
              <w:rPr>
                <w:sz w:val="1"/>
                <w:szCs w:val="1"/>
                <w:color w:val="auto"/>
              </w:rPr>
            </w:pPr>
          </w:p>
        </w:tc>
      </w:tr>
      <w:tr>
        <w:trPr>
          <w:trHeight w:val="243"/>
        </w:trPr>
        <w:tc>
          <w:tcPr>
            <w:tcW w:w="3000" w:type="dxa"/>
            <w:vAlign w:val="bottom"/>
          </w:tcPr>
          <w:p>
            <w:pPr>
              <w:ind w:left="20"/>
              <w:spacing w:after="0"/>
              <w:rPr>
                <w:sz w:val="20"/>
                <w:szCs w:val="20"/>
                <w:color w:val="auto"/>
              </w:rPr>
            </w:pPr>
            <w:r>
              <w:rPr>
                <w:rFonts w:ascii="Arial" w:cs="Arial" w:eastAsia="Arial" w:hAnsi="Arial"/>
                <w:sz w:val="18"/>
                <w:szCs w:val="18"/>
                <w:color w:val="auto"/>
              </w:rPr>
              <w:t>Income tax benefit (provision)</w:t>
            </w:r>
          </w:p>
        </w:tc>
        <w:tc>
          <w:tcPr>
            <w:tcW w:w="260" w:type="dxa"/>
            <w:vAlign w:val="bottom"/>
          </w:tcPr>
          <w:p>
            <w:pPr>
              <w:spacing w:after="0"/>
              <w:rPr>
                <w:sz w:val="21"/>
                <w:szCs w:val="21"/>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12.0</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ind w:left="520"/>
              <w:spacing w:after="0"/>
              <w:rPr>
                <w:sz w:val="20"/>
                <w:szCs w:val="20"/>
                <w:color w:val="auto"/>
              </w:rPr>
            </w:pPr>
            <w:r>
              <w:rPr>
                <w:rFonts w:ascii="Arial" w:cs="Arial" w:eastAsia="Arial" w:hAnsi="Arial"/>
                <w:sz w:val="18"/>
                <w:szCs w:val="18"/>
                <w:color w:val="auto"/>
                <w:w w:val="86"/>
              </w:rPr>
              <w:t>(7.7)</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ind w:left="540"/>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52"/>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center"/>
              <w:ind w:left="133"/>
              <w:spacing w:after="0"/>
              <w:rPr>
                <w:sz w:val="20"/>
                <w:szCs w:val="20"/>
                <w:color w:val="auto"/>
              </w:rPr>
            </w:pPr>
            <w:r>
              <w:rPr>
                <w:rFonts w:ascii="Arial" w:cs="Arial" w:eastAsia="Arial" w:hAnsi="Arial"/>
                <w:sz w:val="18"/>
                <w:szCs w:val="18"/>
                <w:color w:val="auto"/>
                <w:w w:val="93"/>
              </w:rPr>
              <w:t>(17.2)</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ind w:left="58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7"/>
        </w:trPr>
        <w:tc>
          <w:tcPr>
            <w:tcW w:w="3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(134.8)</w:t>
            </w:r>
          </w:p>
        </w:tc>
        <w:tc>
          <w:tcPr>
            <w:tcW w:w="14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6"/>
              </w:rPr>
              <w:t>21.4</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(156.1)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(112.5)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center"/>
              <w:ind w:left="153"/>
              <w:spacing w:after="0"/>
              <w:rPr>
                <w:sz w:val="20"/>
                <w:szCs w:val="20"/>
                <w:color w:val="auto"/>
              </w:rPr>
            </w:pPr>
            <w:r>
              <w:rPr>
                <w:rFonts w:ascii="Arial" w:cs="Arial" w:eastAsia="Arial" w:hAnsi="Arial"/>
                <w:sz w:val="18"/>
                <w:szCs w:val="18"/>
                <w:color w:val="auto"/>
                <w:w w:val="85"/>
              </w:rPr>
              <w:t>53.0</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(165.5)</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30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5"/>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26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1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96"/>
              </w:rPr>
              <w:t>26.4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96"/>
              </w:rPr>
              <w:t>18.2 %</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center"/>
              <w:ind w:left="153"/>
              <w:spacing w:after="0"/>
              <w:rPr>
                <w:sz w:val="20"/>
                <w:szCs w:val="20"/>
                <w:color w:val="auto"/>
              </w:rPr>
            </w:pPr>
            <w:r>
              <w:rPr>
                <w:rFonts w:ascii="Arial" w:cs="Arial" w:eastAsia="Arial" w:hAnsi="Arial"/>
                <w:sz w:val="18"/>
                <w:szCs w:val="18"/>
                <w:color w:val="auto"/>
                <w:w w:val="85"/>
              </w:rPr>
              <w:t>24.5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96"/>
              </w:rPr>
              <w:t>20.0 %</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30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 per diluted share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(8.04)</w:t>
            </w:r>
          </w:p>
        </w:tc>
        <w:tc>
          <w:tcPr>
            <w:tcW w:w="1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96"/>
              </w:rPr>
              <w:t>1.18</w:t>
            </w:r>
          </w:p>
        </w:tc>
        <w:tc>
          <w:tcPr>
            <w:tcW w:w="18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8"/>
                <w:szCs w:val="18"/>
                <w:color w:val="auto"/>
              </w:rPr>
              <w:t>(9.22)</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(6.69)</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center"/>
              <w:ind w:left="153"/>
              <w:spacing w:after="0"/>
              <w:rPr>
                <w:sz w:val="20"/>
                <w:szCs w:val="20"/>
                <w:color w:val="auto"/>
              </w:rPr>
            </w:pPr>
            <w:r>
              <w:rPr>
                <w:rFonts w:ascii="Arial" w:cs="Arial" w:eastAsia="Arial" w:hAnsi="Arial"/>
                <w:sz w:val="18"/>
                <w:szCs w:val="18"/>
                <w:color w:val="auto"/>
                <w:w w:val="85"/>
              </w:rPr>
              <w:t>2.91</w:t>
            </w:r>
          </w:p>
        </w:tc>
        <w:tc>
          <w:tcPr>
            <w:tcW w:w="18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 (decrease)</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57"/>
              <w:spacing w:after="0"/>
              <w:rPr>
                <w:sz w:val="20"/>
                <w:szCs w:val="20"/>
                <w:color w:val="auto"/>
              </w:rPr>
            </w:pPr>
            <w:r>
              <w:rPr>
                <w:rFonts w:ascii="Arial" w:cs="Arial" w:eastAsia="Arial" w:hAnsi="Arial"/>
                <w:sz w:val="14"/>
                <w:szCs w:val="14"/>
                <w:b w:val="1"/>
                <w:bCs w:val="1"/>
                <w:color w:val="auto"/>
                <w:w w:val="92"/>
              </w:rPr>
              <w:t>% (decrease)</w:t>
            </w:r>
          </w:p>
        </w:tc>
        <w:tc>
          <w:tcPr>
            <w:tcW w:w="0" w:type="dxa"/>
            <w:vAlign w:val="bottom"/>
          </w:tcPr>
          <w:p>
            <w:pPr>
              <w:spacing w:after="0"/>
              <w:rPr>
                <w:sz w:val="1"/>
                <w:szCs w:val="1"/>
                <w:color w:val="auto"/>
              </w:rPr>
            </w:pPr>
          </w:p>
        </w:tc>
      </w:tr>
      <w:tr>
        <w:trPr>
          <w:trHeight w:val="295"/>
        </w:trPr>
        <w:tc>
          <w:tcPr>
            <w:tcW w:w="3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diluted shares</w:t>
            </w:r>
          </w:p>
        </w:tc>
        <w:tc>
          <w:tcPr>
            <w:tcW w:w="260" w:type="dxa"/>
            <w:vAlign w:val="bottom"/>
            <w:tcBorders>
              <w:top w:val="single" w:sz="8" w:color="CCEEFF"/>
              <w:bottom w:val="single" w:sz="8" w:color="auto"/>
            </w:tcBorders>
            <w:shd w:val="clear" w:color="auto" w:fill="CCEEFF"/>
          </w:tcPr>
          <w:p>
            <w:pPr>
              <w:spacing w:after="0"/>
              <w:rPr>
                <w:sz w:val="24"/>
                <w:szCs w:val="24"/>
                <w:color w:val="auto"/>
              </w:rPr>
            </w:pPr>
          </w:p>
        </w:tc>
        <w:tc>
          <w:tcPr>
            <w:tcW w:w="1060" w:type="dxa"/>
            <w:vAlign w:val="bottom"/>
            <w:tcBorders>
              <w:top w:val="single" w:sz="8" w:color="CCEEFF"/>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16.2</w:t>
            </w:r>
          </w:p>
        </w:tc>
        <w:tc>
          <w:tcPr>
            <w:tcW w:w="14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CCEEFF"/>
              <w:bottom w:val="single" w:sz="8" w:color="auto"/>
            </w:tcBorders>
            <w:shd w:val="clear" w:color="auto" w:fill="CCEEFF"/>
          </w:tcPr>
          <w:p>
            <w:pPr>
              <w:spacing w:after="0"/>
              <w:rPr>
                <w:sz w:val="24"/>
                <w:szCs w:val="24"/>
                <w:color w:val="auto"/>
              </w:rPr>
            </w:pPr>
          </w:p>
        </w:tc>
        <w:tc>
          <w:tcPr>
            <w:tcW w:w="860" w:type="dxa"/>
            <w:vAlign w:val="bottom"/>
            <w:tcBorders>
              <w:top w:val="single" w:sz="8" w:color="CCEEFF"/>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96"/>
              </w:rPr>
              <w:t>17.6</w:t>
            </w:r>
          </w:p>
        </w:tc>
        <w:tc>
          <w:tcPr>
            <w:tcW w:w="180" w:type="dxa"/>
            <w:vAlign w:val="bottom"/>
            <w:tcBorders>
              <w:top w:val="single" w:sz="8" w:color="CCEEFF"/>
              <w:bottom w:val="single" w:sz="8" w:color="auto"/>
            </w:tcBorders>
            <w:shd w:val="clear" w:color="auto" w:fill="CCEEFF"/>
          </w:tcPr>
          <w:p>
            <w:pPr>
              <w:spacing w:after="0"/>
              <w:rPr>
                <w:sz w:val="24"/>
                <w:szCs w:val="24"/>
                <w:color w:val="auto"/>
              </w:rPr>
            </w:pP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spacing w:after="0"/>
              <w:rPr>
                <w:sz w:val="24"/>
                <w:szCs w:val="24"/>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20" w:type="dxa"/>
            <w:vAlign w:val="bottom"/>
            <w:tcBorders>
              <w:top w:val="single" w:sz="8" w:color="CCEEFF"/>
              <w:bottom w:val="single" w:sz="8" w:color="auto"/>
            </w:tcBorders>
            <w:shd w:val="clear" w:color="auto" w:fill="CCEEFF"/>
          </w:tcPr>
          <w:p>
            <w:pPr>
              <w:spacing w:after="0"/>
              <w:rPr>
                <w:sz w:val="24"/>
                <w:szCs w:val="24"/>
                <w:color w:val="auto"/>
              </w:rPr>
            </w:pPr>
          </w:p>
        </w:tc>
        <w:tc>
          <w:tcPr>
            <w:tcW w:w="1040" w:type="dxa"/>
            <w:vAlign w:val="bottom"/>
            <w:tcBorders>
              <w:top w:val="single" w:sz="8" w:color="CCEEFF"/>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16.2</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60" w:type="dxa"/>
            <w:vAlign w:val="bottom"/>
            <w:tcBorders>
              <w:top w:val="single" w:sz="8" w:color="CCEEFF"/>
              <w:bottom w:val="single" w:sz="8" w:color="auto"/>
            </w:tcBorders>
            <w:shd w:val="clear" w:color="auto" w:fill="CCEEFF"/>
          </w:tcPr>
          <w:p>
            <w:pPr>
              <w:spacing w:after="0"/>
              <w:rPr>
                <w:sz w:val="24"/>
                <w:szCs w:val="24"/>
                <w:color w:val="auto"/>
              </w:rPr>
            </w:pPr>
          </w:p>
        </w:tc>
        <w:tc>
          <w:tcPr>
            <w:tcW w:w="660" w:type="dxa"/>
            <w:vAlign w:val="bottom"/>
            <w:tcBorders>
              <w:top w:val="single" w:sz="8" w:color="CCEEFF"/>
              <w:bottom w:val="single" w:sz="8" w:color="auto"/>
            </w:tcBorders>
            <w:shd w:val="clear" w:color="auto" w:fill="CCEEFF"/>
          </w:tcPr>
          <w:p>
            <w:pPr>
              <w:jc w:val="center"/>
              <w:ind w:left="153"/>
              <w:spacing w:after="0"/>
              <w:rPr>
                <w:sz w:val="20"/>
                <w:szCs w:val="20"/>
                <w:color w:val="auto"/>
              </w:rPr>
            </w:pPr>
            <w:r>
              <w:rPr>
                <w:rFonts w:ascii="Arial" w:cs="Arial" w:eastAsia="Arial" w:hAnsi="Arial"/>
                <w:sz w:val="18"/>
                <w:szCs w:val="18"/>
                <w:color w:val="auto"/>
                <w:w w:val="85"/>
              </w:rPr>
              <w:t>17.6</w:t>
            </w:r>
          </w:p>
        </w:tc>
        <w:tc>
          <w:tcPr>
            <w:tcW w:w="180" w:type="dxa"/>
            <w:vAlign w:val="bottom"/>
            <w:tcBorders>
              <w:top w:val="single" w:sz="8" w:color="CCEEFF"/>
              <w:bottom w:val="single" w:sz="8" w:color="auto"/>
            </w:tcBorders>
            <w:shd w:val="clear" w:color="auto" w:fill="CCEEFF"/>
          </w:tcPr>
          <w:p>
            <w:pPr>
              <w:spacing w:after="0"/>
              <w:rPr>
                <w:sz w:val="24"/>
                <w:szCs w:val="24"/>
                <w:color w:val="auto"/>
              </w:rPr>
            </w:pP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spacing w:after="0"/>
              <w:rPr>
                <w:sz w:val="24"/>
                <w:szCs w:val="24"/>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100" w:firstLine="324"/>
        <w:spacing w:after="0" w:line="276" w:lineRule="auto"/>
        <w:rPr>
          <w:sz w:val="20"/>
          <w:szCs w:val="20"/>
          <w:color w:val="auto"/>
        </w:rPr>
      </w:pPr>
      <w:r>
        <w:rPr>
          <w:rFonts w:ascii="Arial" w:cs="Arial" w:eastAsia="Arial" w:hAnsi="Arial"/>
          <w:sz w:val="18"/>
          <w:szCs w:val="18"/>
          <w:color w:val="auto"/>
        </w:rPr>
        <w:t>The following table highlights the primary components of the decrease in our income before income taxes for the three and six months ended June 30, 2020 compared to our income before income taxes from the same periods of 2019:</w:t>
      </w:r>
    </w:p>
    <w:p>
      <w:pPr>
        <w:spacing w:after="0" w:line="2" w:lineRule="exact"/>
        <w:rPr>
          <w:sz w:val="20"/>
          <w:szCs w:val="20"/>
          <w:color w:val="auto"/>
        </w:rPr>
      </w:pPr>
    </w:p>
    <w:p>
      <w:pPr>
        <w:jc w:val="center"/>
        <w:ind w:left="7460"/>
        <w:spacing w:after="0"/>
        <w:rPr>
          <w:sz w:val="20"/>
          <w:szCs w:val="20"/>
          <w:color w:val="auto"/>
        </w:rPr>
      </w:pPr>
      <w:r>
        <w:rPr>
          <w:rFonts w:ascii="Arial" w:cs="Arial" w:eastAsia="Arial" w:hAnsi="Arial"/>
          <w:sz w:val="14"/>
          <w:szCs w:val="14"/>
          <w:b w:val="1"/>
          <w:bCs w:val="1"/>
          <w:color w:val="auto"/>
        </w:rPr>
        <w:t>Favorable</w:t>
      </w:r>
    </w:p>
    <w:p>
      <w:pPr>
        <w:spacing w:after="0" w:line="4" w:lineRule="exact"/>
        <w:rPr>
          <w:sz w:val="20"/>
          <w:szCs w:val="20"/>
          <w:color w:val="auto"/>
        </w:rPr>
      </w:pPr>
    </w:p>
    <w:p>
      <w:pPr>
        <w:jc w:val="center"/>
        <w:ind w:left="7460"/>
        <w:spacing w:after="0"/>
        <w:rPr>
          <w:sz w:val="20"/>
          <w:szCs w:val="20"/>
          <w:color w:val="auto"/>
        </w:rPr>
      </w:pPr>
      <w:r>
        <w:rPr>
          <w:rFonts w:ascii="Arial" w:cs="Arial" w:eastAsia="Arial" w:hAnsi="Arial"/>
          <w:sz w:val="14"/>
          <w:szCs w:val="14"/>
          <w:b w:val="1"/>
          <w:bCs w:val="1"/>
          <w:color w:val="auto"/>
        </w:rPr>
        <w:t>(Unfavorable) Variance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13335</wp:posOffset>
            </wp:positionV>
            <wp:extent cx="226314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460" w:type="dxa"/>
            <w:vAlign w:val="bottom"/>
          </w:tcPr>
          <w:p>
            <w:pPr>
              <w:spacing w:after="0"/>
              <w:rPr>
                <w:sz w:val="14"/>
                <w:szCs w:val="14"/>
                <w:color w:val="auto"/>
              </w:rPr>
            </w:pPr>
          </w:p>
        </w:tc>
        <w:tc>
          <w:tcPr>
            <w:tcW w:w="1840" w:type="dxa"/>
            <w:vAlign w:val="bottom"/>
            <w:gridSpan w:val="3"/>
          </w:tcPr>
          <w:p>
            <w:pPr>
              <w:ind w:left="60"/>
              <w:spacing w:after="0"/>
              <w:rPr>
                <w:sz w:val="20"/>
                <w:szCs w:val="20"/>
                <w:color w:val="auto"/>
              </w:rPr>
            </w:pPr>
            <w:r>
              <w:rPr>
                <w:rFonts w:ascii="Arial" w:cs="Arial" w:eastAsia="Arial" w:hAnsi="Arial"/>
                <w:sz w:val="14"/>
                <w:szCs w:val="14"/>
                <w:b w:val="1"/>
                <w:bCs w:val="1"/>
                <w:color w:val="auto"/>
              </w:rPr>
              <w:t>Three months ended June</w:t>
            </w:r>
          </w:p>
        </w:tc>
        <w:tc>
          <w:tcPr>
            <w:tcW w:w="172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Six months ended June 30,</w:t>
            </w:r>
          </w:p>
        </w:tc>
      </w:tr>
      <w:tr>
        <w:trPr>
          <w:trHeight w:val="192"/>
        </w:trPr>
        <w:tc>
          <w:tcPr>
            <w:tcW w:w="74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30, 2020</w:t>
            </w: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2020</w:t>
            </w:r>
          </w:p>
        </w:tc>
      </w:tr>
      <w:tr>
        <w:trPr>
          <w:trHeight w:val="196"/>
        </w:trPr>
        <w:tc>
          <w:tcPr>
            <w:tcW w:w="7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0" w:type="dxa"/>
            <w:vAlign w:val="bottom"/>
            <w:gridSpan w:val="3"/>
          </w:tcPr>
          <w:p>
            <w:pPr>
              <w:jc w:val="right"/>
              <w:ind w:right="116"/>
              <w:spacing w:after="0"/>
              <w:rPr>
                <w:sz w:val="20"/>
                <w:szCs w:val="20"/>
                <w:color w:val="auto"/>
              </w:rPr>
            </w:pPr>
            <w:r>
              <w:rPr>
                <w:rFonts w:ascii="Arial" w:cs="Arial" w:eastAsia="Arial" w:hAnsi="Arial"/>
                <w:sz w:val="14"/>
                <w:szCs w:val="14"/>
                <w:b w:val="1"/>
                <w:bCs w:val="1"/>
                <w:color w:val="auto"/>
              </w:rPr>
              <w:t>(In millions)</w:t>
            </w:r>
          </w:p>
        </w:tc>
        <w:tc>
          <w:tcPr>
            <w:tcW w:w="1200" w:type="dxa"/>
            <w:vAlign w:val="bottom"/>
          </w:tcPr>
          <w:p>
            <w:pPr>
              <w:spacing w:after="0"/>
              <w:rPr>
                <w:sz w:val="17"/>
                <w:szCs w:val="17"/>
                <w:color w:val="auto"/>
              </w:rPr>
            </w:pPr>
          </w:p>
        </w:tc>
      </w:tr>
      <w:tr>
        <w:trPr>
          <w:trHeight w:val="256"/>
        </w:trPr>
        <w:tc>
          <w:tcPr>
            <w:tcW w:w="7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Impairment and closure charges</w:t>
            </w:r>
          </w:p>
        </w:tc>
        <w:tc>
          <w:tcPr>
            <w:tcW w:w="36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(124.1)</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36"/>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(123.9)</w:t>
            </w:r>
          </w:p>
        </w:tc>
      </w:tr>
      <w:tr>
        <w:trPr>
          <w:trHeight w:val="243"/>
        </w:trPr>
        <w:tc>
          <w:tcPr>
            <w:tcW w:w="7460" w:type="dxa"/>
            <w:vAlign w:val="bottom"/>
          </w:tcPr>
          <w:p>
            <w:pPr>
              <w:spacing w:after="0"/>
              <w:rPr>
                <w:sz w:val="20"/>
                <w:szCs w:val="20"/>
                <w:color w:val="auto"/>
              </w:rPr>
            </w:pPr>
            <w:r>
              <w:rPr>
                <w:rFonts w:ascii="Arial" w:cs="Arial" w:eastAsia="Arial" w:hAnsi="Arial"/>
                <w:sz w:val="18"/>
                <w:szCs w:val="18"/>
                <w:color w:val="auto"/>
              </w:rPr>
              <w:t>Decrease in gross profit:</w:t>
            </w:r>
          </w:p>
        </w:tc>
        <w:tc>
          <w:tcPr>
            <w:tcW w:w="3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7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Applebee's franchise operations</w:t>
            </w:r>
          </w:p>
        </w:tc>
        <w:tc>
          <w:tcPr>
            <w:tcW w:w="36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(23.8)</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(30.0)</w:t>
            </w:r>
          </w:p>
        </w:tc>
      </w:tr>
      <w:tr>
        <w:trPr>
          <w:trHeight w:val="270"/>
        </w:trPr>
        <w:tc>
          <w:tcPr>
            <w:tcW w:w="7460" w:type="dxa"/>
            <w:vAlign w:val="bottom"/>
          </w:tcPr>
          <w:p>
            <w:pPr>
              <w:ind w:left="260"/>
              <w:spacing w:after="0"/>
              <w:rPr>
                <w:sz w:val="20"/>
                <w:szCs w:val="20"/>
                <w:color w:val="auto"/>
              </w:rPr>
            </w:pPr>
            <w:r>
              <w:rPr>
                <w:rFonts w:ascii="Arial" w:cs="Arial" w:eastAsia="Arial" w:hAnsi="Arial"/>
                <w:sz w:val="18"/>
                <w:szCs w:val="18"/>
                <w:color w:val="auto"/>
              </w:rPr>
              <w:t>IHOP franchise operations</w:t>
            </w:r>
          </w:p>
        </w:tc>
        <w:tc>
          <w:tcPr>
            <w:tcW w:w="360" w:type="dxa"/>
            <w:vAlign w:val="bottom"/>
          </w:tcPr>
          <w:p>
            <w:pPr>
              <w:spacing w:after="0"/>
              <w:rPr>
                <w:sz w:val="23"/>
                <w:szCs w:val="23"/>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(36.0)</w:t>
            </w:r>
          </w:p>
        </w:tc>
      </w:tr>
      <w:tr>
        <w:trPr>
          <w:trHeight w:val="270"/>
        </w:trPr>
        <w:tc>
          <w:tcPr>
            <w:tcW w:w="7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Company restaurant operations</w:t>
            </w:r>
          </w:p>
        </w:tc>
        <w:tc>
          <w:tcPr>
            <w:tcW w:w="36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(10.1)</w:t>
            </w:r>
          </w:p>
        </w:tc>
      </w:tr>
      <w:tr>
        <w:trPr>
          <w:trHeight w:val="270"/>
        </w:trPr>
        <w:tc>
          <w:tcPr>
            <w:tcW w:w="746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Rental and financing operations</w:t>
            </w:r>
          </w:p>
        </w:tc>
        <w:tc>
          <w:tcPr>
            <w:tcW w:w="3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(6.8)</w:t>
            </w:r>
          </w:p>
        </w:tc>
      </w:tr>
      <w:tr>
        <w:trPr>
          <w:trHeight w:val="244"/>
        </w:trPr>
        <w:tc>
          <w:tcPr>
            <w:tcW w:w="7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decrease in gross profit</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(82.9)</w:t>
            </w:r>
          </w:p>
        </w:tc>
      </w:tr>
      <w:tr>
        <w:trPr>
          <w:trHeight w:val="243"/>
        </w:trPr>
        <w:tc>
          <w:tcPr>
            <w:tcW w:w="7460" w:type="dxa"/>
            <w:vAlign w:val="bottom"/>
          </w:tcPr>
          <w:p>
            <w:pPr>
              <w:spacing w:after="0"/>
              <w:rPr>
                <w:sz w:val="20"/>
                <w:szCs w:val="20"/>
                <w:color w:val="auto"/>
              </w:rPr>
            </w:pPr>
            <w:r>
              <w:rPr>
                <w:rFonts w:ascii="Arial" w:cs="Arial" w:eastAsia="Arial" w:hAnsi="Arial"/>
                <w:sz w:val="18"/>
                <w:szCs w:val="18"/>
                <w:color w:val="auto"/>
              </w:rPr>
              <w:t>Decrease in G&amp;A expenses</w:t>
            </w:r>
          </w:p>
        </w:tc>
        <w:tc>
          <w:tcPr>
            <w:tcW w:w="360" w:type="dxa"/>
            <w:vAlign w:val="bottom"/>
          </w:tcPr>
          <w:p>
            <w:pPr>
              <w:spacing w:after="0"/>
              <w:rPr>
                <w:sz w:val="21"/>
                <w:szCs w:val="21"/>
                <w:color w:val="auto"/>
              </w:rPr>
            </w:pPr>
          </w:p>
        </w:tc>
        <w:tc>
          <w:tcPr>
            <w:tcW w:w="1360" w:type="dxa"/>
            <w:vAlign w:val="bottom"/>
          </w:tcPr>
          <w:p>
            <w:pPr>
              <w:jc w:val="right"/>
              <w:ind w:right="73"/>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13.7</w:t>
            </w:r>
          </w:p>
        </w:tc>
      </w:tr>
      <w:tr>
        <w:trPr>
          <w:trHeight w:val="27"/>
        </w:trPr>
        <w:tc>
          <w:tcPr>
            <w:tcW w:w="7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8.3</w:t>
            </w:r>
          </w:p>
        </w:tc>
      </w:tr>
      <w:tr>
        <w:trPr>
          <w:trHeight w:val="243"/>
        </w:trPr>
        <w:tc>
          <w:tcPr>
            <w:tcW w:w="7460" w:type="dxa"/>
            <w:vAlign w:val="bottom"/>
          </w:tcPr>
          <w:p>
            <w:pPr>
              <w:spacing w:after="0"/>
              <w:rPr>
                <w:sz w:val="20"/>
                <w:szCs w:val="20"/>
                <w:color w:val="auto"/>
              </w:rPr>
            </w:pPr>
            <w:r>
              <w:rPr>
                <w:rFonts w:ascii="Arial" w:cs="Arial" w:eastAsia="Arial" w:hAnsi="Arial"/>
                <w:sz w:val="18"/>
                <w:szCs w:val="18"/>
                <w:color w:val="auto"/>
              </w:rPr>
              <w:t>Other income and expense items</w:t>
            </w:r>
          </w:p>
        </w:tc>
        <w:tc>
          <w:tcPr>
            <w:tcW w:w="36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(3.1)</w:t>
            </w:r>
          </w:p>
        </w:tc>
      </w:tr>
      <w:tr>
        <w:trPr>
          <w:trHeight w:val="27"/>
        </w:trPr>
        <w:tc>
          <w:tcPr>
            <w:tcW w:w="7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8"/>
        </w:trPr>
        <w:tc>
          <w:tcPr>
            <w:tcW w:w="7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Decrease in income before income taxes</w:t>
            </w:r>
          </w:p>
        </w:tc>
        <w:tc>
          <w:tcPr>
            <w:tcW w:w="3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(175.8)</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(187.9)</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180" w:firstLine="324"/>
        <w:spacing w:after="0" w:line="294" w:lineRule="auto"/>
        <w:rPr>
          <w:sz w:val="20"/>
          <w:szCs w:val="20"/>
          <w:color w:val="auto"/>
        </w:rPr>
      </w:pPr>
      <w:r>
        <w:rPr>
          <w:rFonts w:ascii="Arial" w:cs="Arial" w:eastAsia="Arial" w:hAnsi="Arial"/>
          <w:sz w:val="16"/>
          <w:szCs w:val="16"/>
          <w:color w:val="auto"/>
        </w:rPr>
        <w:t>The significant impacts of the COVID-19 pandemic resulted in our performing impairment assessments of our long-lived assets, goodwill and other intangible assets. As a result of these assessments, we recorded an impairment to Applebee's goodwill of $92.2 million, an impairment to Applebee's intangible assets of $14.3 million and impairments to long-lived assets of both brands totaling approximately $17.2 million in the second quarter of 2020.</w:t>
      </w:r>
    </w:p>
    <w:p>
      <w:pPr>
        <w:spacing w:after="0" w:line="174"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auto"/>
        </w:rPr>
        <w:t>Gross profit for the three and six months ended June 30, 2020 decreased compared to the same periods of the prior year, primarily due to a significant decrease in customer traffic resulting from the measures undertaken to stem the spread of COVID-19 discussed above and an increase in bad debt expense during the three months ended June 30, 2020.</w:t>
      </w:r>
    </w:p>
    <w:p>
      <w:pPr>
        <w:spacing w:after="0" w:line="21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“Consolidated Results of Operations - Comparison of</w:t>
      </w:r>
      <w:r>
        <w:rPr>
          <w:rFonts w:ascii="Arial" w:cs="Arial" w:eastAsia="Arial" w:hAnsi="Arial"/>
          <w:sz w:val="18"/>
          <w:szCs w:val="18"/>
          <w:color w:val="auto"/>
        </w:rPr>
        <w:t xml:space="preserve"> the </w:t>
      </w:r>
      <w:r>
        <w:rPr>
          <w:rFonts w:ascii="Arial" w:cs="Arial" w:eastAsia="Arial" w:hAnsi="Arial"/>
          <w:sz w:val="18"/>
          <w:szCs w:val="18"/>
          <w:i w:val="1"/>
          <w:iCs w:val="1"/>
          <w:color w:val="auto"/>
        </w:rPr>
        <w:t>Three and Six Months ended June 30, 2020 and June 30, 2019”</w:t>
      </w:r>
      <w:r>
        <w:rPr>
          <w:rFonts w:ascii="Arial" w:cs="Arial" w:eastAsia="Arial" w:hAnsi="Arial"/>
          <w:sz w:val="18"/>
          <w:szCs w:val="18"/>
          <w:color w:val="auto"/>
        </w:rPr>
        <w:t xml:space="preserve"> for additional discussion of the changes presented above.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229"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In evaluating the performance of each restaurant concept, we consider the key performance indicators to be the system-wide sales percentage change, the percentage change in domestic system-wide same-restaurant sales (“domestic same-restaurant sales”), net franchise restaurant development and the change in effective restaurants. Changes in both domestic same-restaurant sales and in the number of Applebee's and IHOP restaurants will impact our system-wide retail sales that drive franchise royalty revenues. Restaurant development also impacts franchise revenues in the form of initial franchise fees and, in the case of IHOP restaurants, sales of proprietary pancake and waffle dry mix.</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Our key performance indicators for the three and six months ended June 30, 2020 were as follows:</w:t>
      </w:r>
    </w:p>
    <w:p>
      <w:pPr>
        <w:spacing w:after="0" w:line="64"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2520" w:type="dxa"/>
            <w:vAlign w:val="bottom"/>
            <w:gridSpan w:val="6"/>
          </w:tcPr>
          <w:p>
            <w:pPr>
              <w:ind w:left="180"/>
              <w:spacing w:after="0"/>
              <w:rPr>
                <w:sz w:val="20"/>
                <w:szCs w:val="20"/>
                <w:color w:val="auto"/>
              </w:rPr>
            </w:pPr>
            <w:r>
              <w:rPr>
                <w:rFonts w:ascii="Arial" w:cs="Arial" w:eastAsia="Arial" w:hAnsi="Arial"/>
                <w:sz w:val="16"/>
                <w:szCs w:val="16"/>
                <w:b w:val="1"/>
                <w:bCs w:val="1"/>
                <w:color w:val="auto"/>
              </w:rPr>
              <w:t>Three months ended June 30,</w:t>
            </w:r>
          </w:p>
        </w:tc>
        <w:tc>
          <w:tcPr>
            <w:tcW w:w="2200" w:type="dxa"/>
            <w:vAlign w:val="bottom"/>
            <w:gridSpan w:val="6"/>
          </w:tcPr>
          <w:p>
            <w:pPr>
              <w:ind w:left="180"/>
              <w:spacing w:after="0"/>
              <w:rPr>
                <w:sz w:val="20"/>
                <w:szCs w:val="20"/>
                <w:color w:val="auto"/>
              </w:rPr>
            </w:pPr>
            <w:r>
              <w:rPr>
                <w:rFonts w:ascii="Arial" w:cs="Arial" w:eastAsia="Arial" w:hAnsi="Arial"/>
                <w:sz w:val="16"/>
                <w:szCs w:val="16"/>
                <w:b w:val="1"/>
                <w:bCs w:val="1"/>
                <w:color w:val="auto"/>
                <w:w w:val="96"/>
              </w:rPr>
              <w:t>Six months ended June 30,</w:t>
            </w:r>
          </w:p>
        </w:tc>
      </w:tr>
      <w:tr>
        <w:trPr>
          <w:trHeight w:val="210"/>
        </w:trPr>
        <w:tc>
          <w:tcPr>
            <w:tcW w:w="6400" w:type="dxa"/>
            <w:vAlign w:val="bottom"/>
          </w:tcPr>
          <w:p>
            <w:pPr>
              <w:spacing w:after="0"/>
              <w:rPr>
                <w:sz w:val="18"/>
                <w:szCs w:val="18"/>
                <w:color w:val="auto"/>
              </w:rPr>
            </w:pPr>
          </w:p>
        </w:tc>
        <w:tc>
          <w:tcPr>
            <w:tcW w:w="1760" w:type="dxa"/>
            <w:vAlign w:val="bottom"/>
            <w:gridSpan w:val="3"/>
          </w:tcPr>
          <w:p>
            <w:pPr>
              <w:jc w:val="right"/>
              <w:ind w:right="400"/>
              <w:spacing w:after="0"/>
              <w:rPr>
                <w:sz w:val="20"/>
                <w:szCs w:val="20"/>
                <w:color w:val="auto"/>
              </w:rPr>
            </w:pPr>
            <w:r>
              <w:rPr>
                <w:rFonts w:ascii="Arial" w:cs="Arial" w:eastAsia="Arial" w:hAnsi="Arial"/>
                <w:sz w:val="16"/>
                <w:szCs w:val="16"/>
                <w:b w:val="1"/>
                <w:bCs w:val="1"/>
                <w:color w:val="auto"/>
              </w:rPr>
              <w:t>2020</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183"/>
        </w:trPr>
        <w:tc>
          <w:tcPr>
            <w:tcW w:w="6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Borders>
              <w:bottom w:val="single" w:sz="8" w:color="auto"/>
            </w:tcBorders>
          </w:tcPr>
          <w:p>
            <w:pPr>
              <w:spacing w:after="0" w:line="169" w:lineRule="exact"/>
              <w:rPr>
                <w:sz w:val="20"/>
                <w:szCs w:val="20"/>
                <w:color w:val="auto"/>
              </w:rPr>
            </w:pPr>
            <w:r>
              <w:rPr>
                <w:rFonts w:ascii="Arial" w:cs="Arial" w:eastAsia="Arial" w:hAnsi="Arial"/>
                <w:sz w:val="16"/>
                <w:szCs w:val="16"/>
                <w:b w:val="1"/>
                <w:bCs w:val="1"/>
                <w:color w:val="auto"/>
                <w:w w:val="84"/>
              </w:rPr>
              <w:t>Applebee's</w:t>
            </w:r>
          </w:p>
        </w:tc>
        <w:tc>
          <w:tcPr>
            <w:tcW w:w="760" w:type="dxa"/>
            <w:vAlign w:val="bottom"/>
          </w:tcPr>
          <w:p>
            <w:pPr>
              <w:spacing w:after="0"/>
              <w:rPr>
                <w:sz w:val="15"/>
                <w:szCs w:val="15"/>
                <w:color w:val="auto"/>
              </w:rPr>
            </w:pPr>
          </w:p>
        </w:tc>
        <w:tc>
          <w:tcPr>
            <w:tcW w:w="760" w:type="dxa"/>
            <w:vAlign w:val="bottom"/>
            <w:gridSpan w:val="3"/>
          </w:tcPr>
          <w:p>
            <w:pPr>
              <w:spacing w:after="0" w:line="183" w:lineRule="exact"/>
              <w:rPr>
                <w:sz w:val="20"/>
                <w:szCs w:val="20"/>
                <w:color w:val="auto"/>
              </w:rPr>
            </w:pPr>
            <w:r>
              <w:rPr>
                <w:rFonts w:ascii="Arial" w:cs="Arial" w:eastAsia="Arial" w:hAnsi="Arial"/>
                <w:sz w:val="16"/>
                <w:szCs w:val="16"/>
                <w:b w:val="1"/>
                <w:bCs w:val="1"/>
                <w:color w:val="auto"/>
              </w:rPr>
              <w:t>IHOP</w:t>
            </w:r>
          </w:p>
        </w:tc>
        <w:tc>
          <w:tcPr>
            <w:tcW w:w="180" w:type="dxa"/>
            <w:vAlign w:val="bottom"/>
          </w:tcPr>
          <w:p>
            <w:pPr>
              <w:spacing w:after="0"/>
              <w:rPr>
                <w:sz w:val="15"/>
                <w:szCs w:val="15"/>
                <w:color w:val="auto"/>
              </w:rPr>
            </w:pPr>
          </w:p>
        </w:tc>
        <w:tc>
          <w:tcPr>
            <w:tcW w:w="760" w:type="dxa"/>
            <w:vAlign w:val="bottom"/>
            <w:tcBorders>
              <w:bottom w:val="single" w:sz="8" w:color="auto"/>
            </w:tcBorders>
          </w:tcPr>
          <w:p>
            <w:pPr>
              <w:spacing w:after="0" w:line="169" w:lineRule="exact"/>
              <w:rPr>
                <w:sz w:val="20"/>
                <w:szCs w:val="20"/>
                <w:color w:val="auto"/>
              </w:rPr>
            </w:pPr>
            <w:r>
              <w:rPr>
                <w:rFonts w:ascii="Arial" w:cs="Arial" w:eastAsia="Arial" w:hAnsi="Arial"/>
                <w:sz w:val="16"/>
                <w:szCs w:val="16"/>
                <w:b w:val="1"/>
                <w:bCs w:val="1"/>
                <w:color w:val="auto"/>
                <w:w w:val="87"/>
              </w:rPr>
              <w:t>Applebee's</w:t>
            </w:r>
          </w:p>
        </w:tc>
        <w:tc>
          <w:tcPr>
            <w:tcW w:w="480" w:type="dxa"/>
            <w:vAlign w:val="bottom"/>
          </w:tcPr>
          <w:p>
            <w:pPr>
              <w:spacing w:after="0"/>
              <w:rPr>
                <w:sz w:val="15"/>
                <w:szCs w:val="15"/>
                <w:color w:val="auto"/>
              </w:rPr>
            </w:pPr>
          </w:p>
        </w:tc>
        <w:tc>
          <w:tcPr>
            <w:tcW w:w="780" w:type="dxa"/>
            <w:vAlign w:val="bottom"/>
            <w:gridSpan w:val="3"/>
          </w:tcPr>
          <w:p>
            <w:pPr>
              <w:jc w:val="right"/>
              <w:ind w:right="200"/>
              <w:spacing w:after="0" w:line="183" w:lineRule="exact"/>
              <w:rPr>
                <w:sz w:val="20"/>
                <w:szCs w:val="20"/>
                <w:color w:val="auto"/>
              </w:rPr>
            </w:pPr>
            <w:r>
              <w:rPr>
                <w:rFonts w:ascii="Arial" w:cs="Arial" w:eastAsia="Arial" w:hAnsi="Arial"/>
                <w:sz w:val="16"/>
                <w:szCs w:val="16"/>
                <w:b w:val="1"/>
                <w:bCs w:val="1"/>
                <w:color w:val="auto"/>
              </w:rPr>
              <w:t>IHOP</w:t>
            </w:r>
          </w:p>
        </w:tc>
      </w:tr>
      <w:tr>
        <w:trPr>
          <w:trHeight w:val="24"/>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54"/>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percentage decrease</w:t>
            </w:r>
          </w:p>
        </w:tc>
        <w:tc>
          <w:tcPr>
            <w:tcW w:w="1760" w:type="dxa"/>
            <w:vAlign w:val="bottom"/>
            <w:tcBorders>
              <w:bottom w:val="single" w:sz="8" w:color="CCEEFF"/>
            </w:tcBorders>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(53.5)%</w:t>
            </w:r>
          </w:p>
        </w:tc>
        <w:tc>
          <w:tcPr>
            <w:tcW w:w="6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(64.3)%</w:t>
            </w: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(32.5)%</w:t>
            </w:r>
          </w:p>
        </w:tc>
        <w:tc>
          <w:tcPr>
            <w:tcW w:w="7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(39.1)%</w:t>
            </w: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 decrease in domestic system-wide same-restaurant sales</w:t>
            </w:r>
          </w:p>
        </w:tc>
        <w:tc>
          <w:tcPr>
            <w:tcW w:w="1760" w:type="dxa"/>
            <w:vAlign w:val="bottom"/>
            <w:gridSpan w:val="3"/>
          </w:tcPr>
          <w:p>
            <w:pPr>
              <w:jc w:val="right"/>
              <w:ind w:right="520"/>
              <w:spacing w:after="0"/>
              <w:rPr>
                <w:sz w:val="20"/>
                <w:szCs w:val="20"/>
                <w:color w:val="auto"/>
              </w:rPr>
            </w:pPr>
            <w:r>
              <w:rPr>
                <w:rFonts w:ascii="Arial" w:cs="Arial" w:eastAsia="Arial" w:hAnsi="Arial"/>
                <w:sz w:val="18"/>
                <w:szCs w:val="18"/>
                <w:color w:val="auto"/>
              </w:rPr>
              <w:t>(49.4)%</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(59.1)%</w:t>
            </w:r>
          </w:p>
        </w:tc>
        <w:tc>
          <w:tcPr>
            <w:tcW w:w="120" w:type="dxa"/>
            <w:vAlign w:val="bottom"/>
          </w:tcPr>
          <w:p>
            <w:pPr>
              <w:spacing w:after="0"/>
              <w:rPr>
                <w:sz w:val="21"/>
                <w:szCs w:val="21"/>
                <w:color w:val="auto"/>
              </w:rPr>
            </w:pPr>
          </w:p>
        </w:tc>
        <w:tc>
          <w:tcPr>
            <w:tcW w:w="1420" w:type="dxa"/>
            <w:vAlign w:val="bottom"/>
            <w:gridSpan w:val="3"/>
          </w:tcPr>
          <w:p>
            <w:pPr>
              <w:jc w:val="right"/>
              <w:ind w:right="320"/>
              <w:spacing w:after="0"/>
              <w:rPr>
                <w:sz w:val="20"/>
                <w:szCs w:val="20"/>
                <w:color w:val="auto"/>
              </w:rPr>
            </w:pPr>
            <w:r>
              <w:rPr>
                <w:rFonts w:ascii="Arial" w:cs="Arial" w:eastAsia="Arial" w:hAnsi="Arial"/>
                <w:sz w:val="18"/>
                <w:szCs w:val="18"/>
                <w:color w:val="auto"/>
              </w:rPr>
              <w:t>(29.1)%</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(35.6)%</w:t>
            </w: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Net franchise restaurant reduction </w:t>
            </w:r>
            <w:r>
              <w:rPr>
                <w:rFonts w:ascii="Arial" w:cs="Arial" w:eastAsia="Arial" w:hAnsi="Arial"/>
                <w:sz w:val="21"/>
                <w:szCs w:val="21"/>
                <w:color w:val="auto"/>
                <w:vertAlign w:val="superscript"/>
              </w:rPr>
              <w:t>(1)</w:t>
            </w:r>
          </w:p>
        </w:tc>
        <w:tc>
          <w:tcPr>
            <w:tcW w:w="176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(26)</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3"/>
                <w:szCs w:val="23"/>
                <w:color w:val="auto"/>
              </w:rPr>
            </w:pPr>
          </w:p>
        </w:tc>
        <w:tc>
          <w:tcPr>
            <w:tcW w:w="14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(38)</w:t>
            </w: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(18)</w:t>
            </w:r>
          </w:p>
        </w:tc>
      </w:tr>
      <w:tr>
        <w:trPr>
          <w:trHeight w:val="352"/>
        </w:trPr>
        <w:tc>
          <w:tcPr>
            <w:tcW w:w="6400" w:type="dxa"/>
            <w:vAlign w:val="bottom"/>
          </w:tcPr>
          <w:p>
            <w:pPr>
              <w:ind w:left="20"/>
              <w:spacing w:after="0"/>
              <w:rPr>
                <w:sz w:val="20"/>
                <w:szCs w:val="20"/>
                <w:color w:val="auto"/>
              </w:rPr>
            </w:pPr>
            <w:r>
              <w:rPr>
                <w:rFonts w:ascii="Arial" w:cs="Arial" w:eastAsia="Arial" w:hAnsi="Arial"/>
                <w:sz w:val="18"/>
                <w:szCs w:val="18"/>
                <w:color w:val="auto"/>
              </w:rPr>
              <w:t xml:space="preserve">Net decrease in total effective restaurants </w:t>
            </w:r>
            <w:r>
              <w:rPr>
                <w:rFonts w:ascii="Arial" w:cs="Arial" w:eastAsia="Arial" w:hAnsi="Arial"/>
                <w:sz w:val="23"/>
                <w:szCs w:val="23"/>
                <w:color w:val="auto"/>
                <w:vertAlign w:val="superscript"/>
              </w:rPr>
              <w:t>(2)</w:t>
            </w:r>
          </w:p>
        </w:tc>
        <w:tc>
          <w:tcPr>
            <w:tcW w:w="1760" w:type="dxa"/>
            <w:vAlign w:val="bottom"/>
            <w:gridSpan w:val="3"/>
          </w:tcPr>
          <w:p>
            <w:pPr>
              <w:jc w:val="right"/>
              <w:ind w:right="700"/>
              <w:spacing w:after="0"/>
              <w:rPr>
                <w:sz w:val="20"/>
                <w:szCs w:val="20"/>
                <w:color w:val="auto"/>
              </w:rPr>
            </w:pPr>
            <w:r>
              <w:rPr>
                <w:rFonts w:ascii="Arial" w:cs="Arial" w:eastAsia="Arial" w:hAnsi="Arial"/>
                <w:sz w:val="18"/>
                <w:szCs w:val="18"/>
                <w:color w:val="auto"/>
              </w:rPr>
              <w:t>(228)</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24"/>
                <w:szCs w:val="24"/>
                <w:color w:val="auto"/>
              </w:rPr>
            </w:pPr>
          </w:p>
        </w:tc>
        <w:tc>
          <w:tcPr>
            <w:tcW w:w="1420" w:type="dxa"/>
            <w:vAlign w:val="bottom"/>
            <w:gridSpan w:val="3"/>
          </w:tcPr>
          <w:p>
            <w:pPr>
              <w:jc w:val="right"/>
              <w:ind w:right="480"/>
              <w:spacing w:after="0"/>
              <w:rPr>
                <w:sz w:val="20"/>
                <w:szCs w:val="20"/>
                <w:color w:val="auto"/>
              </w:rPr>
            </w:pPr>
            <w:r>
              <w:rPr>
                <w:rFonts w:ascii="Arial" w:cs="Arial" w:eastAsia="Arial" w:hAnsi="Arial"/>
                <w:sz w:val="18"/>
                <w:szCs w:val="18"/>
                <w:color w:val="auto"/>
              </w:rPr>
              <w:t>(147)</w:t>
            </w:r>
          </w:p>
        </w:tc>
        <w:tc>
          <w:tcPr>
            <w:tcW w:w="780" w:type="dxa"/>
            <w:vAlign w:val="bottom"/>
            <w:gridSpan w:val="3"/>
          </w:tcPr>
          <w:p>
            <w:pPr>
              <w:jc w:val="right"/>
              <w:ind w:right="180"/>
              <w:spacing w:after="0"/>
              <w:rPr>
                <w:sz w:val="20"/>
                <w:szCs w:val="20"/>
                <w:color w:val="auto"/>
              </w:rPr>
            </w:pPr>
            <w:r>
              <w:rPr>
                <w:rFonts w:ascii="Arial" w:cs="Arial" w:eastAsia="Arial" w:hAnsi="Arial"/>
                <w:sz w:val="18"/>
                <w:szCs w:val="18"/>
                <w:color w:val="auto"/>
              </w:rPr>
              <w:t>(149)</w:t>
            </w:r>
          </w:p>
        </w:tc>
      </w:tr>
    </w:tbl>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w:t>
      </w:r>
    </w:p>
    <w:p>
      <w:pPr>
        <w:spacing w:after="0" w:line="220" w:lineRule="exact"/>
        <w:rPr>
          <w:sz w:val="20"/>
          <w:szCs w:val="20"/>
          <w:color w:val="auto"/>
        </w:rPr>
      </w:pPr>
    </w:p>
    <w:p>
      <w:pPr>
        <w:ind w:left="160" w:hanging="152"/>
        <w:spacing w:after="0"/>
        <w:tabs>
          <w:tab w:leader="none" w:pos="160" w:val="left"/>
        </w:tabs>
        <w:numPr>
          <w:ilvl w:val="0"/>
          <w:numId w:val="14"/>
        </w:numPr>
        <w:rPr>
          <w:rFonts w:ascii="Arial" w:cs="Arial" w:eastAsia="Arial" w:hAnsi="Arial"/>
          <w:sz w:val="11"/>
          <w:szCs w:val="11"/>
          <w:color w:val="auto"/>
        </w:rPr>
      </w:pPr>
      <w:r>
        <w:rPr>
          <w:rFonts w:ascii="Arial" w:cs="Arial" w:eastAsia="Arial" w:hAnsi="Arial"/>
          <w:sz w:val="14"/>
          <w:szCs w:val="14"/>
          <w:color w:val="auto"/>
        </w:rPr>
        <w:t>Franchise and area license restaurant closings, net of openings, during the three and six months ended June 30, 2020.</w:t>
      </w:r>
    </w:p>
    <w:p>
      <w:pPr>
        <w:ind w:left="180" w:hanging="172"/>
        <w:spacing w:after="0" w:line="227" w:lineRule="auto"/>
        <w:tabs>
          <w:tab w:leader="none" w:pos="172" w:val="left"/>
        </w:tabs>
        <w:numPr>
          <w:ilvl w:val="0"/>
          <w:numId w:val="14"/>
        </w:numPr>
        <w:rPr>
          <w:rFonts w:ascii="Arial" w:cs="Arial" w:eastAsia="Arial" w:hAnsi="Arial"/>
          <w:sz w:val="11"/>
          <w:szCs w:val="11"/>
          <w:color w:val="auto"/>
        </w:rPr>
      </w:pPr>
      <w:r>
        <w:rPr>
          <w:rFonts w:ascii="Arial" w:cs="Arial" w:eastAsia="Arial" w:hAnsi="Arial"/>
          <w:sz w:val="14"/>
          <w:szCs w:val="14"/>
          <w:color w:val="auto"/>
        </w:rPr>
        <w:t>Change in the weighted average number of franchise, area license and company-operated restaurants open during the three and months ended June 30, 2020, compared to the weighted average number of those open during the same period of 2019.</w:t>
      </w:r>
    </w:p>
    <w:p>
      <w:pPr>
        <w:spacing w:after="0" w:line="200" w:lineRule="exact"/>
        <w:rPr>
          <w:sz w:val="20"/>
          <w:szCs w:val="20"/>
          <w:color w:val="auto"/>
        </w:rPr>
      </w:pPr>
    </w:p>
    <w:p>
      <w:pPr>
        <w:spacing w:after="0" w:line="25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Applebee's and IHOP sales percentage decreases for the three and six months ended June 30, 2020 were due to a decrease in domestic same-restaurant sales primarily as a result of the effects of COVID-19, as well as a decrease in total effective restaurants. The decrease in total effective restaurants for each brand reflects both permanent closures and the weighted effect of restaurants temporarily closed during the three and six months ended June 30, 2020.</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Domestic Same-Restaurant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171450</wp:posOffset>
            </wp:positionV>
            <wp:extent cx="5143500" cy="25717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80" w:right="160" w:firstLine="162"/>
        <w:spacing w:after="0" w:line="311" w:lineRule="auto"/>
        <w:rPr>
          <w:sz w:val="20"/>
          <w:szCs w:val="20"/>
          <w:color w:val="auto"/>
        </w:rPr>
      </w:pPr>
      <w:r>
        <w:rPr>
          <w:rFonts w:ascii="Arial" w:cs="Arial" w:eastAsia="Arial" w:hAnsi="Arial"/>
          <w:sz w:val="16"/>
          <w:szCs w:val="16"/>
          <w:color w:val="auto"/>
        </w:rPr>
        <w:t>Applebee’s system-wide domestic same-restaurant sales decreased 49.4% for the three months ended June 30, 2020 and 29.1% for six months ended June 30, 2020 from the same periods of the prior year. The decreases primarily were due to a significant decline in customer traffic as a result of the effects of COVID-19 that began to impact our restaurants around the middle of March 2020, partially offset by an increase in average check.</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80" w:firstLine="162"/>
        <w:spacing w:after="0"/>
        <w:rPr>
          <w:sz w:val="20"/>
          <w:szCs w:val="20"/>
          <w:color w:val="auto"/>
        </w:rPr>
      </w:pPr>
      <w:r>
        <w:rPr>
          <w:rFonts w:ascii="Arial" w:cs="Arial" w:eastAsia="Arial" w:hAnsi="Arial"/>
          <w:sz w:val="18"/>
          <w:szCs w:val="18"/>
          <w:color w:val="auto"/>
        </w:rPr>
        <w:t xml:space="preserve">As discussed above under </w:t>
      </w:r>
      <w:r>
        <w:rPr>
          <w:rFonts w:ascii="Arial" w:cs="Arial" w:eastAsia="Arial" w:hAnsi="Arial"/>
          <w:sz w:val="18"/>
          <w:szCs w:val="18"/>
          <w:i w:val="1"/>
          <w:iCs w:val="1"/>
          <w:color w:val="auto"/>
        </w:rPr>
        <w:t>Ongoing impact of COVID-19</w:t>
      </w:r>
      <w:r>
        <w:rPr>
          <w:rFonts w:ascii="Arial" w:cs="Arial" w:eastAsia="Arial" w:hAnsi="Arial"/>
          <w:sz w:val="18"/>
          <w:szCs w:val="18"/>
          <w:color w:val="auto"/>
        </w:rPr>
        <w:t>, as governments began to remove or lessen restrictions on dine-in restaurant operations in certain jurisdictions, we and our franchisees were able to increase dine-in services at Applebee's restaurants in compliance with jurisdictional requirements. After reaching a low point in April 2020, Applebee's experienced progressive improvement in same-restaurant sales, as shown below on a monthly basis for the six months ended June 30, 2020. Applebee’s comparable same-restaurant sales improved 11 out of 13 weeks through the week ended June 28, 2020 for the three months ended June 30, 2020. Off-premise activity as a percentage of sales also varied over the six months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300355</wp:posOffset>
            </wp:positionV>
            <wp:extent cx="5143500" cy="25717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760" w:type="dxa"/>
            <w:vAlign w:val="bottom"/>
            <w:gridSpan w:val="5"/>
          </w:tcPr>
          <w:p>
            <w:pPr>
              <w:ind w:left="280"/>
              <w:spacing w:after="0"/>
              <w:rPr>
                <w:sz w:val="20"/>
                <w:szCs w:val="20"/>
                <w:color w:val="auto"/>
              </w:rPr>
            </w:pPr>
            <w:r>
              <w:rPr>
                <w:rFonts w:ascii="Arial" w:cs="Arial" w:eastAsia="Arial" w:hAnsi="Arial"/>
                <w:sz w:val="16"/>
                <w:szCs w:val="16"/>
                <w:b w:val="1"/>
                <w:bCs w:val="1"/>
                <w:color w:val="auto"/>
              </w:rPr>
              <w:t>2020 Fiscal Month Ended</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33"/>
        </w:trPr>
        <w:tc>
          <w:tcPr>
            <w:tcW w:w="35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183"/>
        </w:trPr>
        <w:tc>
          <w:tcPr>
            <w:tcW w:w="3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line="183" w:lineRule="exact"/>
              <w:rPr>
                <w:sz w:val="20"/>
                <w:szCs w:val="20"/>
                <w:color w:val="auto"/>
              </w:rPr>
            </w:pPr>
            <w:r>
              <w:rPr>
                <w:rFonts w:ascii="Arial" w:cs="Arial" w:eastAsia="Arial" w:hAnsi="Arial"/>
                <w:sz w:val="16"/>
                <w:szCs w:val="16"/>
                <w:b w:val="1"/>
                <w:bCs w:val="1"/>
                <w:color w:val="auto"/>
                <w:w w:val="86"/>
              </w:rPr>
              <w:t>Jan</w:t>
            </w:r>
          </w:p>
        </w:tc>
        <w:tc>
          <w:tcPr>
            <w:tcW w:w="840" w:type="dxa"/>
            <w:vAlign w:val="bottom"/>
          </w:tcPr>
          <w:p>
            <w:pPr>
              <w:spacing w:after="0"/>
              <w:rPr>
                <w:sz w:val="15"/>
                <w:szCs w:val="15"/>
                <w:color w:val="auto"/>
              </w:rPr>
            </w:pPr>
          </w:p>
        </w:tc>
        <w:tc>
          <w:tcPr>
            <w:tcW w:w="260" w:type="dxa"/>
            <w:vAlign w:val="bottom"/>
          </w:tcPr>
          <w:p>
            <w:pPr>
              <w:spacing w:after="0" w:line="183" w:lineRule="exact"/>
              <w:rPr>
                <w:sz w:val="20"/>
                <w:szCs w:val="20"/>
                <w:color w:val="auto"/>
              </w:rPr>
            </w:pPr>
            <w:r>
              <w:rPr>
                <w:rFonts w:ascii="Arial" w:cs="Arial" w:eastAsia="Arial" w:hAnsi="Arial"/>
                <w:sz w:val="16"/>
                <w:szCs w:val="16"/>
                <w:b w:val="1"/>
                <w:bCs w:val="1"/>
                <w:color w:val="auto"/>
                <w:w w:val="84"/>
              </w:rPr>
              <w:t>Feb</w:t>
            </w: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line="183" w:lineRule="exact"/>
              <w:rPr>
                <w:sz w:val="20"/>
                <w:szCs w:val="20"/>
                <w:color w:val="auto"/>
              </w:rPr>
            </w:pPr>
            <w:r>
              <w:rPr>
                <w:rFonts w:ascii="Arial" w:cs="Arial" w:eastAsia="Arial" w:hAnsi="Arial"/>
                <w:sz w:val="16"/>
                <w:szCs w:val="16"/>
                <w:b w:val="1"/>
                <w:bCs w:val="1"/>
                <w:color w:val="auto"/>
                <w:w w:val="93"/>
              </w:rPr>
              <w:t>March</w:t>
            </w:r>
          </w:p>
        </w:tc>
        <w:tc>
          <w:tcPr>
            <w:tcW w:w="840" w:type="dxa"/>
            <w:vAlign w:val="bottom"/>
          </w:tcPr>
          <w:p>
            <w:pPr>
              <w:spacing w:after="0"/>
              <w:rPr>
                <w:sz w:val="15"/>
                <w:szCs w:val="15"/>
                <w:color w:val="auto"/>
              </w:rPr>
            </w:pPr>
          </w:p>
        </w:tc>
        <w:tc>
          <w:tcPr>
            <w:tcW w:w="1180" w:type="dxa"/>
            <w:vAlign w:val="bottom"/>
            <w:gridSpan w:val="2"/>
          </w:tcPr>
          <w:p>
            <w:pPr>
              <w:jc w:val="right"/>
              <w:ind w:right="820"/>
              <w:spacing w:after="0" w:line="183" w:lineRule="exact"/>
              <w:rPr>
                <w:sz w:val="20"/>
                <w:szCs w:val="20"/>
                <w:color w:val="auto"/>
              </w:rPr>
            </w:pPr>
            <w:r>
              <w:rPr>
                <w:rFonts w:ascii="Arial" w:cs="Arial" w:eastAsia="Arial" w:hAnsi="Arial"/>
                <w:sz w:val="16"/>
                <w:szCs w:val="16"/>
                <w:b w:val="1"/>
                <w:bCs w:val="1"/>
                <w:color w:val="auto"/>
                <w:w w:val="93"/>
              </w:rPr>
              <w:t>April</w:t>
            </w:r>
          </w:p>
        </w:tc>
        <w:tc>
          <w:tcPr>
            <w:tcW w:w="1200" w:type="dxa"/>
            <w:vAlign w:val="bottom"/>
            <w:gridSpan w:val="2"/>
          </w:tcPr>
          <w:p>
            <w:pPr>
              <w:jc w:val="right"/>
              <w:ind w:right="880"/>
              <w:spacing w:after="0" w:line="183" w:lineRule="exact"/>
              <w:rPr>
                <w:sz w:val="20"/>
                <w:szCs w:val="20"/>
                <w:color w:val="auto"/>
              </w:rPr>
            </w:pPr>
            <w:r>
              <w:rPr>
                <w:rFonts w:ascii="Arial" w:cs="Arial" w:eastAsia="Arial" w:hAnsi="Arial"/>
                <w:sz w:val="16"/>
                <w:szCs w:val="16"/>
                <w:b w:val="1"/>
                <w:bCs w:val="1"/>
                <w:color w:val="auto"/>
                <w:w w:val="96"/>
              </w:rPr>
              <w:t>May</w:t>
            </w:r>
          </w:p>
        </w:tc>
        <w:tc>
          <w:tcPr>
            <w:tcW w:w="700" w:type="dxa"/>
            <w:vAlign w:val="bottom"/>
            <w:gridSpan w:val="2"/>
          </w:tcPr>
          <w:p>
            <w:pPr>
              <w:jc w:val="right"/>
              <w:ind w:right="360"/>
              <w:spacing w:after="0" w:line="183" w:lineRule="exact"/>
              <w:rPr>
                <w:sz w:val="20"/>
                <w:szCs w:val="20"/>
                <w:color w:val="auto"/>
              </w:rPr>
            </w:pPr>
            <w:r>
              <w:rPr>
                <w:rFonts w:ascii="Arial" w:cs="Arial" w:eastAsia="Arial" w:hAnsi="Arial"/>
                <w:sz w:val="16"/>
                <w:szCs w:val="16"/>
                <w:b w:val="1"/>
                <w:bCs w:val="1"/>
                <w:color w:val="auto"/>
                <w:w w:val="85"/>
              </w:rPr>
              <w:t>June</w:t>
            </w:r>
          </w:p>
        </w:tc>
      </w:tr>
      <w:tr>
        <w:trPr>
          <w:trHeight w:val="20"/>
        </w:trPr>
        <w:tc>
          <w:tcPr>
            <w:tcW w:w="3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90"/>
        </w:trPr>
        <w:tc>
          <w:tcPr>
            <w:tcW w:w="3520" w:type="dxa"/>
            <w:vAlign w:val="bottom"/>
          </w:tcPr>
          <w:p>
            <w:pPr>
              <w:spacing w:after="0"/>
              <w:rPr>
                <w:sz w:val="20"/>
                <w:szCs w:val="20"/>
                <w:color w:val="auto"/>
              </w:rPr>
            </w:pPr>
            <w:r>
              <w:rPr>
                <w:rFonts w:ascii="Arial" w:cs="Arial" w:eastAsia="Arial" w:hAnsi="Arial"/>
                <w:sz w:val="18"/>
                <w:szCs w:val="18"/>
                <w:color w:val="auto"/>
              </w:rPr>
              <w:t>Applebee's off-premise sales as % total</w:t>
            </w:r>
          </w:p>
        </w:tc>
        <w:tc>
          <w:tcPr>
            <w:tcW w:w="380" w:type="dxa"/>
            <w:vAlign w:val="bottom"/>
          </w:tcPr>
          <w:p>
            <w:pPr>
              <w:spacing w:after="0"/>
              <w:rPr>
                <w:sz w:val="24"/>
                <w:szCs w:val="24"/>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13.1 %</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14.4 %</w:t>
            </w:r>
          </w:p>
        </w:tc>
        <w:tc>
          <w:tcPr>
            <w:tcW w:w="1580" w:type="dxa"/>
            <w:vAlign w:val="bottom"/>
            <w:gridSpan w:val="3"/>
          </w:tcPr>
          <w:p>
            <w:pPr>
              <w:jc w:val="right"/>
              <w:ind w:right="560"/>
              <w:spacing w:after="0"/>
              <w:rPr>
                <w:sz w:val="20"/>
                <w:szCs w:val="20"/>
                <w:color w:val="auto"/>
              </w:rPr>
            </w:pPr>
            <w:r>
              <w:rPr>
                <w:rFonts w:ascii="Arial" w:cs="Arial" w:eastAsia="Arial" w:hAnsi="Arial"/>
                <w:sz w:val="18"/>
                <w:szCs w:val="18"/>
                <w:color w:val="auto"/>
              </w:rPr>
              <w:t>22.2 %</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99.8 %</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76.4 %</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40.2 %</w:t>
            </w:r>
          </w:p>
        </w:tc>
      </w:tr>
      <w:tr>
        <w:trPr>
          <w:trHeight w:val="27"/>
        </w:trPr>
        <w:tc>
          <w:tcPr>
            <w:tcW w:w="35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462915</wp:posOffset>
            </wp:positionV>
            <wp:extent cx="5143500" cy="25717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2571750"/>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type w:val="continuous"/>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Based on data from Black Box Intelligence, a restaurant sales reporting firm (“Black Box”), Applebee's 49.4% decrease in same-restaurant sales was larger compared to the casual dining segment of the restaurant industry during the three months ended June 30, 2020. During that period, the casual dining segment also experienced a decrease in same-restaurant sales that was due to a significant decline in customer traffic as well as a slight decrease in average customer check. Applebee's decrease in traffic for the three months ended June 30, 2020 was larger than that of the casual dining segment.</w:t>
      </w:r>
    </w:p>
    <w:p>
      <w:pPr>
        <w:spacing w:after="0" w:line="184"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Applebee's 29.1% decrease in same-restaurant sales for the six months ended June 30, 2020 was larger compared to casual dining segment of the restaurant industry during the six months ended June 30, 2020. During that period, the casual dining segment also experienced a decrease in same-restaurant sales that was due to a significant decline in customer traffic. Applebee's decrease in traffic for the six months ended June 30, 2020 was larger than that of the casual dining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5254625" cy="26231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254625" cy="262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80" w:right="180" w:firstLine="162"/>
        <w:spacing w:after="0" w:line="294" w:lineRule="auto"/>
        <w:rPr>
          <w:sz w:val="20"/>
          <w:szCs w:val="20"/>
          <w:color w:val="auto"/>
        </w:rPr>
      </w:pPr>
      <w:r>
        <w:rPr>
          <w:rFonts w:ascii="Arial" w:cs="Arial" w:eastAsia="Arial" w:hAnsi="Arial"/>
          <w:sz w:val="16"/>
          <w:szCs w:val="16"/>
          <w:color w:val="auto"/>
        </w:rPr>
        <w:t>IHOP's system-wide domestic same-restaurant sales decreased 59.1% for the three months ended June 30, 2020 and 35.6% for the six months ended June 30, 2020 from the same periods of the prior year. The decreases primarily were due to a significant decline in customer traffic as a result of the effects of COVID-19 that began to impact our restaurants around the middle of March 2020, as well as a decrease in average check.</w:t>
      </w:r>
    </w:p>
    <w:p>
      <w:pPr>
        <w:spacing w:after="0" w:line="174" w:lineRule="exact"/>
        <w:rPr>
          <w:sz w:val="20"/>
          <w:szCs w:val="20"/>
          <w:color w:val="auto"/>
        </w:rPr>
      </w:pPr>
    </w:p>
    <w:p>
      <w:pPr>
        <w:ind w:left="180" w:right="40" w:firstLine="162"/>
        <w:spacing w:after="0"/>
        <w:rPr>
          <w:sz w:val="20"/>
          <w:szCs w:val="20"/>
          <w:color w:val="auto"/>
        </w:rPr>
      </w:pPr>
      <w:r>
        <w:rPr>
          <w:rFonts w:ascii="Arial" w:cs="Arial" w:eastAsia="Arial" w:hAnsi="Arial"/>
          <w:sz w:val="18"/>
          <w:szCs w:val="18"/>
          <w:color w:val="auto"/>
        </w:rPr>
        <w:t xml:space="preserve">As discussed above under </w:t>
      </w:r>
      <w:r>
        <w:rPr>
          <w:rFonts w:ascii="Arial" w:cs="Arial" w:eastAsia="Arial" w:hAnsi="Arial"/>
          <w:sz w:val="18"/>
          <w:szCs w:val="18"/>
          <w:i w:val="1"/>
          <w:iCs w:val="1"/>
          <w:color w:val="auto"/>
        </w:rPr>
        <w:t>Ongoing impact of COVID-19</w:t>
      </w:r>
      <w:r>
        <w:rPr>
          <w:rFonts w:ascii="Arial" w:cs="Arial" w:eastAsia="Arial" w:hAnsi="Arial"/>
          <w:sz w:val="18"/>
          <w:szCs w:val="18"/>
          <w:color w:val="auto"/>
        </w:rPr>
        <w:t>, as governments began to remove or lessen restrictions on dine-in restaurant operations in certain jurisdictions, our franchisees were able to increase dine-in services at IHOP restaurants in compliance with jurisdictional requirements. After reaching a low point in April 2020, IHOP experienced progressive improvement in same-restaurant sales, as shown below on a monthly basis for the six months ended June 30, 2020. IHOP’s comparable same-restaurant sales improved sequentially for 12 consecutive weeks out of 13 through the week ended June 28, 2020 for the three months ended June 30, 2020. Off-premise activity as a percentage of sales also varied over the six months ended June 30, 2020.</w:t>
      </w:r>
    </w:p>
    <w:p>
      <w:pPr>
        <w:spacing w:after="0" w:line="200" w:lineRule="exact"/>
        <w:rPr>
          <w:sz w:val="20"/>
          <w:szCs w:val="20"/>
          <w:color w:val="auto"/>
        </w:rPr>
      </w:pPr>
    </w:p>
    <w:p>
      <w:pPr>
        <w:spacing w:after="0" w:line="3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423545</wp:posOffset>
            </wp:positionV>
            <wp:extent cx="5143500" cy="25717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60" w:type="dxa"/>
            <w:vAlign w:val="bottom"/>
            <w:gridSpan w:val="5"/>
          </w:tcPr>
          <w:p>
            <w:pPr>
              <w:ind w:left="20"/>
              <w:spacing w:after="0"/>
              <w:rPr>
                <w:sz w:val="20"/>
                <w:szCs w:val="20"/>
                <w:color w:val="auto"/>
              </w:rPr>
            </w:pPr>
            <w:r>
              <w:rPr>
                <w:rFonts w:ascii="Arial" w:cs="Arial" w:eastAsia="Arial" w:hAnsi="Arial"/>
                <w:sz w:val="16"/>
                <w:szCs w:val="16"/>
                <w:b w:val="1"/>
                <w:bCs w:val="1"/>
                <w:color w:val="auto"/>
              </w:rPr>
              <w:t>2020 Fiscal Month Ended</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33"/>
        </w:trPr>
        <w:tc>
          <w:tcPr>
            <w:tcW w:w="36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183"/>
        </w:trPr>
        <w:tc>
          <w:tcPr>
            <w:tcW w:w="3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line="183" w:lineRule="exact"/>
              <w:rPr>
                <w:sz w:val="20"/>
                <w:szCs w:val="20"/>
                <w:color w:val="auto"/>
              </w:rPr>
            </w:pPr>
            <w:r>
              <w:rPr>
                <w:rFonts w:ascii="Arial" w:cs="Arial" w:eastAsia="Arial" w:hAnsi="Arial"/>
                <w:sz w:val="16"/>
                <w:szCs w:val="16"/>
                <w:b w:val="1"/>
                <w:bCs w:val="1"/>
                <w:color w:val="auto"/>
                <w:w w:val="86"/>
              </w:rPr>
              <w:t>Jan</w:t>
            </w: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jc w:val="right"/>
              <w:ind w:right="900"/>
              <w:spacing w:after="0" w:line="183" w:lineRule="exact"/>
              <w:rPr>
                <w:sz w:val="20"/>
                <w:szCs w:val="20"/>
                <w:color w:val="auto"/>
              </w:rPr>
            </w:pPr>
            <w:r>
              <w:rPr>
                <w:rFonts w:ascii="Arial" w:cs="Arial" w:eastAsia="Arial" w:hAnsi="Arial"/>
                <w:sz w:val="16"/>
                <w:szCs w:val="16"/>
                <w:b w:val="1"/>
                <w:bCs w:val="1"/>
                <w:color w:val="auto"/>
                <w:w w:val="84"/>
              </w:rPr>
              <w:t>Feb</w:t>
            </w:r>
          </w:p>
        </w:tc>
        <w:tc>
          <w:tcPr>
            <w:tcW w:w="1040" w:type="dxa"/>
            <w:vAlign w:val="bottom"/>
            <w:gridSpan w:val="2"/>
          </w:tcPr>
          <w:p>
            <w:pPr>
              <w:spacing w:after="0" w:line="183" w:lineRule="exact"/>
              <w:rPr>
                <w:sz w:val="20"/>
                <w:szCs w:val="20"/>
                <w:color w:val="auto"/>
              </w:rPr>
            </w:pPr>
            <w:r>
              <w:rPr>
                <w:rFonts w:ascii="Arial" w:cs="Arial" w:eastAsia="Arial" w:hAnsi="Arial"/>
                <w:sz w:val="16"/>
                <w:szCs w:val="16"/>
                <w:b w:val="1"/>
                <w:bCs w:val="1"/>
                <w:color w:val="auto"/>
              </w:rPr>
              <w:t>March</w:t>
            </w:r>
          </w:p>
        </w:tc>
        <w:tc>
          <w:tcPr>
            <w:tcW w:w="1220" w:type="dxa"/>
            <w:vAlign w:val="bottom"/>
            <w:gridSpan w:val="3"/>
          </w:tcPr>
          <w:p>
            <w:pPr>
              <w:jc w:val="right"/>
              <w:ind w:right="560"/>
              <w:spacing w:after="0" w:line="183" w:lineRule="exact"/>
              <w:rPr>
                <w:sz w:val="20"/>
                <w:szCs w:val="20"/>
                <w:color w:val="auto"/>
              </w:rPr>
            </w:pPr>
            <w:r>
              <w:rPr>
                <w:rFonts w:ascii="Arial" w:cs="Arial" w:eastAsia="Arial" w:hAnsi="Arial"/>
                <w:sz w:val="16"/>
                <w:szCs w:val="16"/>
                <w:b w:val="1"/>
                <w:bCs w:val="1"/>
                <w:color w:val="auto"/>
              </w:rPr>
              <w:t>April</w:t>
            </w:r>
          </w:p>
        </w:tc>
        <w:tc>
          <w:tcPr>
            <w:tcW w:w="1440" w:type="dxa"/>
            <w:vAlign w:val="bottom"/>
            <w:gridSpan w:val="3"/>
          </w:tcPr>
          <w:p>
            <w:pPr>
              <w:jc w:val="right"/>
              <w:ind w:right="880"/>
              <w:spacing w:after="0" w:line="183" w:lineRule="exact"/>
              <w:rPr>
                <w:sz w:val="20"/>
                <w:szCs w:val="20"/>
                <w:color w:val="auto"/>
              </w:rPr>
            </w:pPr>
            <w:r>
              <w:rPr>
                <w:rFonts w:ascii="Arial" w:cs="Arial" w:eastAsia="Arial" w:hAnsi="Arial"/>
                <w:sz w:val="16"/>
                <w:szCs w:val="16"/>
                <w:b w:val="1"/>
                <w:bCs w:val="1"/>
                <w:color w:val="auto"/>
              </w:rPr>
              <w:t>May</w:t>
            </w:r>
          </w:p>
        </w:tc>
        <w:tc>
          <w:tcPr>
            <w:tcW w:w="700" w:type="dxa"/>
            <w:vAlign w:val="bottom"/>
            <w:gridSpan w:val="2"/>
          </w:tcPr>
          <w:p>
            <w:pPr>
              <w:jc w:val="right"/>
              <w:ind w:right="360"/>
              <w:spacing w:after="0" w:line="183" w:lineRule="exact"/>
              <w:rPr>
                <w:sz w:val="20"/>
                <w:szCs w:val="20"/>
                <w:color w:val="auto"/>
              </w:rPr>
            </w:pPr>
            <w:r>
              <w:rPr>
                <w:rFonts w:ascii="Arial" w:cs="Arial" w:eastAsia="Arial" w:hAnsi="Arial"/>
                <w:sz w:val="16"/>
                <w:szCs w:val="16"/>
                <w:b w:val="1"/>
                <w:bCs w:val="1"/>
                <w:color w:val="auto"/>
                <w:w w:val="85"/>
              </w:rPr>
              <w:t>June</w:t>
            </w:r>
          </w:p>
        </w:tc>
      </w:tr>
      <w:tr>
        <w:trPr>
          <w:trHeight w:val="20"/>
        </w:trPr>
        <w:tc>
          <w:tcPr>
            <w:tcW w:w="3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91"/>
        </w:trPr>
        <w:tc>
          <w:tcPr>
            <w:tcW w:w="3620" w:type="dxa"/>
            <w:vAlign w:val="bottom"/>
          </w:tcPr>
          <w:p>
            <w:pPr>
              <w:spacing w:after="0"/>
              <w:rPr>
                <w:sz w:val="20"/>
                <w:szCs w:val="20"/>
                <w:color w:val="auto"/>
              </w:rPr>
            </w:pPr>
            <w:r>
              <w:rPr>
                <w:rFonts w:ascii="Arial" w:cs="Arial" w:eastAsia="Arial" w:hAnsi="Arial"/>
                <w:sz w:val="18"/>
                <w:szCs w:val="18"/>
                <w:color w:val="auto"/>
              </w:rPr>
              <w:t>IHOP off-premise sales as % total</w:t>
            </w:r>
          </w:p>
        </w:tc>
        <w:tc>
          <w:tcPr>
            <w:tcW w:w="36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9.7 %</w:t>
            </w:r>
          </w:p>
        </w:tc>
        <w:tc>
          <w:tcPr>
            <w:tcW w:w="1400" w:type="dxa"/>
            <w:vAlign w:val="bottom"/>
            <w:gridSpan w:val="3"/>
          </w:tcPr>
          <w:p>
            <w:pPr>
              <w:jc w:val="right"/>
              <w:ind w:right="540"/>
              <w:spacing w:after="0"/>
              <w:rPr>
                <w:sz w:val="20"/>
                <w:szCs w:val="20"/>
                <w:color w:val="auto"/>
              </w:rPr>
            </w:pPr>
            <w:r>
              <w:rPr>
                <w:rFonts w:ascii="Arial" w:cs="Arial" w:eastAsia="Arial" w:hAnsi="Arial"/>
                <w:sz w:val="18"/>
                <w:szCs w:val="18"/>
                <w:color w:val="auto"/>
              </w:rPr>
              <w:t>10.4 %</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17.0 %</w:t>
            </w: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94.7 %</w:t>
            </w:r>
          </w:p>
        </w:tc>
        <w:tc>
          <w:tcPr>
            <w:tcW w:w="1440" w:type="dxa"/>
            <w:vAlign w:val="bottom"/>
            <w:gridSpan w:val="3"/>
          </w:tcPr>
          <w:p>
            <w:pPr>
              <w:jc w:val="right"/>
              <w:ind w:right="520"/>
              <w:spacing w:after="0"/>
              <w:rPr>
                <w:sz w:val="20"/>
                <w:szCs w:val="20"/>
                <w:color w:val="auto"/>
              </w:rPr>
            </w:pPr>
            <w:r>
              <w:rPr>
                <w:rFonts w:ascii="Arial" w:cs="Arial" w:eastAsia="Arial" w:hAnsi="Arial"/>
                <w:sz w:val="18"/>
                <w:szCs w:val="18"/>
                <w:color w:val="auto"/>
              </w:rPr>
              <w:t>68.8 %</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35.8 %</w:t>
            </w:r>
          </w:p>
        </w:tc>
      </w:tr>
      <w:tr>
        <w:trPr>
          <w:trHeight w:val="27"/>
        </w:trPr>
        <w:tc>
          <w:tcPr>
            <w:tcW w:w="36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308610</wp:posOffset>
            </wp:positionV>
            <wp:extent cx="5143500" cy="25717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40" w:firstLine="324"/>
        <w:spacing w:after="0" w:line="243" w:lineRule="auto"/>
        <w:rPr>
          <w:sz w:val="20"/>
          <w:szCs w:val="20"/>
          <w:color w:val="auto"/>
        </w:rPr>
      </w:pPr>
      <w:r>
        <w:rPr>
          <w:rFonts w:ascii="Arial" w:cs="Arial" w:eastAsia="Arial" w:hAnsi="Arial"/>
          <w:sz w:val="18"/>
          <w:szCs w:val="18"/>
          <w:color w:val="auto"/>
        </w:rPr>
        <w:t>Based on data from Black Box, IHOP's 59.1% decrease in same-restaurant sales was larger compared to the family dining segment of the restaurant industry during the three months ended June 30, 2020. During that period, the family dining segment also experienced a decrease in same-restaurant sales that was due to a significant decline in customer traffic, partially offset by a small increase in average customer check. IHOP's decrease in traffic for the three months ended June 30, 2020 was larger than that of the family dining segment.</w:t>
      </w:r>
    </w:p>
    <w:p>
      <w:pPr>
        <w:spacing w:after="0" w:line="215" w:lineRule="exact"/>
        <w:rPr>
          <w:sz w:val="20"/>
          <w:szCs w:val="20"/>
          <w:color w:val="auto"/>
        </w:rPr>
      </w:pPr>
    </w:p>
    <w:p>
      <w:pPr>
        <w:ind w:firstLine="324"/>
        <w:spacing w:after="0" w:line="243" w:lineRule="auto"/>
        <w:rPr>
          <w:sz w:val="20"/>
          <w:szCs w:val="20"/>
          <w:color w:val="auto"/>
        </w:rPr>
      </w:pPr>
      <w:r>
        <w:rPr>
          <w:rFonts w:ascii="Arial" w:cs="Arial" w:eastAsia="Arial" w:hAnsi="Arial"/>
          <w:sz w:val="18"/>
          <w:szCs w:val="18"/>
          <w:color w:val="auto"/>
        </w:rPr>
        <w:t>IHOP's 35.6% decrease in same-restaurant sales for the six months ended June 30, 2020 was larger compared to the family dining segment of the restaurant industry during the six months ended June 30, 2020. During that period, the family dining segment also experienced a decrease in same-restaurant sales that was due to a significant decline in customer traffic, partially offset by an increase in average customer check. IHOP's decrease in traffic for the six months ended June 30, 2020 was larger that of the family dining segment.</w:t>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Restaurant Data</w:t>
      </w:r>
    </w:p>
    <w:p>
      <w:pPr>
        <w:spacing w:after="0" w:line="202"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The following table sets forth the number of “Effective Restaurants” in the Applebee’s and IHOP systems and information regarding the percentage change in sales at those restaurants compared to the same period of the prior year. Sales at restaurants that are owned by franchisees and area licensees are not attributable to the Company and, as such, the percentage change in sales at Effective Restaurants is based on non-GAAP sales data. However, we believe that presentation of this information is useful in analyzing our revenues because franchisees and area licensees pay us royalties and advertising fees that are based on a percentage of their sales, and, where applicable, rental payments under leases that partially may be based on a percentage of their sales. Management also uses this information to make decisions about plans for future development of additional restaurants as well as evaluation of current operations.</w:t>
      </w:r>
    </w:p>
    <w:p>
      <w:pPr>
        <w:spacing w:after="0" w:line="33" w:lineRule="exact"/>
        <w:rPr>
          <w:sz w:val="20"/>
          <w:szCs w:val="20"/>
          <w:color w:val="auto"/>
        </w:rPr>
      </w:pPr>
    </w:p>
    <w:p>
      <w:pPr>
        <w:ind w:left="6020"/>
        <w:spacing w:after="0"/>
        <w:tabs>
          <w:tab w:leader="none" w:pos="8920" w:val="left"/>
        </w:tabs>
        <w:rPr>
          <w:sz w:val="20"/>
          <w:szCs w:val="20"/>
          <w:color w:val="auto"/>
        </w:rPr>
      </w:pPr>
      <w:r>
        <w:rPr>
          <w:rFonts w:ascii="Arial" w:cs="Arial" w:eastAsia="Arial" w:hAnsi="Arial"/>
          <w:sz w:val="16"/>
          <w:szCs w:val="16"/>
          <w:b w:val="1"/>
          <w:bCs w:val="1"/>
          <w:color w:val="auto"/>
        </w:rPr>
        <w:t>Three months ended June 30,</w:t>
      </w:r>
      <w:r>
        <w:rPr>
          <w:sz w:val="20"/>
          <w:szCs w:val="20"/>
          <w:color w:val="auto"/>
        </w:rPr>
        <w:tab/>
      </w: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37465</wp:posOffset>
            </wp:positionV>
            <wp:extent cx="35229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p>
      <w:pPr>
        <w:spacing w:after="0" w:line="352" w:lineRule="exact"/>
        <w:rPr>
          <w:sz w:val="20"/>
          <w:szCs w:val="20"/>
          <w:color w:val="auto"/>
        </w:rPr>
      </w:pPr>
    </w:p>
    <w:p>
      <w:pPr>
        <w:ind w:left="100"/>
        <w:spacing w:after="0"/>
        <w:rPr>
          <w:sz w:val="20"/>
          <w:szCs w:val="20"/>
          <w:color w:val="auto"/>
        </w:rPr>
      </w:pPr>
      <w:r>
        <w:rPr>
          <w:rFonts w:ascii="Arial" w:cs="Arial" w:eastAsia="Arial" w:hAnsi="Arial"/>
          <w:sz w:val="18"/>
          <w:szCs w:val="18"/>
          <w:b w:val="1"/>
          <w:bCs w:val="1"/>
          <w:u w:val="single" w:color="auto"/>
          <w:color w:val="auto"/>
        </w:rPr>
        <w:t>Applebee's Restaurant Data</w:t>
      </w:r>
    </w:p>
    <w:p>
      <w:pPr>
        <w:spacing w:after="0" w:line="5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Effective Restaurants</w:t>
      </w:r>
      <w:r>
        <w:rPr>
          <w:rFonts w:ascii="Arial" w:cs="Arial" w:eastAsia="Arial" w:hAnsi="Arial"/>
          <w:sz w:val="23"/>
          <w:szCs w:val="23"/>
          <w:b w:val="1"/>
          <w:bCs w:val="1"/>
          <w:color w:val="auto"/>
          <w:vertAlign w:val="superscript"/>
        </w:rPr>
        <w:t>(a)</w:t>
      </w:r>
    </w:p>
    <w:p>
      <w:pPr>
        <w:spacing w:after="0" w:line="3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Franchise</w:t>
      </w:r>
    </w:p>
    <w:p>
      <w:pPr>
        <w:spacing w:after="0" w:line="4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Company</w:t>
      </w:r>
    </w:p>
    <w:p>
      <w:pPr>
        <w:spacing w:after="0" w:line="6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Total</w:t>
      </w:r>
    </w:p>
    <w:p>
      <w:pPr>
        <w:spacing w:after="0" w:line="11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System-wide</w:t>
      </w:r>
      <w:r>
        <w:rPr>
          <w:rFonts w:ascii="Arial" w:cs="Arial" w:eastAsia="Arial" w:hAnsi="Arial"/>
          <w:sz w:val="23"/>
          <w:szCs w:val="23"/>
          <w:b w:val="1"/>
          <w:bCs w:val="1"/>
          <w:color w:val="auto"/>
          <w:vertAlign w:val="superscript"/>
        </w:rPr>
        <w:t>(b)</w:t>
      </w:r>
    </w:p>
    <w:p>
      <w:pPr>
        <w:ind w:left="300"/>
        <w:spacing w:after="0"/>
        <w:rPr>
          <w:sz w:val="20"/>
          <w:szCs w:val="20"/>
          <w:color w:val="auto"/>
        </w:rPr>
      </w:pPr>
      <w:r>
        <w:rPr>
          <w:rFonts w:ascii="Arial" w:cs="Arial" w:eastAsia="Arial" w:hAnsi="Arial"/>
          <w:sz w:val="18"/>
          <w:szCs w:val="18"/>
          <w:color w:val="auto"/>
        </w:rPr>
        <w:t>Domestic sales percentage change</w:t>
      </w:r>
      <w:r>
        <w:rPr>
          <w:rFonts w:ascii="Arial" w:cs="Arial" w:eastAsia="Arial" w:hAnsi="Arial"/>
          <w:sz w:val="23"/>
          <w:szCs w:val="23"/>
          <w:color w:val="auto"/>
          <w:vertAlign w:val="superscript"/>
        </w:rPr>
        <w:t>(c)</w:t>
      </w:r>
    </w:p>
    <w:p>
      <w:pPr>
        <w:spacing w:after="0" w:line="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Domestic same-restaurant sales percentage change</w:t>
      </w:r>
      <w:r>
        <w:rPr>
          <w:rFonts w:ascii="Arial" w:cs="Arial" w:eastAsia="Arial" w:hAnsi="Arial"/>
          <w:sz w:val="19"/>
          <w:szCs w:val="19"/>
          <w:color w:val="auto"/>
          <w:vertAlign w:val="superscript"/>
        </w:rPr>
        <w:t>(d)</w:t>
      </w:r>
    </w:p>
    <w:p>
      <w:pPr>
        <w:spacing w:after="0" w:line="4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Franchise</w:t>
      </w:r>
      <w:r>
        <w:rPr>
          <w:rFonts w:ascii="Arial" w:cs="Arial" w:eastAsia="Arial" w:hAnsi="Arial"/>
          <w:sz w:val="23"/>
          <w:szCs w:val="23"/>
          <w:b w:val="1"/>
          <w:bCs w:val="1"/>
          <w:color w:val="auto"/>
          <w:vertAlign w:val="superscript"/>
        </w:rPr>
        <w:t>(b)</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440" w:type="dxa"/>
            <w:vAlign w:val="bottom"/>
          </w:tcPr>
          <w:p>
            <w:pPr>
              <w:jc w:val="right"/>
              <w:ind w:right="453"/>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r>
      <w:tr>
        <w:trPr>
          <w:trHeight w:val="27"/>
        </w:trPr>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8"/>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gridSpan w:val="3"/>
          </w:tcPr>
          <w:p>
            <w:pPr>
              <w:ind w:left="940"/>
              <w:spacing w:after="0"/>
              <w:rPr>
                <w:sz w:val="20"/>
                <w:szCs w:val="20"/>
                <w:color w:val="auto"/>
              </w:rPr>
            </w:pPr>
            <w:r>
              <w:rPr>
                <w:rFonts w:ascii="Arial" w:cs="Arial" w:eastAsia="Arial" w:hAnsi="Arial"/>
                <w:sz w:val="14"/>
                <w:szCs w:val="14"/>
                <w:b w:val="1"/>
                <w:bCs w:val="1"/>
                <w:color w:val="auto"/>
              </w:rPr>
              <w:t>(Unaudited)</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525"/>
        </w:trPr>
        <w:tc>
          <w:tcPr>
            <w:tcW w:w="1360" w:type="dxa"/>
            <w:vAlign w:val="bottom"/>
          </w:tcPr>
          <w:p>
            <w:pPr>
              <w:jc w:val="right"/>
              <w:ind w:right="150"/>
              <w:spacing w:after="0"/>
              <w:rPr>
                <w:sz w:val="20"/>
                <w:szCs w:val="20"/>
                <w:color w:val="auto"/>
              </w:rPr>
            </w:pPr>
            <w:r>
              <w:rPr>
                <w:rFonts w:ascii="Arial" w:cs="Arial" w:eastAsia="Arial" w:hAnsi="Arial"/>
                <w:sz w:val="18"/>
                <w:szCs w:val="18"/>
                <w:color w:val="auto"/>
              </w:rPr>
              <w:t>1,527</w:t>
            </w:r>
          </w:p>
        </w:tc>
        <w:tc>
          <w:tcPr>
            <w:tcW w:w="100" w:type="dxa"/>
            <w:vAlign w:val="bottom"/>
          </w:tcPr>
          <w:p>
            <w:pPr>
              <w:spacing w:after="0"/>
              <w:rPr>
                <w:sz w:val="24"/>
                <w:szCs w:val="24"/>
                <w:color w:val="auto"/>
              </w:rPr>
            </w:pPr>
          </w:p>
        </w:tc>
        <w:tc>
          <w:tcPr>
            <w:tcW w:w="1440" w:type="dxa"/>
            <w:vAlign w:val="bottom"/>
          </w:tcPr>
          <w:p>
            <w:pPr>
              <w:jc w:val="right"/>
              <w:ind w:right="153"/>
              <w:spacing w:after="0"/>
              <w:rPr>
                <w:sz w:val="20"/>
                <w:szCs w:val="20"/>
                <w:color w:val="auto"/>
              </w:rPr>
            </w:pPr>
            <w:r>
              <w:rPr>
                <w:rFonts w:ascii="Arial" w:cs="Arial" w:eastAsia="Arial" w:hAnsi="Arial"/>
                <w:sz w:val="18"/>
                <w:szCs w:val="18"/>
                <w:color w:val="auto"/>
              </w:rPr>
              <w:t>1,753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1,612</w:t>
            </w: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1,758</w:t>
            </w:r>
          </w:p>
        </w:tc>
        <w:tc>
          <w:tcPr>
            <w:tcW w:w="200" w:type="dxa"/>
            <w:vAlign w:val="bottom"/>
          </w:tcPr>
          <w:p>
            <w:pPr>
              <w:spacing w:after="0"/>
              <w:rPr>
                <w:sz w:val="24"/>
                <w:szCs w:val="24"/>
                <w:color w:val="auto"/>
              </w:rPr>
            </w:pPr>
          </w:p>
        </w:tc>
      </w:tr>
      <w:tr>
        <w:trPr>
          <w:trHeight w:val="270"/>
        </w:trPr>
        <w:tc>
          <w:tcPr>
            <w:tcW w:w="1360" w:type="dxa"/>
            <w:vAlign w:val="bottom"/>
          </w:tcPr>
          <w:p>
            <w:pPr>
              <w:jc w:val="right"/>
              <w:ind w:right="15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3"/>
                <w:szCs w:val="23"/>
                <w:color w:val="auto"/>
              </w:rPr>
            </w:pPr>
          </w:p>
        </w:tc>
        <w:tc>
          <w:tcPr>
            <w:tcW w:w="1440" w:type="dxa"/>
            <w:vAlign w:val="bottom"/>
          </w:tcPr>
          <w:p>
            <w:pPr>
              <w:jc w:val="right"/>
              <w:ind w:right="153"/>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23"/>
                <w:szCs w:val="23"/>
                <w:color w:val="auto"/>
              </w:rPr>
            </w:pPr>
          </w:p>
        </w:tc>
      </w:tr>
      <w:tr>
        <w:trPr>
          <w:trHeight w:val="27"/>
        </w:trPr>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7"/>
        </w:trPr>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1,594</w:t>
            </w:r>
          </w:p>
        </w:tc>
        <w:tc>
          <w:tcPr>
            <w:tcW w:w="100" w:type="dxa"/>
            <w:vAlign w:val="bottom"/>
          </w:tcPr>
          <w:p>
            <w:pPr>
              <w:spacing w:after="0"/>
              <w:rPr>
                <w:sz w:val="20"/>
                <w:szCs w:val="20"/>
                <w:color w:val="auto"/>
              </w:rPr>
            </w:pPr>
          </w:p>
        </w:tc>
        <w:tc>
          <w:tcPr>
            <w:tcW w:w="14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1,822</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1,680</w:t>
            </w:r>
          </w:p>
        </w:tc>
        <w:tc>
          <w:tcPr>
            <w:tcW w:w="10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1,827</w:t>
            </w:r>
          </w:p>
        </w:tc>
        <w:tc>
          <w:tcPr>
            <w:tcW w:w="200" w:type="dxa"/>
            <w:vAlign w:val="bottom"/>
            <w:tcBorders>
              <w:bottom w:val="single" w:sz="8" w:color="auto"/>
            </w:tcBorders>
          </w:tcPr>
          <w:p>
            <w:pPr>
              <w:spacing w:after="0"/>
              <w:rPr>
                <w:sz w:val="20"/>
                <w:szCs w:val="20"/>
                <w:color w:val="auto"/>
              </w:rPr>
            </w:pP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r>
      <w:tr>
        <w:trPr>
          <w:trHeight w:val="507"/>
        </w:trPr>
        <w:tc>
          <w:tcPr>
            <w:tcW w:w="1360" w:type="dxa"/>
            <w:vAlign w:val="bottom"/>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1360" w:type="dxa"/>
            <w:vAlign w:val="bottom"/>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-3486150</wp:posOffset>
            </wp:positionH>
            <wp:positionV relativeFrom="paragraph">
              <wp:posOffset>-1036320</wp:posOffset>
            </wp:positionV>
            <wp:extent cx="7012305"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12305" cy="171450"/>
                    </a:xfrm>
                    <a:prstGeom prst="rect">
                      <a:avLst/>
                    </a:prstGeom>
                    <a:noFill/>
                  </pic:spPr>
                </pic:pic>
              </a:graphicData>
            </a:graphic>
          </wp:anchor>
        </w:drawing>
        <w:drawing>
          <wp:anchor simplePos="0" relativeHeight="251657728" behindDoc="1" locked="0" layoutInCell="0" allowOverlap="1">
            <wp:simplePos x="0" y="0"/>
            <wp:positionH relativeFrom="column">
              <wp:posOffset>-3486150</wp:posOffset>
            </wp:positionH>
            <wp:positionV relativeFrom="paragraph">
              <wp:posOffset>-693420</wp:posOffset>
            </wp:positionV>
            <wp:extent cx="7012305" cy="1797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12305" cy="179705"/>
                    </a:xfrm>
                    <a:prstGeom prst="rect">
                      <a:avLst/>
                    </a:prstGeom>
                    <a:noFill/>
                  </pic:spPr>
                </pic:pic>
              </a:graphicData>
            </a:graphic>
          </wp:anchor>
        </w:drawing>
        <w:drawing>
          <wp:anchor simplePos="0" relativeHeight="251657728" behindDoc="1" locked="0" layoutInCell="0" allowOverlap="1">
            <wp:simplePos x="0" y="0"/>
            <wp:positionH relativeFrom="column">
              <wp:posOffset>-3486150</wp:posOffset>
            </wp:positionH>
            <wp:positionV relativeFrom="paragraph">
              <wp:posOffset>-325120</wp:posOffset>
            </wp:positionV>
            <wp:extent cx="7012305"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12305" cy="171450"/>
                    </a:xfrm>
                    <a:prstGeom prst="rect">
                      <a:avLst/>
                    </a:prstGeom>
                    <a:noFill/>
                  </pic:spPr>
                </pic:pic>
              </a:graphicData>
            </a:graphic>
          </wp:anchor>
        </w:drawing>
      </w:r>
    </w:p>
    <w:p>
      <w:pPr>
        <w:spacing w:after="0" w:line="302" w:lineRule="exact"/>
        <w:rPr>
          <w:sz w:val="20"/>
          <w:szCs w:val="20"/>
          <w:color w:val="auto"/>
        </w:rPr>
      </w:pPr>
    </w:p>
    <w:p>
      <w:pPr>
        <w:sectPr>
          <w:pgSz w:w="11900" w:h="16838" w:orient="portrait"/>
          <w:cols w:equalWidth="0" w:num="2">
            <w:col w:w="4860" w:space="720"/>
            <w:col w:w="5640"/>
          </w:cols>
          <w:pgMar w:left="320" w:top="122" w:right="359" w:bottom="1440" w:gutter="0" w:footer="0" w:header="0"/>
          <w:type w:val="continuous"/>
        </w:sectPr>
      </w:pPr>
    </w:p>
    <w:tbl>
      <w:tblPr>
        <w:tblLayout w:type="fixed"/>
        <w:tblInd w:w="80" w:type="dxa"/>
        <w:tblCellMar>
          <w:top w:w="0" w:type="dxa"/>
          <w:left w:w="0" w:type="dxa"/>
          <w:bottom w:w="0" w:type="dxa"/>
          <w:right w:w="0" w:type="dxa"/>
        </w:tblCellMar>
      </w:tblPr>
      <w:tr>
        <w:trPr>
          <w:trHeight w:val="264"/>
        </w:trPr>
        <w:tc>
          <w:tcPr>
            <w:tcW w:w="20" w:type="dxa"/>
            <w:vAlign w:val="bottom"/>
            <w:shd w:val="clear" w:color="auto" w:fill="CCEEFF"/>
          </w:tcPr>
          <w:p>
            <w:pPr>
              <w:spacing w:after="0"/>
              <w:rPr>
                <w:sz w:val="22"/>
                <w:szCs w:val="22"/>
                <w:color w:val="auto"/>
              </w:rPr>
            </w:pPr>
          </w:p>
        </w:tc>
        <w:tc>
          <w:tcPr>
            <w:tcW w:w="5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Domestic sales percentage change</w:t>
            </w:r>
            <w:r>
              <w:rPr>
                <w:rFonts w:ascii="Arial" w:cs="Arial" w:eastAsia="Arial" w:hAnsi="Arial"/>
                <w:sz w:val="23"/>
                <w:szCs w:val="23"/>
                <w:color w:val="auto"/>
                <w:vertAlign w:val="superscript"/>
              </w:rPr>
              <w:t>(c) (e)</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70"/>
        </w:trPr>
        <w:tc>
          <w:tcPr>
            <w:tcW w:w="20" w:type="dxa"/>
            <w:vAlign w:val="bottom"/>
          </w:tcPr>
          <w:p>
            <w:pPr>
              <w:spacing w:after="0"/>
              <w:rPr>
                <w:sz w:val="23"/>
                <w:szCs w:val="23"/>
                <w:color w:val="auto"/>
              </w:rPr>
            </w:pPr>
          </w:p>
        </w:tc>
        <w:tc>
          <w:tcPr>
            <w:tcW w:w="5380" w:type="dxa"/>
            <w:vAlign w:val="bottom"/>
            <w:gridSpan w:val="2"/>
          </w:tcPr>
          <w:p>
            <w:pPr>
              <w:ind w:left="200"/>
              <w:spacing w:after="0"/>
              <w:rPr>
                <w:sz w:val="20"/>
                <w:szCs w:val="20"/>
                <w:color w:val="auto"/>
              </w:rPr>
            </w:pPr>
            <w:r>
              <w:rPr>
                <w:rFonts w:ascii="Arial" w:cs="Arial" w:eastAsia="Arial" w:hAnsi="Arial"/>
                <w:sz w:val="18"/>
                <w:szCs w:val="18"/>
                <w:color w:val="auto"/>
              </w:rPr>
              <w:t>Domestic same-restaurant sales percentage change</w:t>
            </w:r>
            <w:r>
              <w:rPr>
                <w:rFonts w:ascii="Arial" w:cs="Arial" w:eastAsia="Arial" w:hAnsi="Arial"/>
                <w:sz w:val="23"/>
                <w:szCs w:val="23"/>
                <w:color w:val="auto"/>
                <w:vertAlign w:val="superscript"/>
              </w:rPr>
              <w:t>(d)</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3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Average weekly domestic unit sales (in thousands)</w:t>
            </w:r>
          </w:p>
        </w:tc>
        <w:tc>
          <w:tcPr>
            <w:tcW w:w="5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57"/>
        </w:trPr>
        <w:tc>
          <w:tcPr>
            <w:tcW w:w="20" w:type="dxa"/>
            <w:vAlign w:val="bottom"/>
          </w:tcPr>
          <w:p>
            <w:pPr>
              <w:spacing w:after="0"/>
              <w:rPr>
                <w:sz w:val="22"/>
                <w:szCs w:val="22"/>
                <w:color w:val="auto"/>
              </w:rPr>
            </w:pPr>
          </w:p>
        </w:tc>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IHOP Restaurant Data</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Effective Restaurants</w:t>
            </w:r>
            <w:r>
              <w:rPr>
                <w:rFonts w:ascii="Arial" w:cs="Arial" w:eastAsia="Arial" w:hAnsi="Arial"/>
                <w:sz w:val="23"/>
                <w:szCs w:val="23"/>
                <w:b w:val="1"/>
                <w:bCs w:val="1"/>
                <w:color w:val="auto"/>
                <w:vertAlign w:val="superscript"/>
              </w:rPr>
              <w:t>(a)</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3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Franchise</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1,375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380" w:type="dxa"/>
            <w:vAlign w:val="bottom"/>
            <w:gridSpan w:val="2"/>
          </w:tcPr>
          <w:p>
            <w:pPr>
              <w:ind w:left="200"/>
              <w:spacing w:after="0"/>
              <w:rPr>
                <w:sz w:val="20"/>
                <w:szCs w:val="20"/>
                <w:color w:val="auto"/>
              </w:rPr>
            </w:pPr>
            <w:r>
              <w:rPr>
                <w:rFonts w:ascii="Arial" w:cs="Arial" w:eastAsia="Arial" w:hAnsi="Arial"/>
                <w:sz w:val="18"/>
                <w:szCs w:val="18"/>
                <w:color w:val="auto"/>
              </w:rPr>
              <w:t>Area license</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156</w:t>
            </w:r>
          </w:p>
        </w:tc>
        <w:tc>
          <w:tcPr>
            <w:tcW w:w="200" w:type="dxa"/>
            <w:vAlign w:val="bottom"/>
          </w:tcPr>
          <w:p>
            <w:pPr>
              <w:spacing w:after="0"/>
              <w:rPr>
                <w:sz w:val="21"/>
                <w:szCs w:val="2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3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77"/>
        </w:trPr>
        <w:tc>
          <w:tcPr>
            <w:tcW w:w="20" w:type="dxa"/>
            <w:vAlign w:val="bottom"/>
            <w:tcBorders>
              <w:bottom w:val="single" w:sz="8" w:color="CCEEFF"/>
            </w:tcBorders>
            <w:shd w:val="clear" w:color="auto" w:fill="CCEEFF"/>
          </w:tcPr>
          <w:p>
            <w:pPr>
              <w:spacing w:after="0"/>
              <w:rPr>
                <w:sz w:val="24"/>
                <w:szCs w:val="24"/>
                <w:color w:val="auto"/>
              </w:rPr>
            </w:pPr>
          </w:p>
        </w:tc>
        <w:tc>
          <w:tcPr>
            <w:tcW w:w="53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1,519</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1,811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1,663</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1,812</w:t>
            </w:r>
          </w:p>
        </w:tc>
        <w:tc>
          <w:tcPr>
            <w:tcW w:w="200" w:type="dxa"/>
            <w:vAlign w:val="bottom"/>
            <w:tcBorders>
              <w:bottom w:val="single" w:sz="8" w:color="auto"/>
            </w:tcBorders>
            <w:shd w:val="clear" w:color="auto" w:fill="CCEEFF"/>
          </w:tcPr>
          <w:p>
            <w:pPr>
              <w:spacing w:after="0"/>
              <w:rPr>
                <w:sz w:val="24"/>
                <w:szCs w:val="24"/>
                <w:color w:val="auto"/>
              </w:rPr>
            </w:pPr>
          </w:p>
        </w:tc>
      </w:tr>
      <w:tr>
        <w:trPr>
          <w:trHeight w:val="264"/>
        </w:trPr>
        <w:tc>
          <w:tcPr>
            <w:tcW w:w="20" w:type="dxa"/>
            <w:vAlign w:val="bottom"/>
            <w:shd w:val="clear" w:color="auto" w:fill="CCEEFF"/>
          </w:tcPr>
          <w:p>
            <w:pPr>
              <w:spacing w:after="0"/>
              <w:rPr>
                <w:sz w:val="22"/>
                <w:szCs w:val="22"/>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System-wide</w:t>
            </w:r>
            <w:r>
              <w:rPr>
                <w:rFonts w:ascii="Arial" w:cs="Arial" w:eastAsia="Arial" w:hAnsi="Arial"/>
                <w:sz w:val="23"/>
                <w:szCs w:val="23"/>
                <w:b w:val="1"/>
                <w:bCs w:val="1"/>
                <w:color w:val="auto"/>
                <w:vertAlign w:val="superscript"/>
              </w:rPr>
              <w:t>(b)</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r>
    </w:tbl>
    <w:p>
      <w:pPr>
        <w:spacing w:after="0" w:line="1" w:lineRule="exact"/>
        <w:rPr>
          <w:sz w:val="20"/>
          <w:szCs w:val="20"/>
          <w:color w:val="auto"/>
        </w:rPr>
      </w:pPr>
    </w:p>
    <w:p>
      <w:pPr>
        <w:sectPr>
          <w:pgSz w:w="11900" w:h="16838" w:orient="portrait"/>
          <w:cols w:equalWidth="0" w:num="1">
            <w:col w:w="11220"/>
          </w:cols>
          <w:pgMar w:left="320" w:top="122" w:right="359" w:bottom="1440" w:gutter="0" w:footer="0" w:header="0"/>
          <w:type w:val="continuous"/>
        </w:sectPr>
      </w:pPr>
    </w:p>
    <w:p>
      <w:pPr>
        <w:ind w:left="300"/>
        <w:spacing w:after="0"/>
        <w:rPr>
          <w:sz w:val="20"/>
          <w:szCs w:val="20"/>
          <w:color w:val="auto"/>
        </w:rPr>
      </w:pPr>
      <w:r>
        <w:rPr>
          <w:rFonts w:ascii="Arial" w:cs="Arial" w:eastAsia="Arial" w:hAnsi="Arial"/>
          <w:sz w:val="18"/>
          <w:szCs w:val="18"/>
          <w:color w:val="auto"/>
        </w:rPr>
        <w:t>Sales percentage change</w:t>
      </w:r>
      <w:r>
        <w:rPr>
          <w:rFonts w:ascii="Arial" w:cs="Arial" w:eastAsia="Arial" w:hAnsi="Arial"/>
          <w:sz w:val="23"/>
          <w:szCs w:val="23"/>
          <w:color w:val="auto"/>
          <w:vertAlign w:val="superscript"/>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3810</wp:posOffset>
            </wp:positionV>
            <wp:extent cx="7012305" cy="2571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12305" cy="257175"/>
                    </a:xfrm>
                    <a:prstGeom prst="rect">
                      <a:avLst/>
                    </a:prstGeom>
                    <a:noFill/>
                  </pic:spPr>
                </pic:pic>
              </a:graphicData>
            </a:graphic>
          </wp:anchor>
        </w:drawing>
      </w:r>
    </w:p>
    <w:p>
      <w:pPr>
        <w:spacing w:after="0" w:line="1" w:lineRule="exact"/>
        <w:rPr>
          <w:sz w:val="20"/>
          <w:szCs w:val="20"/>
          <w:color w:val="auto"/>
        </w:rPr>
      </w:pPr>
    </w:p>
    <w:p>
      <w:pPr>
        <w:ind w:left="300" w:right="520"/>
        <w:spacing w:after="0" w:line="206" w:lineRule="auto"/>
        <w:rPr>
          <w:sz w:val="20"/>
          <w:szCs w:val="20"/>
          <w:color w:val="auto"/>
        </w:rPr>
      </w:pPr>
      <w:r>
        <w:rPr>
          <w:rFonts w:ascii="Arial" w:cs="Arial" w:eastAsia="Arial" w:hAnsi="Arial"/>
          <w:sz w:val="18"/>
          <w:szCs w:val="18"/>
          <w:color w:val="auto"/>
        </w:rPr>
        <w:t>Domestic same-restaurant sales percentage change, including area license restaurants</w:t>
      </w:r>
      <w:r>
        <w:rPr>
          <w:rFonts w:ascii="Arial" w:cs="Arial" w:eastAsia="Arial" w:hAnsi="Arial"/>
          <w:sz w:val="23"/>
          <w:szCs w:val="23"/>
          <w:color w:val="auto"/>
          <w:vertAlign w:val="superscript"/>
        </w:rPr>
        <w:t>(d)</w:t>
      </w:r>
    </w:p>
    <w:p>
      <w:pPr>
        <w:ind w:left="100"/>
        <w:spacing w:after="0" w:line="231" w:lineRule="auto"/>
        <w:rPr>
          <w:sz w:val="20"/>
          <w:szCs w:val="20"/>
          <w:color w:val="auto"/>
        </w:rPr>
      </w:pPr>
      <w:r>
        <w:rPr>
          <w:rFonts w:ascii="Arial" w:cs="Arial" w:eastAsia="Arial" w:hAnsi="Arial"/>
          <w:sz w:val="18"/>
          <w:szCs w:val="18"/>
          <w:b w:val="1"/>
          <w:bCs w:val="1"/>
          <w:color w:val="auto"/>
        </w:rPr>
        <w:t>Franchise</w:t>
      </w:r>
      <w:r>
        <w:rPr>
          <w:rFonts w:ascii="Arial" w:cs="Arial" w:eastAsia="Arial" w:hAnsi="Arial"/>
          <w:sz w:val="23"/>
          <w:szCs w:val="23"/>
          <w:b w:val="1"/>
          <w:bCs w:val="1"/>
          <w:color w:val="auto"/>
          <w:vertAlign w:val="superscript"/>
        </w:rPr>
        <w:t>(b)</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jc w:val="right"/>
              <w:ind w:right="450"/>
              <w:spacing w:after="0"/>
              <w:rPr>
                <w:sz w:val="20"/>
                <w:szCs w:val="20"/>
                <w:color w:val="auto"/>
              </w:rPr>
            </w:pPr>
            <w:r>
              <w:rPr>
                <w:rFonts w:ascii="Arial" w:cs="Arial" w:eastAsia="Arial" w:hAnsi="Arial"/>
                <w:sz w:val="18"/>
                <w:szCs w:val="18"/>
                <w:color w:val="auto"/>
                <w:w w:val="91"/>
              </w:rPr>
              <w:t>(64.3)%</w:t>
            </w:r>
          </w:p>
        </w:tc>
        <w:tc>
          <w:tcPr>
            <w:tcW w:w="1360" w:type="dxa"/>
            <w:vAlign w:val="bottom"/>
          </w:tcPr>
          <w:p>
            <w:pPr>
              <w:jc w:val="right"/>
              <w:ind w:right="270"/>
              <w:spacing w:after="0"/>
              <w:rPr>
                <w:sz w:val="20"/>
                <w:szCs w:val="20"/>
                <w:color w:val="auto"/>
              </w:rPr>
            </w:pPr>
            <w:r>
              <w:rPr>
                <w:rFonts w:ascii="Arial" w:cs="Arial" w:eastAsia="Arial" w:hAnsi="Arial"/>
                <w:sz w:val="18"/>
                <w:szCs w:val="18"/>
                <w:color w:val="auto"/>
              </w:rPr>
              <w:t>3.2 %</w:t>
            </w:r>
          </w:p>
        </w:tc>
        <w:tc>
          <w:tcPr>
            <w:tcW w:w="1400" w:type="dxa"/>
            <w:vAlign w:val="bottom"/>
          </w:tcPr>
          <w:p>
            <w:pPr>
              <w:jc w:val="right"/>
              <w:ind w:right="350"/>
              <w:spacing w:after="0"/>
              <w:rPr>
                <w:sz w:val="20"/>
                <w:szCs w:val="20"/>
                <w:color w:val="auto"/>
              </w:rPr>
            </w:pPr>
            <w:r>
              <w:rPr>
                <w:rFonts w:ascii="Arial" w:cs="Arial" w:eastAsia="Arial" w:hAnsi="Arial"/>
                <w:sz w:val="18"/>
                <w:szCs w:val="18"/>
                <w:color w:val="auto"/>
              </w:rPr>
              <w:t>(39.1)%</w:t>
            </w:r>
          </w:p>
        </w:tc>
        <w:tc>
          <w:tcPr>
            <w:tcW w:w="900" w:type="dxa"/>
            <w:vAlign w:val="bottom"/>
          </w:tcPr>
          <w:p>
            <w:pPr>
              <w:jc w:val="right"/>
              <w:spacing w:after="0"/>
              <w:rPr>
                <w:sz w:val="20"/>
                <w:szCs w:val="20"/>
                <w:color w:val="auto"/>
              </w:rPr>
            </w:pPr>
            <w:r>
              <w:rPr>
                <w:rFonts w:ascii="Arial" w:cs="Arial" w:eastAsia="Arial" w:hAnsi="Arial"/>
                <w:sz w:val="18"/>
                <w:szCs w:val="18"/>
                <w:color w:val="auto"/>
              </w:rPr>
              <w:t>2.8 %</w:t>
            </w:r>
          </w:p>
        </w:tc>
      </w:tr>
      <w:tr>
        <w:trPr>
          <w:trHeight w:val="405"/>
        </w:trPr>
        <w:tc>
          <w:tcPr>
            <w:tcW w:w="1140" w:type="dxa"/>
            <w:vAlign w:val="bottom"/>
          </w:tcPr>
          <w:p>
            <w:pPr>
              <w:jc w:val="right"/>
              <w:ind w:right="450"/>
              <w:spacing w:after="0"/>
              <w:rPr>
                <w:sz w:val="20"/>
                <w:szCs w:val="20"/>
                <w:color w:val="auto"/>
              </w:rPr>
            </w:pPr>
            <w:r>
              <w:rPr>
                <w:rFonts w:ascii="Arial" w:cs="Arial" w:eastAsia="Arial" w:hAnsi="Arial"/>
                <w:sz w:val="18"/>
                <w:szCs w:val="18"/>
                <w:color w:val="auto"/>
                <w:w w:val="91"/>
              </w:rPr>
              <w:t>(59.1)%</w:t>
            </w:r>
          </w:p>
        </w:tc>
        <w:tc>
          <w:tcPr>
            <w:tcW w:w="1360" w:type="dxa"/>
            <w:vAlign w:val="bottom"/>
          </w:tcPr>
          <w:p>
            <w:pPr>
              <w:jc w:val="right"/>
              <w:ind w:right="270"/>
              <w:spacing w:after="0"/>
              <w:rPr>
                <w:sz w:val="20"/>
                <w:szCs w:val="20"/>
                <w:color w:val="auto"/>
              </w:rPr>
            </w:pPr>
            <w:r>
              <w:rPr>
                <w:rFonts w:ascii="Arial" w:cs="Arial" w:eastAsia="Arial" w:hAnsi="Arial"/>
                <w:sz w:val="18"/>
                <w:szCs w:val="18"/>
                <w:color w:val="auto"/>
              </w:rPr>
              <w:t>2.0 %</w:t>
            </w:r>
          </w:p>
        </w:tc>
        <w:tc>
          <w:tcPr>
            <w:tcW w:w="1400" w:type="dxa"/>
            <w:vAlign w:val="bottom"/>
          </w:tcPr>
          <w:p>
            <w:pPr>
              <w:jc w:val="right"/>
              <w:ind w:right="350"/>
              <w:spacing w:after="0"/>
              <w:rPr>
                <w:sz w:val="20"/>
                <w:szCs w:val="20"/>
                <w:color w:val="auto"/>
              </w:rPr>
            </w:pPr>
            <w:r>
              <w:rPr>
                <w:rFonts w:ascii="Arial" w:cs="Arial" w:eastAsia="Arial" w:hAnsi="Arial"/>
                <w:sz w:val="18"/>
                <w:szCs w:val="18"/>
                <w:color w:val="auto"/>
              </w:rPr>
              <w:t>(35.6)%</w:t>
            </w:r>
          </w:p>
        </w:tc>
        <w:tc>
          <w:tcPr>
            <w:tcW w:w="900" w:type="dxa"/>
            <w:vAlign w:val="bottom"/>
          </w:tcPr>
          <w:p>
            <w:pPr>
              <w:jc w:val="right"/>
              <w:spacing w:after="0"/>
              <w:rPr>
                <w:sz w:val="20"/>
                <w:szCs w:val="20"/>
                <w:color w:val="auto"/>
              </w:rPr>
            </w:pPr>
            <w:r>
              <w:rPr>
                <w:rFonts w:ascii="Arial" w:cs="Arial" w:eastAsia="Arial" w:hAnsi="Arial"/>
                <w:sz w:val="18"/>
                <w:szCs w:val="18"/>
                <w:color w:val="auto"/>
              </w:rPr>
              <w:t>1.7 %</w:t>
            </w:r>
          </w:p>
        </w:tc>
      </w:tr>
    </w:tbl>
    <w:p>
      <w:pPr>
        <w:spacing w:after="0" w:line="302" w:lineRule="exact"/>
        <w:rPr>
          <w:sz w:val="20"/>
          <w:szCs w:val="20"/>
          <w:color w:val="auto"/>
        </w:rPr>
      </w:pPr>
    </w:p>
    <w:p>
      <w:pPr>
        <w:sectPr>
          <w:pgSz w:w="11900" w:h="16838" w:orient="portrait"/>
          <w:cols w:equalWidth="0" w:num="2">
            <w:col w:w="5600" w:space="720"/>
            <w:col w:w="4900"/>
          </w:cols>
          <w:pgMar w:left="320" w:top="122" w:right="359" w:bottom="1440" w:gutter="0" w:footer="0" w:header="0"/>
          <w:type w:val="continuous"/>
        </w:sectPr>
      </w:pPr>
    </w:p>
    <w:tbl>
      <w:tblPr>
        <w:tblLayout w:type="fixed"/>
        <w:tblInd w:w="80" w:type="dxa"/>
        <w:tblCellMar>
          <w:top w:w="0" w:type="dxa"/>
          <w:left w:w="0" w:type="dxa"/>
          <w:bottom w:w="0" w:type="dxa"/>
          <w:right w:w="0" w:type="dxa"/>
        </w:tblCellMar>
      </w:tblPr>
      <w:tr>
        <w:trPr>
          <w:trHeight w:val="264"/>
        </w:trPr>
        <w:tc>
          <w:tcPr>
            <w:tcW w:w="4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percentage change</w:t>
            </w:r>
            <w:r>
              <w:rPr>
                <w:rFonts w:ascii="Arial" w:cs="Arial" w:eastAsia="Arial" w:hAnsi="Arial"/>
                <w:sz w:val="23"/>
                <w:szCs w:val="23"/>
                <w:color w:val="auto"/>
                <w:vertAlign w:val="superscript"/>
              </w:rPr>
              <w:t>(c)</w:t>
            </w:r>
          </w:p>
        </w:tc>
        <w:tc>
          <w:tcPr>
            <w:tcW w:w="11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5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46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70"/>
        </w:trPr>
        <w:tc>
          <w:tcPr>
            <w:tcW w:w="4760" w:type="dxa"/>
            <w:vAlign w:val="bottom"/>
          </w:tcPr>
          <w:p>
            <w:pPr>
              <w:ind w:left="220"/>
              <w:spacing w:after="0"/>
              <w:rPr>
                <w:sz w:val="20"/>
                <w:szCs w:val="20"/>
                <w:color w:val="auto"/>
              </w:rPr>
            </w:pPr>
            <w:r>
              <w:rPr>
                <w:rFonts w:ascii="Arial" w:cs="Arial" w:eastAsia="Arial" w:hAnsi="Arial"/>
                <w:sz w:val="18"/>
                <w:szCs w:val="18"/>
                <w:color w:val="auto"/>
              </w:rPr>
              <w:t>Domestic same-restaurant sales percentage change</w:t>
            </w:r>
            <w:r>
              <w:rPr>
                <w:rFonts w:ascii="Arial" w:cs="Arial" w:eastAsia="Arial" w:hAnsi="Arial"/>
                <w:sz w:val="23"/>
                <w:szCs w:val="23"/>
                <w:color w:val="auto"/>
                <w:vertAlign w:val="superscript"/>
              </w:rPr>
              <w:t>(d)</w:t>
            </w:r>
          </w:p>
        </w:tc>
        <w:tc>
          <w:tcPr>
            <w:tcW w:w="1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(58.9)%</w:t>
            </w:r>
          </w:p>
        </w:tc>
        <w:tc>
          <w:tcPr>
            <w:tcW w:w="5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(35.4)%</w:t>
            </w:r>
          </w:p>
        </w:tc>
        <w:tc>
          <w:tcPr>
            <w:tcW w:w="4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50"/>
        </w:trPr>
        <w:tc>
          <w:tcPr>
            <w:tcW w:w="4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Average weekly unit sales (in thousands)</w:t>
            </w:r>
          </w:p>
        </w:tc>
        <w:tc>
          <w:tcPr>
            <w:tcW w:w="11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15.8</w:t>
            </w:r>
          </w:p>
        </w:tc>
        <w:tc>
          <w:tcPr>
            <w:tcW w:w="5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6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24.6</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70"/>
        </w:trPr>
        <w:tc>
          <w:tcPr>
            <w:tcW w:w="4760" w:type="dxa"/>
            <w:vAlign w:val="bottom"/>
          </w:tcPr>
          <w:p>
            <w:pPr>
              <w:ind w:left="20"/>
              <w:spacing w:after="0"/>
              <w:rPr>
                <w:sz w:val="20"/>
                <w:szCs w:val="20"/>
                <w:color w:val="auto"/>
              </w:rPr>
            </w:pPr>
            <w:r>
              <w:rPr>
                <w:rFonts w:ascii="Arial" w:cs="Arial" w:eastAsia="Arial" w:hAnsi="Arial"/>
                <w:sz w:val="18"/>
                <w:szCs w:val="18"/>
                <w:b w:val="1"/>
                <w:bCs w:val="1"/>
                <w:color w:val="auto"/>
              </w:rPr>
              <w:t>Area License</w:t>
            </w:r>
            <w:r>
              <w:rPr>
                <w:rFonts w:ascii="Arial" w:cs="Arial" w:eastAsia="Arial" w:hAnsi="Arial"/>
                <w:sz w:val="23"/>
                <w:szCs w:val="23"/>
                <w:b w:val="1"/>
                <w:bCs w:val="1"/>
                <w:color w:val="auto"/>
                <w:vertAlign w:val="superscript"/>
              </w:rPr>
              <w:t>(b)</w:t>
            </w:r>
          </w:p>
        </w:tc>
        <w:tc>
          <w:tcPr>
            <w:tcW w:w="1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70"/>
        </w:trPr>
        <w:tc>
          <w:tcPr>
            <w:tcW w:w="4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percentage change</w:t>
            </w:r>
            <w:r>
              <w:rPr>
                <w:rFonts w:ascii="Arial" w:cs="Arial" w:eastAsia="Arial" w:hAnsi="Arial"/>
                <w:sz w:val="23"/>
                <w:szCs w:val="23"/>
                <w:color w:val="auto"/>
                <w:vertAlign w:val="superscript"/>
              </w:rPr>
              <w:t>(c)</w:t>
            </w:r>
          </w:p>
        </w:tc>
        <w:tc>
          <w:tcPr>
            <w:tcW w:w="11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5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46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bl>
    <w:p>
      <w:pPr>
        <w:spacing w:after="0" w:line="112" w:lineRule="exact"/>
        <w:rPr>
          <w:sz w:val="20"/>
          <w:szCs w:val="20"/>
          <w:color w:val="auto"/>
        </w:rPr>
      </w:pPr>
    </w:p>
    <w:p>
      <w:pPr>
        <w:ind w:left="340" w:hanging="287"/>
        <w:spacing w:after="0" w:line="258" w:lineRule="auto"/>
        <w:tabs>
          <w:tab w:leader="none" w:pos="362" w:val="left"/>
        </w:tabs>
        <w:numPr>
          <w:ilvl w:val="1"/>
          <w:numId w:val="15"/>
        </w:numPr>
        <w:rPr>
          <w:rFonts w:ascii="Arial" w:cs="Arial" w:eastAsia="Arial" w:hAnsi="Arial"/>
          <w:sz w:val="16"/>
          <w:szCs w:val="16"/>
          <w:color w:val="auto"/>
        </w:rPr>
      </w:pPr>
      <w:r>
        <w:rPr>
          <w:rFonts w:ascii="Arial" w:cs="Arial" w:eastAsia="Arial" w:hAnsi="Arial"/>
          <w:sz w:val="16"/>
          <w:szCs w:val="16"/>
          <w:color w:val="auto"/>
        </w:rPr>
        <w:t>“Effective Restaurants” are the weighted average number of restaurants open in each fiscal period, adjusted to account for restaurants open for only a portion of the period. Information is presented for all Effective Restaurants in the Applebee’s and IHOP systems, which consist of restaurants owned by franchisees and area licensees as well as those owned by the Company.</w:t>
      </w:r>
    </w:p>
    <w:p>
      <w:pPr>
        <w:spacing w:after="0" w:line="1" w:lineRule="exact"/>
        <w:rPr>
          <w:rFonts w:ascii="Arial" w:cs="Arial" w:eastAsia="Arial" w:hAnsi="Arial"/>
          <w:sz w:val="16"/>
          <w:szCs w:val="16"/>
          <w:color w:val="auto"/>
        </w:rPr>
      </w:pPr>
    </w:p>
    <w:p>
      <w:pPr>
        <w:ind w:left="340" w:right="180" w:hanging="332"/>
        <w:spacing w:after="0" w:line="269" w:lineRule="auto"/>
        <w:tabs>
          <w:tab w:leader="none" w:pos="326" w:val="left"/>
        </w:tabs>
        <w:numPr>
          <w:ilvl w:val="0"/>
          <w:numId w:val="16"/>
        </w:numPr>
        <w:rPr>
          <w:rFonts w:ascii="Arial" w:cs="Arial" w:eastAsia="Arial" w:hAnsi="Arial"/>
          <w:sz w:val="15"/>
          <w:szCs w:val="15"/>
          <w:color w:val="auto"/>
        </w:rPr>
      </w:pPr>
      <w:r>
        <w:rPr>
          <w:rFonts w:ascii="Arial" w:cs="Arial" w:eastAsia="Arial" w:hAnsi="Arial"/>
          <w:sz w:val="15"/>
          <w:szCs w:val="15"/>
          <w:color w:val="auto"/>
        </w:rPr>
        <w:t>“System-wide sales” are retail sales at Applebee’s restaurants operated by franchisees and IHOP restaurants operated by franchisees and area licensees, as reported to the Company, in addition to retail sales at company-operated Applebee's restaurants. Sales at restaurants that are owned by franchisees and area licensees are not attributable to the Company. An increase in franchisees' reported sales will result in a corresponding increase in our royalty revenue, while a decrease in franchisees' reported sales will result in a corresponding decrease in our royalty revenue. Unaudited reported sales for Applebee's domestic franchise restaurants, Applebee's company-operated restaurants, IHOP franchise restaurants and IHOP area license restaurants were as follows: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40" w:name="page41"/>
    <w:bookmarkEnd w:id="40"/>
    <w:tbl>
      <w:tblPr>
        <w:tblLayout w:type="fixed"/>
        <w:tblInd w:w="0" w:type="dxa"/>
        <w:tblCellMar>
          <w:top w:w="0" w:type="dxa"/>
          <w:left w:w="0" w:type="dxa"/>
          <w:bottom w:w="0" w:type="dxa"/>
          <w:right w:w="0" w:type="dxa"/>
        </w:tblCellMar>
      </w:tblPr>
      <w:tr>
        <w:trPr>
          <w:trHeight w:val="182"/>
        </w:trPr>
        <w:tc>
          <w:tcPr>
            <w:tcW w:w="6460" w:type="dxa"/>
            <w:vAlign w:val="bottom"/>
            <w:gridSpan w:val="3"/>
          </w:tcPr>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24"/>
        </w:trPr>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Pr>
          <w:p>
            <w:pPr>
              <w:spacing w:after="0"/>
              <w:rPr>
                <w:sz w:val="24"/>
                <w:szCs w:val="24"/>
                <w:color w:val="auto"/>
              </w:rPr>
            </w:pPr>
          </w:p>
        </w:tc>
        <w:tc>
          <w:tcPr>
            <w:tcW w:w="1920" w:type="dxa"/>
            <w:vAlign w:val="bottom"/>
            <w:gridSpan w:val="4"/>
          </w:tcPr>
          <w:p>
            <w:pPr>
              <w:jc w:val="right"/>
              <w:ind w:right="159"/>
              <w:spacing w:after="0"/>
              <w:rPr>
                <w:sz w:val="20"/>
                <w:szCs w:val="20"/>
                <w:color w:val="auto"/>
              </w:rPr>
            </w:pPr>
            <w:r>
              <w:rPr>
                <w:rFonts w:ascii="Arial" w:cs="Arial" w:eastAsia="Arial" w:hAnsi="Arial"/>
                <w:sz w:val="14"/>
                <w:szCs w:val="14"/>
                <w:b w:val="1"/>
                <w:bCs w:val="1"/>
                <w:color w:val="auto"/>
                <w:w w:val="91"/>
              </w:rPr>
              <w:t>Six months ended June 30,</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00"/>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340" w:type="dxa"/>
            <w:vAlign w:val="bottom"/>
          </w:tcPr>
          <w:p>
            <w:pPr>
              <w:spacing w:after="0"/>
              <w:rPr>
                <w:sz w:val="2"/>
                <w:szCs w:val="2"/>
                <w:color w:val="auto"/>
              </w:rPr>
            </w:pPr>
          </w:p>
        </w:tc>
        <w:tc>
          <w:tcPr>
            <w:tcW w:w="1900" w:type="dxa"/>
            <w:vAlign w:val="bottom"/>
            <w:vMerge w:val="restart"/>
          </w:tcPr>
          <w:p>
            <w:pPr>
              <w:ind w:left="20"/>
              <w:spacing w:after="0"/>
              <w:rPr>
                <w:sz w:val="20"/>
                <w:szCs w:val="20"/>
                <w:color w:val="auto"/>
              </w:rPr>
            </w:pPr>
            <w:r>
              <w:rPr>
                <w:rFonts w:ascii="Arial" w:cs="Arial" w:eastAsia="Arial" w:hAnsi="Arial"/>
                <w:sz w:val="16"/>
                <w:szCs w:val="16"/>
                <w:b w:val="1"/>
                <w:bCs w:val="1"/>
                <w:color w:val="auto"/>
                <w:w w:val="88"/>
              </w:rPr>
              <w:t>Reported sales (in millions)</w:t>
            </w:r>
          </w:p>
        </w:tc>
        <w:tc>
          <w:tcPr>
            <w:tcW w:w="4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340" w:type="dxa"/>
            <w:vAlign w:val="bottom"/>
          </w:tcPr>
          <w:p>
            <w:pPr>
              <w:spacing w:after="0"/>
              <w:rPr>
                <w:sz w:val="14"/>
                <w:szCs w:val="14"/>
                <w:color w:val="auto"/>
              </w:rPr>
            </w:pPr>
          </w:p>
        </w:tc>
        <w:tc>
          <w:tcPr>
            <w:tcW w:w="1900" w:type="dxa"/>
            <w:vAlign w:val="bottom"/>
            <w:tcBorders>
              <w:bottom w:val="single" w:sz="8" w:color="auto"/>
            </w:tcBorders>
            <w:vMerge w:val="continue"/>
          </w:tcPr>
          <w:p>
            <w:pPr>
              <w:spacing w:after="0"/>
              <w:rPr>
                <w:sz w:val="14"/>
                <w:szCs w:val="14"/>
                <w:color w:val="auto"/>
              </w:rPr>
            </w:pPr>
          </w:p>
        </w:tc>
        <w:tc>
          <w:tcPr>
            <w:tcW w:w="4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61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Applebee's domestic franchise restaurant sales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472.0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1,016.5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1,390.2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2,060.7</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120" w:type="dxa"/>
            <w:vAlign w:val="bottom"/>
            <w:gridSpan w:val="2"/>
          </w:tcPr>
          <w:p>
            <w:pPr>
              <w:ind w:left="80"/>
              <w:spacing w:after="0"/>
              <w:rPr>
                <w:sz w:val="20"/>
                <w:szCs w:val="20"/>
                <w:color w:val="auto"/>
              </w:rPr>
            </w:pPr>
            <w:r>
              <w:rPr>
                <w:rFonts w:ascii="Arial" w:cs="Arial" w:eastAsia="Arial" w:hAnsi="Arial"/>
                <w:sz w:val="16"/>
                <w:szCs w:val="16"/>
                <w:color w:val="auto"/>
              </w:rPr>
              <w:t>Applebee's company-operated restaurants</w:t>
            </w:r>
          </w:p>
        </w:tc>
        <w:tc>
          <w:tcPr>
            <w:tcW w:w="220" w:type="dxa"/>
            <w:vAlign w:val="bottom"/>
          </w:tcPr>
          <w:p>
            <w:pPr>
              <w:spacing w:after="0"/>
              <w:rPr>
                <w:sz w:val="19"/>
                <w:szCs w:val="19"/>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33.7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48.1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69.5</w:t>
            </w:r>
          </w:p>
        </w:tc>
        <w:tc>
          <w:tcPr>
            <w:tcW w:w="0" w:type="dxa"/>
            <w:vAlign w:val="bottom"/>
          </w:tcPr>
          <w:p>
            <w:pPr>
              <w:spacing w:after="0"/>
              <w:rPr>
                <w:sz w:val="1"/>
                <w:szCs w:val="1"/>
                <w:color w:val="auto"/>
              </w:rPr>
            </w:pPr>
          </w:p>
        </w:tc>
      </w:tr>
      <w:tr>
        <w:trPr>
          <w:trHeight w:val="33"/>
        </w:trPr>
        <w:tc>
          <w:tcPr>
            <w:tcW w:w="3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1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IHOP franchise restaurant sales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282.1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791.6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966.9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1,590.4</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120" w:type="dxa"/>
            <w:vAlign w:val="bottom"/>
            <w:gridSpan w:val="2"/>
          </w:tcPr>
          <w:p>
            <w:pPr>
              <w:ind w:left="80"/>
              <w:spacing w:after="0"/>
              <w:rPr>
                <w:sz w:val="20"/>
                <w:szCs w:val="20"/>
                <w:color w:val="auto"/>
              </w:rPr>
            </w:pPr>
            <w:r>
              <w:rPr>
                <w:rFonts w:ascii="Arial" w:cs="Arial" w:eastAsia="Arial" w:hAnsi="Arial"/>
                <w:sz w:val="16"/>
                <w:szCs w:val="16"/>
                <w:color w:val="auto"/>
              </w:rPr>
              <w:t>IHOP area license restaurant sales</w:t>
            </w:r>
          </w:p>
        </w:tc>
        <w:tc>
          <w:tcPr>
            <w:tcW w:w="220" w:type="dxa"/>
            <w:vAlign w:val="bottom"/>
          </w:tcPr>
          <w:p>
            <w:pPr>
              <w:spacing w:after="0"/>
              <w:rPr>
                <w:sz w:val="19"/>
                <w:szCs w:val="19"/>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71.8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90.4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146.1</w:t>
            </w:r>
          </w:p>
        </w:tc>
        <w:tc>
          <w:tcPr>
            <w:tcW w:w="0" w:type="dxa"/>
            <w:vAlign w:val="bottom"/>
          </w:tcPr>
          <w:p>
            <w:pPr>
              <w:spacing w:after="0"/>
              <w:rPr>
                <w:sz w:val="1"/>
                <w:szCs w:val="1"/>
                <w:color w:val="auto"/>
              </w:rPr>
            </w:pPr>
          </w:p>
        </w:tc>
      </w:tr>
      <w:tr>
        <w:trPr>
          <w:trHeight w:val="33"/>
        </w:trPr>
        <w:tc>
          <w:tcPr>
            <w:tcW w:w="340" w:type="dxa"/>
            <w:vAlign w:val="bottom"/>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340" w:type="dxa"/>
            <w:vAlign w:val="bottom"/>
          </w:tcPr>
          <w:p>
            <w:pPr>
              <w:spacing w:after="0"/>
              <w:rPr>
                <w:sz w:val="23"/>
                <w:szCs w:val="23"/>
                <w:color w:val="auto"/>
              </w:rPr>
            </w:pPr>
          </w:p>
        </w:tc>
        <w:tc>
          <w:tcPr>
            <w:tcW w:w="61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797.3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1,913.6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2,495.6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3,866.7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ind w:left="340" w:right="120" w:hanging="332"/>
        <w:spacing w:after="0" w:line="255" w:lineRule="auto"/>
        <w:tabs>
          <w:tab w:leader="none" w:pos="317" w:val="left"/>
        </w:tabs>
        <w:numPr>
          <w:ilvl w:val="0"/>
          <w:numId w:val="17"/>
        </w:numPr>
        <w:rPr>
          <w:rFonts w:ascii="Arial" w:cs="Arial" w:eastAsia="Arial" w:hAnsi="Arial"/>
          <w:sz w:val="16"/>
          <w:szCs w:val="16"/>
          <w:color w:val="auto"/>
        </w:rPr>
      </w:pPr>
      <w:r>
        <w:rPr>
          <w:rFonts w:ascii="Arial" w:cs="Arial" w:eastAsia="Arial" w:hAnsi="Arial"/>
          <w:sz w:val="16"/>
          <w:szCs w:val="16"/>
          <w:color w:val="auto"/>
        </w:rPr>
        <w:t>“Sales percentage change” reflects, for each category of restaurants, the percentage change in sales in any given fiscal period compared to the prior fiscal period for all restaurants in that category.</w:t>
      </w:r>
    </w:p>
    <w:p>
      <w:pPr>
        <w:spacing w:after="0" w:line="1" w:lineRule="exact"/>
        <w:rPr>
          <w:rFonts w:ascii="Arial" w:cs="Arial" w:eastAsia="Arial" w:hAnsi="Arial"/>
          <w:sz w:val="16"/>
          <w:szCs w:val="16"/>
          <w:color w:val="auto"/>
        </w:rPr>
      </w:pPr>
    </w:p>
    <w:p>
      <w:pPr>
        <w:jc w:val="both"/>
        <w:ind w:left="340" w:hanging="332"/>
        <w:spacing w:after="0" w:line="281" w:lineRule="auto"/>
        <w:tabs>
          <w:tab w:leader="none" w:pos="347" w:val="left"/>
        </w:tabs>
        <w:numPr>
          <w:ilvl w:val="0"/>
          <w:numId w:val="17"/>
        </w:numPr>
        <w:rPr>
          <w:rFonts w:ascii="Arial" w:cs="Arial" w:eastAsia="Arial" w:hAnsi="Arial"/>
          <w:sz w:val="14"/>
          <w:szCs w:val="14"/>
          <w:color w:val="auto"/>
        </w:rPr>
      </w:pPr>
      <w:r>
        <w:rPr>
          <w:rFonts w:ascii="Arial" w:cs="Arial" w:eastAsia="Arial" w:hAnsi="Arial"/>
          <w:sz w:val="14"/>
          <w:szCs w:val="14"/>
          <w:color w:val="auto"/>
        </w:rPr>
        <w:t>“Domestic same-restaurant sales percentage change” reflects the percentage change in sales in any given fiscal period, compared to the same weeks in the prior fiscal period, for domestic restaurants that have been operated throughout both fiscal periods that are being compared and have been open for at least 18 months. Because of new restaurant openings and restaurant closures, the domestic restaurants open throughout both fiscal periods being compared may be different from period to period.</w:t>
      </w:r>
    </w:p>
    <w:p>
      <w:pPr>
        <w:spacing w:after="0" w:line="1" w:lineRule="exact"/>
        <w:rPr>
          <w:rFonts w:ascii="Arial" w:cs="Arial" w:eastAsia="Arial" w:hAnsi="Arial"/>
          <w:sz w:val="14"/>
          <w:szCs w:val="14"/>
          <w:color w:val="auto"/>
        </w:rPr>
      </w:pPr>
    </w:p>
    <w:p>
      <w:pPr>
        <w:ind w:left="340" w:hanging="332"/>
        <w:spacing w:after="0" w:line="257" w:lineRule="auto"/>
        <w:tabs>
          <w:tab w:leader="none" w:pos="314"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Applebee's franchise sales percentage change for the six months ended June 30, 2019 was impacted by the acquisition of 69 franchise restaurants in December 2018 that became reported as company-operated.</w:t>
      </w:r>
    </w:p>
    <w:p>
      <w:pPr>
        <w:sectPr>
          <w:pgSz w:w="11900" w:h="16838" w:orient="portrait"/>
          <w:cols w:equalWidth="0" w:num="1">
            <w:col w:w="11240"/>
          </w:cols>
          <w:pgMar w:left="320" w:top="122" w:right="339" w:bottom="1440" w:gutter="0" w:footer="0" w:header="0"/>
        </w:sectPr>
      </w:pPr>
    </w:p>
    <w:p>
      <w:pPr>
        <w:spacing w:after="0" w:line="245"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Restaurant Development Activity</w:t>
      </w:r>
    </w:p>
    <w:p>
      <w:pPr>
        <w:spacing w:after="0" w:line="356" w:lineRule="exact"/>
        <w:rPr>
          <w:sz w:val="20"/>
          <w:szCs w:val="20"/>
          <w:color w:val="auto"/>
        </w:rPr>
      </w:pPr>
    </w:p>
    <w:p>
      <w:pPr>
        <w:ind w:left="80"/>
        <w:spacing w:after="0"/>
        <w:rPr>
          <w:sz w:val="20"/>
          <w:szCs w:val="20"/>
          <w:color w:val="auto"/>
        </w:rPr>
      </w:pPr>
      <w:r>
        <w:rPr>
          <w:rFonts w:ascii="Arial" w:cs="Arial" w:eastAsia="Arial" w:hAnsi="Arial"/>
          <w:sz w:val="18"/>
          <w:szCs w:val="18"/>
          <w:b w:val="1"/>
          <w:bCs w:val="1"/>
          <w:u w:val="single" w:color="auto"/>
          <w:color w:val="auto"/>
        </w:rPr>
        <w:t>Applebee's</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Summary - beginning of period:</w:t>
      </w:r>
    </w:p>
    <w:p>
      <w:pPr>
        <w:spacing w:after="0" w:line="1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Franchise</w:t>
      </w:r>
    </w:p>
    <w:p>
      <w:pPr>
        <w:spacing w:after="0" w:line="6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Company restaurants</w:t>
      </w:r>
    </w:p>
    <w:p>
      <w:pPr>
        <w:spacing w:after="0" w:line="7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Beginning of period</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3120" w:type="dxa"/>
            <w:vAlign w:val="bottom"/>
            <w:gridSpan w:val="5"/>
          </w:tcPr>
          <w:p>
            <w:pPr>
              <w:ind w:left="380"/>
              <w:spacing w:after="0"/>
              <w:rPr>
                <w:sz w:val="20"/>
                <w:szCs w:val="20"/>
                <w:color w:val="auto"/>
              </w:rPr>
            </w:pPr>
            <w:r>
              <w:rPr>
                <w:rFonts w:ascii="Arial" w:cs="Arial" w:eastAsia="Arial" w:hAnsi="Arial"/>
                <w:sz w:val="16"/>
                <w:szCs w:val="16"/>
                <w:b w:val="1"/>
                <w:bCs w:val="1"/>
                <w:color w:val="auto"/>
              </w:rPr>
              <w:t>Three months ended June 30,</w:t>
            </w:r>
          </w:p>
        </w:tc>
        <w:tc>
          <w:tcPr>
            <w:tcW w:w="2200" w:type="dxa"/>
            <w:vAlign w:val="bottom"/>
            <w:gridSpan w:val="3"/>
          </w:tcPr>
          <w:p>
            <w:pPr>
              <w:jc w:val="right"/>
              <w:ind w:right="212"/>
              <w:spacing w:after="0"/>
              <w:rPr>
                <w:sz w:val="20"/>
                <w:szCs w:val="20"/>
                <w:color w:val="auto"/>
              </w:rPr>
            </w:pPr>
            <w:r>
              <w:rPr>
                <w:rFonts w:ascii="Arial" w:cs="Arial" w:eastAsia="Arial" w:hAnsi="Arial"/>
                <w:sz w:val="16"/>
                <w:szCs w:val="16"/>
                <w:b w:val="1"/>
                <w:bCs w:val="1"/>
                <w:color w:val="auto"/>
                <w:w w:val="91"/>
              </w:rPr>
              <w:t>Six months ended June 30,</w:t>
            </w:r>
          </w:p>
        </w:tc>
      </w:tr>
      <w:tr>
        <w:trPr>
          <w:trHeight w:val="33"/>
        </w:trPr>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7"/>
        </w:trPr>
        <w:tc>
          <w:tcPr>
            <w:tcW w:w="1380" w:type="dxa"/>
            <w:vAlign w:val="bottom"/>
          </w:tcPr>
          <w:p>
            <w:pPr>
              <w:jc w:val="right"/>
              <w:ind w:right="434"/>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300" w:type="dxa"/>
            <w:vAlign w:val="bottom"/>
          </w:tcPr>
          <w:p>
            <w:pPr>
              <w:jc w:val="right"/>
              <w:ind w:right="415"/>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14"/>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180" w:type="dxa"/>
            <w:vAlign w:val="bottom"/>
          </w:tcPr>
          <w:p>
            <w:pPr>
              <w:jc w:val="right"/>
              <w:ind w:right="332"/>
              <w:spacing w:after="0"/>
              <w:rPr>
                <w:sz w:val="20"/>
                <w:szCs w:val="20"/>
                <w:color w:val="auto"/>
              </w:rPr>
            </w:pPr>
            <w:r>
              <w:rPr>
                <w:rFonts w:ascii="Arial" w:cs="Arial" w:eastAsia="Arial" w:hAnsi="Arial"/>
                <w:sz w:val="16"/>
                <w:szCs w:val="16"/>
                <w:b w:val="1"/>
                <w:bCs w:val="1"/>
                <w:color w:val="auto"/>
              </w:rPr>
              <w:t>2019</w:t>
            </w:r>
          </w:p>
        </w:tc>
      </w:tr>
      <w:tr>
        <w:trPr>
          <w:trHeight w:val="33"/>
        </w:trPr>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8"/>
        </w:trPr>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gridSpan w:val="3"/>
          </w:tcPr>
          <w:p>
            <w:pPr>
              <w:ind w:left="820"/>
              <w:spacing w:after="0"/>
              <w:rPr>
                <w:sz w:val="20"/>
                <w:szCs w:val="20"/>
                <w:color w:val="auto"/>
              </w:rPr>
            </w:pPr>
            <w:r>
              <w:rPr>
                <w:rFonts w:ascii="Arial" w:cs="Arial" w:eastAsia="Arial" w:hAnsi="Arial"/>
                <w:sz w:val="14"/>
                <w:szCs w:val="14"/>
                <w:b w:val="1"/>
                <w:bCs w:val="1"/>
                <w:color w:val="auto"/>
              </w:rPr>
              <w:t>(Unaudited)</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525"/>
        </w:trPr>
        <w:tc>
          <w:tcPr>
            <w:tcW w:w="1380" w:type="dxa"/>
            <w:vAlign w:val="bottom"/>
          </w:tcPr>
          <w:p>
            <w:pPr>
              <w:jc w:val="right"/>
              <w:ind w:right="74"/>
              <w:spacing w:after="0"/>
              <w:rPr>
                <w:sz w:val="20"/>
                <w:szCs w:val="20"/>
                <w:color w:val="auto"/>
              </w:rPr>
            </w:pPr>
            <w:r>
              <w:rPr>
                <w:rFonts w:ascii="Arial" w:cs="Arial" w:eastAsia="Arial" w:hAnsi="Arial"/>
                <w:sz w:val="18"/>
                <w:szCs w:val="18"/>
                <w:color w:val="auto"/>
              </w:rPr>
              <w:t>1,706</w:t>
            </w:r>
          </w:p>
        </w:tc>
        <w:tc>
          <w:tcPr>
            <w:tcW w:w="100" w:type="dxa"/>
            <w:vAlign w:val="bottom"/>
          </w:tcPr>
          <w:p>
            <w:pPr>
              <w:spacing w:after="0"/>
              <w:rPr>
                <w:sz w:val="24"/>
                <w:szCs w:val="24"/>
                <w:color w:val="auto"/>
              </w:rPr>
            </w:pPr>
          </w:p>
        </w:tc>
        <w:tc>
          <w:tcPr>
            <w:tcW w:w="1300" w:type="dxa"/>
            <w:vAlign w:val="bottom"/>
          </w:tcPr>
          <w:p>
            <w:pPr>
              <w:jc w:val="right"/>
              <w:ind w:right="75"/>
              <w:spacing w:after="0"/>
              <w:rPr>
                <w:sz w:val="20"/>
                <w:szCs w:val="20"/>
                <w:color w:val="auto"/>
              </w:rPr>
            </w:pPr>
            <w:r>
              <w:rPr>
                <w:rFonts w:ascii="Arial" w:cs="Arial" w:eastAsia="Arial" w:hAnsi="Arial"/>
                <w:sz w:val="18"/>
                <w:szCs w:val="18"/>
                <w:color w:val="auto"/>
              </w:rPr>
              <w:t>1,761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54"/>
              <w:spacing w:after="0"/>
              <w:rPr>
                <w:sz w:val="20"/>
                <w:szCs w:val="20"/>
                <w:color w:val="auto"/>
              </w:rPr>
            </w:pPr>
            <w:r>
              <w:rPr>
                <w:rFonts w:ascii="Arial" w:cs="Arial" w:eastAsia="Arial" w:hAnsi="Arial"/>
                <w:sz w:val="18"/>
                <w:szCs w:val="18"/>
                <w:color w:val="auto"/>
              </w:rPr>
              <w:t>1,718</w:t>
            </w:r>
          </w:p>
        </w:tc>
        <w:tc>
          <w:tcPr>
            <w:tcW w:w="120" w:type="dxa"/>
            <w:vAlign w:val="bottom"/>
          </w:tcPr>
          <w:p>
            <w:pPr>
              <w:spacing w:after="0"/>
              <w:rPr>
                <w:sz w:val="24"/>
                <w:szCs w:val="24"/>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1,768</w:t>
            </w:r>
          </w:p>
        </w:tc>
      </w:tr>
      <w:tr>
        <w:trPr>
          <w:trHeight w:val="270"/>
        </w:trPr>
        <w:tc>
          <w:tcPr>
            <w:tcW w:w="1380" w:type="dxa"/>
            <w:vAlign w:val="bottom"/>
          </w:tcPr>
          <w:p>
            <w:pPr>
              <w:jc w:val="right"/>
              <w:ind w:right="74"/>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3"/>
                <w:szCs w:val="23"/>
                <w:color w:val="auto"/>
              </w:rPr>
            </w:pPr>
          </w:p>
        </w:tc>
        <w:tc>
          <w:tcPr>
            <w:tcW w:w="1300" w:type="dxa"/>
            <w:vAlign w:val="bottom"/>
          </w:tcPr>
          <w:p>
            <w:pPr>
              <w:jc w:val="right"/>
              <w:ind w:right="75"/>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54"/>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3"/>
                <w:szCs w:val="23"/>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69</w:t>
            </w:r>
          </w:p>
        </w:tc>
      </w:tr>
      <w:tr>
        <w:trPr>
          <w:trHeight w:val="27"/>
        </w:trPr>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1380" w:type="dxa"/>
            <w:vAlign w:val="bottom"/>
          </w:tcPr>
          <w:p>
            <w:pPr>
              <w:jc w:val="right"/>
              <w:ind w:right="74"/>
              <w:spacing w:after="0"/>
              <w:rPr>
                <w:sz w:val="20"/>
                <w:szCs w:val="20"/>
                <w:color w:val="auto"/>
              </w:rPr>
            </w:pPr>
            <w:r>
              <w:rPr>
                <w:rFonts w:ascii="Arial" w:cs="Arial" w:eastAsia="Arial" w:hAnsi="Arial"/>
                <w:sz w:val="18"/>
                <w:szCs w:val="18"/>
                <w:b w:val="1"/>
                <w:bCs w:val="1"/>
                <w:color w:val="auto"/>
              </w:rPr>
              <w:t>1,775</w:t>
            </w:r>
          </w:p>
        </w:tc>
        <w:tc>
          <w:tcPr>
            <w:tcW w:w="100" w:type="dxa"/>
            <w:vAlign w:val="bottom"/>
          </w:tcPr>
          <w:p>
            <w:pPr>
              <w:spacing w:after="0"/>
              <w:rPr>
                <w:sz w:val="20"/>
                <w:szCs w:val="20"/>
                <w:color w:val="auto"/>
              </w:rPr>
            </w:pPr>
          </w:p>
        </w:tc>
        <w:tc>
          <w:tcPr>
            <w:tcW w:w="1300" w:type="dxa"/>
            <w:vAlign w:val="bottom"/>
          </w:tcPr>
          <w:p>
            <w:pPr>
              <w:jc w:val="right"/>
              <w:ind w:right="75"/>
              <w:spacing w:after="0"/>
              <w:rPr>
                <w:sz w:val="20"/>
                <w:szCs w:val="20"/>
                <w:color w:val="auto"/>
              </w:rPr>
            </w:pPr>
            <w:r>
              <w:rPr>
                <w:rFonts w:ascii="Arial" w:cs="Arial" w:eastAsia="Arial" w:hAnsi="Arial"/>
                <w:sz w:val="18"/>
                <w:szCs w:val="18"/>
                <w:b w:val="1"/>
                <w:bCs w:val="1"/>
                <w:color w:val="auto"/>
              </w:rPr>
              <w:t>1,830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54"/>
              <w:spacing w:after="0"/>
              <w:rPr>
                <w:sz w:val="20"/>
                <w:szCs w:val="20"/>
                <w:color w:val="auto"/>
              </w:rPr>
            </w:pPr>
            <w:r>
              <w:rPr>
                <w:rFonts w:ascii="Arial" w:cs="Arial" w:eastAsia="Arial" w:hAnsi="Arial"/>
                <w:sz w:val="18"/>
                <w:szCs w:val="18"/>
                <w:b w:val="1"/>
                <w:bCs w:val="1"/>
                <w:color w:val="auto"/>
              </w:rPr>
              <w:t>1,787</w:t>
            </w:r>
          </w:p>
        </w:tc>
        <w:tc>
          <w:tcPr>
            <w:tcW w:w="120" w:type="dxa"/>
            <w:vAlign w:val="bottom"/>
          </w:tcPr>
          <w:p>
            <w:pPr>
              <w:spacing w:after="0"/>
              <w:rPr>
                <w:sz w:val="20"/>
                <w:szCs w:val="20"/>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b w:val="1"/>
                <w:bCs w:val="1"/>
                <w:color w:val="auto"/>
              </w:rPr>
              <w:t>1,837</w:t>
            </w:r>
          </w:p>
        </w:tc>
      </w:tr>
      <w:tr>
        <w:trPr>
          <w:trHeight w:val="27"/>
        </w:trPr>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
        </w:trPr>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-3681095</wp:posOffset>
            </wp:positionH>
            <wp:positionV relativeFrom="paragraph">
              <wp:posOffset>-556260</wp:posOffset>
            </wp:positionV>
            <wp:extent cx="706374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63740" cy="171450"/>
                    </a:xfrm>
                    <a:prstGeom prst="rect">
                      <a:avLst/>
                    </a:prstGeom>
                    <a:noFill/>
                  </pic:spPr>
                </pic:pic>
              </a:graphicData>
            </a:graphic>
          </wp:anchor>
        </w:drawing>
        <w:drawing>
          <wp:anchor simplePos="0" relativeHeight="251657728" behindDoc="1" locked="0" layoutInCell="0" allowOverlap="1">
            <wp:simplePos x="0" y="0"/>
            <wp:positionH relativeFrom="column">
              <wp:posOffset>-3681095</wp:posOffset>
            </wp:positionH>
            <wp:positionV relativeFrom="paragraph">
              <wp:posOffset>-213995</wp:posOffset>
            </wp:positionV>
            <wp:extent cx="7063740" cy="1968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63740" cy="196850"/>
                    </a:xfrm>
                    <a:prstGeom prst="rect">
                      <a:avLst/>
                    </a:prstGeom>
                    <a:noFill/>
                  </pic:spPr>
                </pic:pic>
              </a:graphicData>
            </a:graphic>
          </wp:anchor>
        </w:drawing>
      </w:r>
    </w:p>
    <w:p>
      <w:pPr>
        <w:spacing w:after="0" w:line="40" w:lineRule="exact"/>
        <w:rPr>
          <w:sz w:val="20"/>
          <w:szCs w:val="20"/>
          <w:color w:val="auto"/>
        </w:rPr>
      </w:pPr>
    </w:p>
    <w:p>
      <w:pPr>
        <w:sectPr>
          <w:pgSz w:w="11900" w:h="16838" w:orient="portrait"/>
          <w:cols w:equalWidth="0" w:num="2">
            <w:col w:w="5140" w:space="720"/>
            <w:col w:w="5380"/>
          </w:cols>
          <w:pgMar w:left="320" w:top="122"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6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Franchise restaurants opened:</w:t>
            </w:r>
          </w:p>
        </w:tc>
        <w:tc>
          <w:tcPr>
            <w:tcW w:w="13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0"/>
        </w:trPr>
        <w:tc>
          <w:tcPr>
            <w:tcW w:w="60" w:type="dxa"/>
            <w:vAlign w:val="bottom"/>
          </w:tcPr>
          <w:p>
            <w:pPr>
              <w:spacing w:after="0"/>
              <w:rPr>
                <w:sz w:val="23"/>
                <w:szCs w:val="23"/>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Domestic</w:t>
            </w:r>
          </w:p>
        </w:tc>
        <w:tc>
          <w:tcPr>
            <w:tcW w:w="1380" w:type="dxa"/>
            <w:vAlign w:val="bottom"/>
          </w:tcPr>
          <w:p>
            <w:pPr>
              <w:spacing w:after="0"/>
              <w:rPr>
                <w:sz w:val="23"/>
                <w:szCs w:val="23"/>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70"/>
        </w:trPr>
        <w:tc>
          <w:tcPr>
            <w:tcW w:w="60" w:type="dxa"/>
            <w:vAlign w:val="bottom"/>
          </w:tcPr>
          <w:p>
            <w:pPr>
              <w:spacing w:after="0"/>
              <w:rPr>
                <w:sz w:val="23"/>
                <w:szCs w:val="23"/>
                <w:color w:val="auto"/>
              </w:rPr>
            </w:pPr>
          </w:p>
        </w:tc>
        <w:tc>
          <w:tcPr>
            <w:tcW w:w="4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International</w:t>
            </w:r>
          </w:p>
        </w:tc>
        <w:tc>
          <w:tcPr>
            <w:tcW w:w="13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3"/>
                <w:szCs w:val="23"/>
                <w:color w:val="auto"/>
              </w:rPr>
            </w:pPr>
          </w:p>
        </w:tc>
      </w:tr>
      <w:tr>
        <w:trPr>
          <w:trHeight w:val="263"/>
        </w:trPr>
        <w:tc>
          <w:tcPr>
            <w:tcW w:w="60" w:type="dxa"/>
            <w:vAlign w:val="bottom"/>
          </w:tcPr>
          <w:p>
            <w:pPr>
              <w:spacing w:after="0"/>
              <w:rPr>
                <w:sz w:val="22"/>
                <w:szCs w:val="22"/>
                <w:color w:val="auto"/>
              </w:rPr>
            </w:pPr>
          </w:p>
        </w:tc>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franchise restaurants opened</w:t>
            </w:r>
          </w:p>
        </w:tc>
        <w:tc>
          <w:tcPr>
            <w:tcW w:w="1380" w:type="dxa"/>
            <w:vAlign w:val="bottom"/>
            <w:tcBorders>
              <w:bottom w:val="single" w:sz="8" w:color="CCEEFF"/>
            </w:tcBorders>
          </w:tcPr>
          <w:p>
            <w:pPr>
              <w:spacing w:after="0"/>
              <w:rPr>
                <w:sz w:val="22"/>
                <w:szCs w:val="22"/>
                <w:color w:val="auto"/>
              </w:rPr>
            </w:pPr>
          </w:p>
        </w:tc>
        <w:tc>
          <w:tcPr>
            <w:tcW w:w="13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2"/>
                <w:szCs w:val="22"/>
                <w:color w:val="auto"/>
              </w:rPr>
            </w:pPr>
          </w:p>
        </w:tc>
      </w:tr>
      <w:tr>
        <w:trPr>
          <w:trHeight w:val="243"/>
        </w:trPr>
        <w:tc>
          <w:tcPr>
            <w:tcW w:w="60" w:type="dxa"/>
            <w:vAlign w:val="bottom"/>
          </w:tcPr>
          <w:p>
            <w:pPr>
              <w:spacing w:after="0"/>
              <w:rPr>
                <w:sz w:val="21"/>
                <w:szCs w:val="21"/>
                <w:color w:val="auto"/>
              </w:rPr>
            </w:pPr>
          </w:p>
        </w:tc>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Franchise restaurants permanently closed:</w:t>
            </w:r>
          </w:p>
        </w:tc>
        <w:tc>
          <w:tcPr>
            <w:tcW w:w="1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Domestic</w:t>
            </w:r>
          </w:p>
        </w:tc>
        <w:tc>
          <w:tcPr>
            <w:tcW w:w="2760" w:type="dxa"/>
            <w:vAlign w:val="bottom"/>
            <w:gridSpan w:val="2"/>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70"/>
        </w:trPr>
        <w:tc>
          <w:tcPr>
            <w:tcW w:w="60" w:type="dxa"/>
            <w:vAlign w:val="bottom"/>
          </w:tcPr>
          <w:p>
            <w:pPr>
              <w:spacing w:after="0"/>
              <w:rPr>
                <w:sz w:val="23"/>
                <w:szCs w:val="23"/>
                <w:color w:val="auto"/>
              </w:rPr>
            </w:pPr>
          </w:p>
        </w:tc>
        <w:tc>
          <w:tcPr>
            <w:tcW w:w="4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International</w:t>
            </w:r>
          </w:p>
        </w:tc>
        <w:tc>
          <w:tcPr>
            <w:tcW w:w="13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23"/>
                <w:szCs w:val="23"/>
                <w:color w:val="auto"/>
              </w:rPr>
            </w:pPr>
          </w:p>
        </w:tc>
      </w:tr>
      <w:tr>
        <w:trPr>
          <w:trHeight w:val="264"/>
        </w:trPr>
        <w:tc>
          <w:tcPr>
            <w:tcW w:w="60" w:type="dxa"/>
            <w:vAlign w:val="bottom"/>
          </w:tcPr>
          <w:p>
            <w:pPr>
              <w:spacing w:after="0"/>
              <w:rPr>
                <w:sz w:val="22"/>
                <w:szCs w:val="22"/>
                <w:color w:val="auto"/>
              </w:rPr>
            </w:pPr>
          </w:p>
        </w:tc>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franchise restaurants permanently closed</w:t>
            </w:r>
          </w:p>
        </w:tc>
        <w:tc>
          <w:tcPr>
            <w:tcW w:w="1380" w:type="dxa"/>
            <w:vAlign w:val="bottom"/>
            <w:tcBorders>
              <w:bottom w:val="single" w:sz="8" w:color="CCEEFF"/>
            </w:tcBorders>
          </w:tcPr>
          <w:p>
            <w:pPr>
              <w:spacing w:after="0"/>
              <w:rPr>
                <w:sz w:val="22"/>
                <w:szCs w:val="22"/>
                <w:color w:val="auto"/>
              </w:rPr>
            </w:pPr>
          </w:p>
        </w:tc>
        <w:tc>
          <w:tcPr>
            <w:tcW w:w="1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22"/>
                <w:szCs w:val="22"/>
                <w:color w:val="auto"/>
              </w:rPr>
            </w:pPr>
          </w:p>
        </w:tc>
      </w:tr>
      <w:tr>
        <w:trPr>
          <w:trHeight w:val="256"/>
        </w:trPr>
        <w:tc>
          <w:tcPr>
            <w:tcW w:w="60" w:type="dxa"/>
            <w:vAlign w:val="bottom"/>
          </w:tcPr>
          <w:p>
            <w:pPr>
              <w:spacing w:after="0"/>
              <w:rPr>
                <w:sz w:val="22"/>
                <w:szCs w:val="22"/>
                <w:color w:val="auto"/>
              </w:rPr>
            </w:pPr>
          </w:p>
        </w:tc>
        <w:tc>
          <w:tcPr>
            <w:tcW w:w="4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franchise restaurant reduction</w:t>
            </w:r>
          </w:p>
        </w:tc>
        <w:tc>
          <w:tcPr>
            <w:tcW w:w="27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w:t>
            </w: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(15)</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(38)</w:t>
            </w: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(22)</w:t>
            </w:r>
          </w:p>
        </w:tc>
        <w:tc>
          <w:tcPr>
            <w:tcW w:w="60" w:type="dxa"/>
            <w:vAlign w:val="bottom"/>
          </w:tcPr>
          <w:p>
            <w:pPr>
              <w:spacing w:after="0"/>
              <w:rPr>
                <w:sz w:val="22"/>
                <w:szCs w:val="22"/>
                <w:color w:val="auto"/>
              </w:rPr>
            </w:pPr>
          </w:p>
        </w:tc>
      </w:tr>
      <w:tr>
        <w:trPr>
          <w:trHeight w:val="20"/>
        </w:trPr>
        <w:tc>
          <w:tcPr>
            <w:tcW w:w="60" w:type="dxa"/>
            <w:vAlign w:val="bottom"/>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
        </w:trPr>
        <w:tc>
          <w:tcPr>
            <w:tcW w:w="60" w:type="dxa"/>
            <w:vAlign w:val="bottom"/>
          </w:tcPr>
          <w:p>
            <w:pPr>
              <w:spacing w:after="0"/>
              <w:rPr>
                <w:sz w:val="3"/>
                <w:szCs w:val="3"/>
                <w:color w:val="auto"/>
              </w:rPr>
            </w:pPr>
          </w:p>
        </w:tc>
        <w:tc>
          <w:tcPr>
            <w:tcW w:w="44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50"/>
        </w:trPr>
        <w:tc>
          <w:tcPr>
            <w:tcW w:w="60" w:type="dxa"/>
            <w:vAlign w:val="bottom"/>
          </w:tcPr>
          <w:p>
            <w:pPr>
              <w:spacing w:after="0"/>
              <w:rPr>
                <w:sz w:val="21"/>
                <w:szCs w:val="21"/>
                <w:color w:val="auto"/>
              </w:rPr>
            </w:pPr>
          </w:p>
        </w:tc>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Summary - end of period:</w:t>
            </w:r>
          </w:p>
        </w:tc>
        <w:tc>
          <w:tcPr>
            <w:tcW w:w="1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70"/>
        </w:trPr>
        <w:tc>
          <w:tcPr>
            <w:tcW w:w="60" w:type="dxa"/>
            <w:vAlign w:val="bottom"/>
          </w:tcPr>
          <w:p>
            <w:pPr>
              <w:spacing w:after="0"/>
              <w:rPr>
                <w:sz w:val="23"/>
                <w:szCs w:val="23"/>
                <w:color w:val="auto"/>
              </w:rPr>
            </w:pPr>
          </w:p>
        </w:tc>
        <w:tc>
          <w:tcPr>
            <w:tcW w:w="4420" w:type="dxa"/>
            <w:vAlign w:val="bottom"/>
          </w:tcPr>
          <w:p>
            <w:pPr>
              <w:ind w:left="260"/>
              <w:spacing w:after="0"/>
              <w:rPr>
                <w:sz w:val="20"/>
                <w:szCs w:val="20"/>
                <w:color w:val="auto"/>
              </w:rPr>
            </w:pPr>
            <w:r>
              <w:rPr>
                <w:rFonts w:ascii="Arial" w:cs="Arial" w:eastAsia="Arial" w:hAnsi="Arial"/>
                <w:sz w:val="18"/>
                <w:szCs w:val="18"/>
                <w:color w:val="auto"/>
              </w:rPr>
              <w:t>Franchise</w:t>
            </w:r>
          </w:p>
        </w:tc>
        <w:tc>
          <w:tcPr>
            <w:tcW w:w="2760" w:type="dxa"/>
            <w:vAlign w:val="bottom"/>
            <w:gridSpan w:val="2"/>
          </w:tcPr>
          <w:p>
            <w:pPr>
              <w:jc w:val="right"/>
              <w:ind w:right="70"/>
              <w:spacing w:after="0"/>
              <w:rPr>
                <w:sz w:val="20"/>
                <w:szCs w:val="20"/>
                <w:color w:val="auto"/>
              </w:rPr>
            </w:pPr>
            <w:r>
              <w:rPr>
                <w:rFonts w:ascii="Arial" w:cs="Arial" w:eastAsia="Arial" w:hAnsi="Arial"/>
                <w:sz w:val="18"/>
                <w:szCs w:val="18"/>
                <w:color w:val="auto"/>
              </w:rPr>
              <w:t>1,680</w:t>
            </w:r>
          </w:p>
        </w:tc>
        <w:tc>
          <w:tcPr>
            <w:tcW w:w="100" w:type="dxa"/>
            <w:vAlign w:val="bottom"/>
          </w:tcPr>
          <w:p>
            <w:pPr>
              <w:spacing w:after="0"/>
              <w:rPr>
                <w:sz w:val="23"/>
                <w:szCs w:val="23"/>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1,746</w:t>
            </w:r>
          </w:p>
        </w:tc>
        <w:tc>
          <w:tcPr>
            <w:tcW w:w="100" w:type="dxa"/>
            <w:vAlign w:val="bottom"/>
          </w:tcPr>
          <w:p>
            <w:pPr>
              <w:spacing w:after="0"/>
              <w:rPr>
                <w:sz w:val="23"/>
                <w:szCs w:val="23"/>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1,680</w:t>
            </w:r>
          </w:p>
        </w:tc>
        <w:tc>
          <w:tcPr>
            <w:tcW w:w="120" w:type="dxa"/>
            <w:vAlign w:val="bottom"/>
          </w:tcPr>
          <w:p>
            <w:pPr>
              <w:spacing w:after="0"/>
              <w:rPr>
                <w:sz w:val="23"/>
                <w:szCs w:val="23"/>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1,746</w:t>
            </w:r>
          </w:p>
        </w:tc>
        <w:tc>
          <w:tcPr>
            <w:tcW w:w="60" w:type="dxa"/>
            <w:vAlign w:val="bottom"/>
          </w:tcPr>
          <w:p>
            <w:pPr>
              <w:spacing w:after="0"/>
              <w:rPr>
                <w:sz w:val="23"/>
                <w:szCs w:val="23"/>
                <w:color w:val="auto"/>
              </w:rPr>
            </w:pPr>
          </w:p>
        </w:tc>
      </w:tr>
      <w:tr>
        <w:trPr>
          <w:trHeight w:val="270"/>
        </w:trPr>
        <w:tc>
          <w:tcPr>
            <w:tcW w:w="60" w:type="dxa"/>
            <w:vAlign w:val="bottom"/>
          </w:tcPr>
          <w:p>
            <w:pPr>
              <w:spacing w:after="0"/>
              <w:rPr>
                <w:sz w:val="23"/>
                <w:szCs w:val="23"/>
                <w:color w:val="auto"/>
              </w:rPr>
            </w:pPr>
          </w:p>
        </w:tc>
        <w:tc>
          <w:tcPr>
            <w:tcW w:w="44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Company restaurants</w:t>
            </w:r>
          </w:p>
        </w:tc>
        <w:tc>
          <w:tcPr>
            <w:tcW w:w="1380" w:type="dxa"/>
            <w:vAlign w:val="bottom"/>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23"/>
                <w:szCs w:val="23"/>
                <w:color w:val="auto"/>
              </w:rPr>
            </w:pPr>
          </w:p>
        </w:tc>
      </w:tr>
      <w:tr>
        <w:trPr>
          <w:trHeight w:val="263"/>
        </w:trPr>
        <w:tc>
          <w:tcPr>
            <w:tcW w:w="60" w:type="dxa"/>
            <w:vAlign w:val="bottom"/>
          </w:tcPr>
          <w:p>
            <w:pPr>
              <w:spacing w:after="0"/>
              <w:rPr>
                <w:sz w:val="22"/>
                <w:szCs w:val="22"/>
                <w:color w:val="auto"/>
              </w:rPr>
            </w:pPr>
          </w:p>
        </w:tc>
        <w:tc>
          <w:tcPr>
            <w:tcW w:w="4420" w:type="dxa"/>
            <w:vAlign w:val="bottom"/>
          </w:tcPr>
          <w:p>
            <w:pPr>
              <w:ind w:left="20"/>
              <w:spacing w:after="0"/>
              <w:rPr>
                <w:sz w:val="20"/>
                <w:szCs w:val="20"/>
                <w:color w:val="auto"/>
              </w:rPr>
            </w:pPr>
            <w:r>
              <w:rPr>
                <w:rFonts w:ascii="Arial" w:cs="Arial" w:eastAsia="Arial" w:hAnsi="Arial"/>
                <w:sz w:val="18"/>
                <w:szCs w:val="18"/>
                <w:b w:val="1"/>
                <w:bCs w:val="1"/>
                <w:color w:val="auto"/>
              </w:rPr>
              <w:t>Total Applebee's restaurants, end of period</w:t>
            </w:r>
          </w:p>
        </w:tc>
        <w:tc>
          <w:tcPr>
            <w:tcW w:w="27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1,749</w:t>
            </w:r>
          </w:p>
        </w:tc>
        <w:tc>
          <w:tcPr>
            <w:tcW w:w="100" w:type="dxa"/>
            <w:vAlign w:val="bottom"/>
          </w:tcPr>
          <w:p>
            <w:pPr>
              <w:spacing w:after="0"/>
              <w:rPr>
                <w:sz w:val="22"/>
                <w:szCs w:val="22"/>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b w:val="1"/>
                <w:bCs w:val="1"/>
                <w:color w:val="auto"/>
              </w:rPr>
              <w:t>1,815</w:t>
            </w:r>
          </w:p>
        </w:tc>
        <w:tc>
          <w:tcPr>
            <w:tcW w:w="100" w:type="dxa"/>
            <w:vAlign w:val="bottom"/>
          </w:tcPr>
          <w:p>
            <w:pPr>
              <w:spacing w:after="0"/>
              <w:rPr>
                <w:sz w:val="22"/>
                <w:szCs w:val="22"/>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b w:val="1"/>
                <w:bCs w:val="1"/>
                <w:color w:val="auto"/>
              </w:rPr>
              <w:t>1,749</w:t>
            </w:r>
          </w:p>
        </w:tc>
        <w:tc>
          <w:tcPr>
            <w:tcW w:w="120" w:type="dxa"/>
            <w:vAlign w:val="bottom"/>
          </w:tcPr>
          <w:p>
            <w:pPr>
              <w:spacing w:after="0"/>
              <w:rPr>
                <w:sz w:val="22"/>
                <w:szCs w:val="22"/>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b w:val="1"/>
                <w:bCs w:val="1"/>
                <w:color w:val="auto"/>
              </w:rPr>
              <w:t>1,815</w:t>
            </w:r>
          </w:p>
        </w:tc>
        <w:tc>
          <w:tcPr>
            <w:tcW w:w="60" w:type="dxa"/>
            <w:vAlign w:val="bottom"/>
          </w:tcPr>
          <w:p>
            <w:pPr>
              <w:spacing w:after="0"/>
              <w:rPr>
                <w:sz w:val="22"/>
                <w:szCs w:val="22"/>
                <w:color w:val="auto"/>
              </w:rPr>
            </w:pPr>
          </w:p>
        </w:tc>
      </w:tr>
      <w:tr>
        <w:trPr>
          <w:trHeight w:val="20"/>
        </w:trPr>
        <w:tc>
          <w:tcPr>
            <w:tcW w:w="60" w:type="dxa"/>
            <w:vAlign w:val="bottom"/>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4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Domestic</w:t>
            </w:r>
          </w:p>
        </w:tc>
        <w:tc>
          <w:tcPr>
            <w:tcW w:w="2760" w:type="dxa"/>
            <w:vAlign w:val="bottom"/>
            <w:gridSpan w:val="2"/>
            <w:shd w:val="clear" w:color="auto" w:fill="CCEEFF"/>
          </w:tcPr>
          <w:p>
            <w:pPr>
              <w:jc w:val="right"/>
              <w:ind w:right="70"/>
              <w:spacing w:after="0"/>
              <w:rPr>
                <w:sz w:val="20"/>
                <w:szCs w:val="20"/>
                <w:color w:val="auto"/>
              </w:rPr>
            </w:pPr>
            <w:r>
              <w:rPr>
                <w:rFonts w:ascii="Arial" w:cs="Arial" w:eastAsia="Arial" w:hAnsi="Arial"/>
                <w:sz w:val="16"/>
                <w:szCs w:val="16"/>
                <w:color w:val="auto"/>
              </w:rPr>
              <w:t>1,633</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72"/>
              <w:spacing w:after="0"/>
              <w:rPr>
                <w:sz w:val="20"/>
                <w:szCs w:val="20"/>
                <w:color w:val="auto"/>
              </w:rPr>
            </w:pPr>
            <w:r>
              <w:rPr>
                <w:rFonts w:ascii="Arial" w:cs="Arial" w:eastAsia="Arial" w:hAnsi="Arial"/>
                <w:sz w:val="16"/>
                <w:szCs w:val="16"/>
                <w:color w:val="auto"/>
              </w:rPr>
              <w:t>1,676</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6"/>
                <w:szCs w:val="16"/>
                <w:color w:val="auto"/>
              </w:rPr>
              <w:t>1,633</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6"/>
                <w:szCs w:val="16"/>
                <w:color w:val="auto"/>
              </w:rPr>
              <w:t>1,676</w:t>
            </w:r>
          </w:p>
        </w:tc>
        <w:tc>
          <w:tcPr>
            <w:tcW w:w="60" w:type="dxa"/>
            <w:vAlign w:val="bottom"/>
          </w:tcPr>
          <w:p>
            <w:pPr>
              <w:spacing w:after="0"/>
              <w:rPr>
                <w:sz w:val="21"/>
                <w:szCs w:val="21"/>
                <w:color w:val="auto"/>
              </w:rPr>
            </w:pPr>
          </w:p>
        </w:tc>
      </w:tr>
      <w:tr>
        <w:trPr>
          <w:trHeight w:val="250"/>
        </w:trPr>
        <w:tc>
          <w:tcPr>
            <w:tcW w:w="60" w:type="dxa"/>
            <w:vAlign w:val="bottom"/>
          </w:tcPr>
          <w:p>
            <w:pPr>
              <w:spacing w:after="0"/>
              <w:rPr>
                <w:sz w:val="21"/>
                <w:szCs w:val="21"/>
                <w:color w:val="auto"/>
              </w:rPr>
            </w:pPr>
          </w:p>
        </w:tc>
        <w:tc>
          <w:tcPr>
            <w:tcW w:w="4420" w:type="dxa"/>
            <w:vAlign w:val="bottom"/>
          </w:tcPr>
          <w:p>
            <w:pPr>
              <w:ind w:left="340"/>
              <w:spacing w:after="0"/>
              <w:rPr>
                <w:sz w:val="20"/>
                <w:szCs w:val="20"/>
                <w:color w:val="auto"/>
              </w:rPr>
            </w:pPr>
            <w:r>
              <w:rPr>
                <w:rFonts w:ascii="Arial" w:cs="Arial" w:eastAsia="Arial" w:hAnsi="Arial"/>
                <w:sz w:val="16"/>
                <w:szCs w:val="16"/>
                <w:color w:val="auto"/>
              </w:rPr>
              <w:t>International</w:t>
            </w:r>
          </w:p>
        </w:tc>
        <w:tc>
          <w:tcPr>
            <w:tcW w:w="2760" w:type="dxa"/>
            <w:vAlign w:val="bottom"/>
            <w:gridSpan w:val="2"/>
          </w:tcPr>
          <w:p>
            <w:pPr>
              <w:jc w:val="right"/>
              <w:ind w:right="70"/>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21"/>
                <w:szCs w:val="21"/>
                <w:color w:val="auto"/>
              </w:rPr>
            </w:pPr>
          </w:p>
        </w:tc>
        <w:tc>
          <w:tcPr>
            <w:tcW w:w="1300" w:type="dxa"/>
            <w:vAlign w:val="bottom"/>
          </w:tcPr>
          <w:p>
            <w:pPr>
              <w:jc w:val="right"/>
              <w:ind w:right="72"/>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6"/>
                <w:szCs w:val="16"/>
                <w:color w:val="auto"/>
              </w:rPr>
              <w:t>139</w:t>
            </w:r>
          </w:p>
        </w:tc>
        <w:tc>
          <w:tcPr>
            <w:tcW w:w="60" w:type="dxa"/>
            <w:vAlign w:val="bottom"/>
          </w:tcPr>
          <w:p>
            <w:pPr>
              <w:spacing w:after="0"/>
              <w:rPr>
                <w:sz w:val="21"/>
                <w:szCs w:val="21"/>
                <w:color w:val="auto"/>
              </w:rPr>
            </w:pPr>
          </w:p>
        </w:tc>
      </w:tr>
      <w:tr>
        <w:trPr>
          <w:trHeight w:val="924"/>
        </w:trPr>
        <w:tc>
          <w:tcPr>
            <w:tcW w:w="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38</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60" w:type="dxa"/>
            <w:vAlign w:val="bottom"/>
            <w:tcBorders>
              <w:bottom w:val="single" w:sz="8" w:color="9A9A9A"/>
            </w:tcBorders>
          </w:tcPr>
          <w:p>
            <w:pPr>
              <w:spacing w:after="0"/>
              <w:rPr>
                <w:sz w:val="10"/>
                <w:szCs w:val="10"/>
                <w:color w:val="auto"/>
              </w:rPr>
            </w:pPr>
          </w:p>
        </w:tc>
        <w:tc>
          <w:tcPr>
            <w:tcW w:w="44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1" w:name="page42"/>
    <w:bookmarkEnd w:id="4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Restaurant Development Activity</w:t>
            </w:r>
          </w:p>
        </w:tc>
        <w:tc>
          <w:tcPr>
            <w:tcW w:w="2880" w:type="dxa"/>
            <w:vAlign w:val="bottom"/>
            <w:gridSpan w:val="4"/>
          </w:tcPr>
          <w:p>
            <w:pPr>
              <w:ind w:left="380"/>
              <w:spacing w:after="0"/>
              <w:rPr>
                <w:sz w:val="20"/>
                <w:szCs w:val="20"/>
                <w:color w:val="auto"/>
              </w:rPr>
            </w:pPr>
            <w:r>
              <w:rPr>
                <w:rFonts w:ascii="Arial" w:cs="Arial" w:eastAsia="Arial" w:hAnsi="Arial"/>
                <w:sz w:val="16"/>
                <w:szCs w:val="16"/>
                <w:b w:val="1"/>
                <w:bCs w:val="1"/>
                <w:color w:val="auto"/>
              </w:rPr>
              <w:t>Three months ended June 30,</w:t>
            </w:r>
          </w:p>
        </w:tc>
        <w:tc>
          <w:tcPr>
            <w:tcW w:w="2440" w:type="dxa"/>
            <w:vAlign w:val="bottom"/>
            <w:gridSpan w:val="3"/>
          </w:tcPr>
          <w:p>
            <w:pPr>
              <w:jc w:val="right"/>
              <w:ind w:right="211"/>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380" w:type="dxa"/>
            <w:vAlign w:val="bottom"/>
          </w:tcPr>
          <w:p>
            <w:pPr>
              <w:jc w:val="right"/>
              <w:ind w:right="43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300" w:type="dxa"/>
            <w:vAlign w:val="bottom"/>
          </w:tcPr>
          <w:p>
            <w:pPr>
              <w:jc w:val="right"/>
              <w:ind w:right="41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240" w:type="dxa"/>
            <w:vAlign w:val="bottom"/>
          </w:tcPr>
          <w:p>
            <w:pPr>
              <w:jc w:val="right"/>
              <w:ind w:right="37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100" w:type="dxa"/>
            <w:vAlign w:val="bottom"/>
          </w:tcPr>
          <w:p>
            <w:pPr>
              <w:jc w:val="right"/>
              <w:ind w:right="29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60" w:type="dxa"/>
            <w:vAlign w:val="bottom"/>
            <w:vMerge w:val="restart"/>
          </w:tcPr>
          <w:p>
            <w:pPr>
              <w:spacing w:after="0"/>
              <w:rPr>
                <w:sz w:val="20"/>
                <w:szCs w:val="20"/>
                <w:color w:val="auto"/>
              </w:rPr>
            </w:pPr>
            <w:r>
              <w:rPr>
                <w:rFonts w:ascii="Arial" w:cs="Arial" w:eastAsia="Arial" w:hAnsi="Arial"/>
                <w:sz w:val="18"/>
                <w:szCs w:val="18"/>
                <w:b w:val="1"/>
                <w:bCs w:val="1"/>
                <w:color w:val="auto"/>
                <w:w w:val="99"/>
              </w:rPr>
              <w:t>IHOP</w:t>
            </w:r>
          </w:p>
        </w:tc>
        <w:tc>
          <w:tcPr>
            <w:tcW w:w="5320" w:type="dxa"/>
            <w:vAlign w:val="bottom"/>
            <w:vMerge w:val="restart"/>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5320" w:type="dxa"/>
            <w:vAlign w:val="bottom"/>
            <w:vMerge w:val="continue"/>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Summary - beginning of period:</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5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Franchise</w:t>
            </w:r>
          </w:p>
        </w:tc>
        <w:tc>
          <w:tcPr>
            <w:tcW w:w="13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1,680</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1,663</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1,680</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1,669</w:t>
            </w:r>
          </w:p>
        </w:tc>
        <w:tc>
          <w:tcPr>
            <w:tcW w:w="0" w:type="dxa"/>
            <w:vAlign w:val="bottom"/>
          </w:tcPr>
          <w:p>
            <w:pPr>
              <w:spacing w:after="0"/>
              <w:rPr>
                <w:sz w:val="1"/>
                <w:szCs w:val="1"/>
                <w:color w:val="auto"/>
              </w:rPr>
            </w:pPr>
          </w:p>
        </w:tc>
      </w:tr>
      <w:tr>
        <w:trPr>
          <w:trHeight w:val="270"/>
        </w:trPr>
        <w:tc>
          <w:tcPr>
            <w:tcW w:w="20" w:type="dxa"/>
            <w:vAlign w:val="bottom"/>
            <w:tcBorders>
              <w:bottom w:val="single" w:sz="8" w:color="CCEEFF"/>
            </w:tcBorders>
          </w:tcPr>
          <w:p>
            <w:pPr>
              <w:spacing w:after="0"/>
              <w:rPr>
                <w:sz w:val="23"/>
                <w:szCs w:val="23"/>
                <w:color w:val="auto"/>
              </w:rPr>
            </w:pPr>
          </w:p>
        </w:tc>
        <w:tc>
          <w:tcPr>
            <w:tcW w:w="578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Area license</w:t>
            </w:r>
          </w:p>
        </w:tc>
        <w:tc>
          <w:tcPr>
            <w:tcW w:w="13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tcPr>
          <w:p>
            <w:pPr>
              <w:spacing w:after="0"/>
              <w:rPr>
                <w:sz w:val="23"/>
                <w:szCs w:val="23"/>
                <w:color w:val="auto"/>
              </w:rPr>
            </w:pPr>
          </w:p>
        </w:tc>
        <w:tc>
          <w:tcPr>
            <w:tcW w:w="13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tcPr>
          <w:p>
            <w:pPr>
              <w:spacing w:after="0"/>
              <w:rPr>
                <w:sz w:val="23"/>
                <w:szCs w:val="23"/>
                <w:color w:val="auto"/>
              </w:rPr>
            </w:pPr>
          </w:p>
        </w:tc>
        <w:tc>
          <w:tcPr>
            <w:tcW w:w="11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IHOP restaurants, beginning of period</w:t>
            </w:r>
          </w:p>
        </w:tc>
        <w:tc>
          <w:tcPr>
            <w:tcW w:w="13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1,840</w:t>
            </w: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1,822</w:t>
            </w: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1,841</w:t>
            </w:r>
          </w:p>
        </w:tc>
        <w:tc>
          <w:tcPr>
            <w:tcW w:w="1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1,831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53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1"/>
        </w:trPr>
        <w:tc>
          <w:tcPr>
            <w:tcW w:w="20" w:type="dxa"/>
            <w:vAlign w:val="bottom"/>
            <w:tcBorders>
              <w:bottom w:val="single" w:sz="8" w:color="CCEEFF"/>
            </w:tcBorders>
            <w:shd w:val="clear" w:color="auto" w:fill="CCEEFF"/>
          </w:tcPr>
          <w:p>
            <w:pPr>
              <w:spacing w:after="0"/>
              <w:rPr>
                <w:sz w:val="21"/>
                <w:szCs w:val="21"/>
                <w:color w:val="auto"/>
              </w:rPr>
            </w:pPr>
          </w:p>
        </w:tc>
        <w:tc>
          <w:tcPr>
            <w:tcW w:w="5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Franchise/area license restaurants opened:</w:t>
            </w: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780" w:type="dxa"/>
            <w:vAlign w:val="bottom"/>
            <w:gridSpan w:val="2"/>
          </w:tcPr>
          <w:p>
            <w:pPr>
              <w:ind w:left="280"/>
              <w:spacing w:after="0"/>
              <w:rPr>
                <w:sz w:val="20"/>
                <w:szCs w:val="20"/>
                <w:color w:val="auto"/>
              </w:rPr>
            </w:pPr>
            <w:r>
              <w:rPr>
                <w:rFonts w:ascii="Arial" w:cs="Arial" w:eastAsia="Arial" w:hAnsi="Arial"/>
                <w:sz w:val="18"/>
                <w:szCs w:val="18"/>
                <w:color w:val="auto"/>
              </w:rPr>
              <w:t>Domestic franchise</w:t>
            </w: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3"/>
                <w:szCs w:val="23"/>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5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Domestic area license</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20" w:type="dxa"/>
            <w:vAlign w:val="bottom"/>
            <w:tcBorders>
              <w:bottom w:val="single" w:sz="8" w:color="CCEEFF"/>
            </w:tcBorders>
          </w:tcPr>
          <w:p>
            <w:pPr>
              <w:spacing w:after="0"/>
              <w:rPr>
                <w:sz w:val="23"/>
                <w:szCs w:val="23"/>
                <w:color w:val="auto"/>
              </w:rPr>
            </w:pPr>
          </w:p>
        </w:tc>
        <w:tc>
          <w:tcPr>
            <w:tcW w:w="578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International franchise</w:t>
            </w:r>
          </w:p>
        </w:tc>
        <w:tc>
          <w:tcPr>
            <w:tcW w:w="14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3"/>
                <w:szCs w:val="23"/>
                <w:color w:val="auto"/>
              </w:rPr>
            </w:pPr>
          </w:p>
        </w:tc>
        <w:tc>
          <w:tcPr>
            <w:tcW w:w="11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franchise/area license restaurants opened</w:t>
            </w:r>
          </w:p>
        </w:tc>
        <w:tc>
          <w:tcPr>
            <w:tcW w:w="13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Franchise/area license restaurants permanently closed:</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5780" w:type="dxa"/>
            <w:vAlign w:val="bottom"/>
            <w:gridSpan w:val="2"/>
          </w:tcPr>
          <w:p>
            <w:pPr>
              <w:ind w:left="280"/>
              <w:spacing w:after="0"/>
              <w:rPr>
                <w:sz w:val="20"/>
                <w:szCs w:val="20"/>
                <w:color w:val="auto"/>
              </w:rPr>
            </w:pPr>
            <w:r>
              <w:rPr>
                <w:rFonts w:ascii="Arial" w:cs="Arial" w:eastAsia="Arial" w:hAnsi="Arial"/>
                <w:sz w:val="18"/>
                <w:szCs w:val="18"/>
                <w:color w:val="auto"/>
              </w:rPr>
              <w:t>Domestic franchise</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4"/>
                <w:szCs w:val="24"/>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5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Domestic area license</w:t>
            </w: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780" w:type="dxa"/>
            <w:vAlign w:val="bottom"/>
            <w:gridSpan w:val="2"/>
          </w:tcPr>
          <w:p>
            <w:pPr>
              <w:ind w:left="280"/>
              <w:spacing w:after="0"/>
              <w:rPr>
                <w:sz w:val="20"/>
                <w:szCs w:val="20"/>
                <w:color w:val="auto"/>
              </w:rPr>
            </w:pPr>
            <w:r>
              <w:rPr>
                <w:rFonts w:ascii="Arial" w:cs="Arial" w:eastAsia="Arial" w:hAnsi="Arial"/>
                <w:sz w:val="18"/>
                <w:szCs w:val="18"/>
                <w:color w:val="auto"/>
              </w:rPr>
              <w:t>International franchise</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5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International area license</w:t>
            </w: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0" w:type="dxa"/>
            <w:vAlign w:val="bottom"/>
            <w:tcBorders>
              <w:bottom w:val="single" w:sz="8" w:color="CCEEFF"/>
            </w:tcBorders>
          </w:tcPr>
          <w:p>
            <w:pPr>
              <w:spacing w:after="0"/>
              <w:rPr>
                <w:sz w:val="22"/>
                <w:szCs w:val="22"/>
                <w:color w:val="auto"/>
              </w:rPr>
            </w:pPr>
          </w:p>
        </w:tc>
        <w:tc>
          <w:tcPr>
            <w:tcW w:w="57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franchise/area license restaurants permanently closed</w:t>
            </w:r>
          </w:p>
        </w:tc>
        <w:tc>
          <w:tcPr>
            <w:tcW w:w="13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5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franchise/area license restaurant (reduction) addition</w:t>
            </w: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53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Summary - end of period:</w:t>
            </w: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780" w:type="dxa"/>
            <w:vAlign w:val="bottom"/>
            <w:gridSpan w:val="2"/>
          </w:tcPr>
          <w:p>
            <w:pPr>
              <w:ind w:left="320"/>
              <w:spacing w:after="0"/>
              <w:rPr>
                <w:sz w:val="20"/>
                <w:szCs w:val="20"/>
                <w:color w:val="auto"/>
              </w:rPr>
            </w:pPr>
            <w:r>
              <w:rPr>
                <w:rFonts w:ascii="Arial" w:cs="Arial" w:eastAsia="Arial" w:hAnsi="Arial"/>
                <w:sz w:val="18"/>
                <w:szCs w:val="18"/>
                <w:color w:val="auto"/>
              </w:rPr>
              <w:t>Franchise</w:t>
            </w: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1,666</w:t>
            </w:r>
          </w:p>
        </w:tc>
        <w:tc>
          <w:tcPr>
            <w:tcW w:w="100" w:type="dxa"/>
            <w:vAlign w:val="bottom"/>
          </w:tcPr>
          <w:p>
            <w:pPr>
              <w:spacing w:after="0"/>
              <w:rPr>
                <w:sz w:val="23"/>
                <w:szCs w:val="23"/>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1,669</w:t>
            </w:r>
          </w:p>
        </w:tc>
        <w:tc>
          <w:tcPr>
            <w:tcW w:w="100" w:type="dxa"/>
            <w:vAlign w:val="bottom"/>
          </w:tcPr>
          <w:p>
            <w:pPr>
              <w:spacing w:after="0"/>
              <w:rPr>
                <w:sz w:val="23"/>
                <w:szCs w:val="23"/>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1,666</w:t>
            </w:r>
          </w:p>
        </w:tc>
        <w:tc>
          <w:tcPr>
            <w:tcW w:w="100" w:type="dxa"/>
            <w:vAlign w:val="bottom"/>
          </w:tcPr>
          <w:p>
            <w:pPr>
              <w:spacing w:after="0"/>
              <w:rPr>
                <w:sz w:val="23"/>
                <w:szCs w:val="23"/>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1,669</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5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Area license</w:t>
            </w:r>
          </w:p>
        </w:tc>
        <w:tc>
          <w:tcPr>
            <w:tcW w:w="13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Total IHOP restaurants, end of period</w:t>
            </w:r>
          </w:p>
        </w:tc>
        <w:tc>
          <w:tcPr>
            <w:tcW w:w="13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1,823</w:t>
            </w:r>
          </w:p>
        </w:tc>
        <w:tc>
          <w:tcPr>
            <w:tcW w:w="100" w:type="dxa"/>
            <w:vAlign w:val="bottom"/>
          </w:tcPr>
          <w:p>
            <w:pPr>
              <w:spacing w:after="0"/>
              <w:rPr>
                <w:sz w:val="22"/>
                <w:szCs w:val="22"/>
                <w:color w:val="auto"/>
              </w:rPr>
            </w:pPr>
          </w:p>
        </w:tc>
        <w:tc>
          <w:tcPr>
            <w:tcW w:w="13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1,828</w:t>
            </w:r>
          </w:p>
        </w:tc>
        <w:tc>
          <w:tcPr>
            <w:tcW w:w="100" w:type="dxa"/>
            <w:vAlign w:val="bottom"/>
          </w:tcPr>
          <w:p>
            <w:pPr>
              <w:spacing w:after="0"/>
              <w:rPr>
                <w:sz w:val="22"/>
                <w:szCs w:val="22"/>
                <w:color w:val="auto"/>
              </w:rPr>
            </w:pP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1,823</w:t>
            </w:r>
          </w:p>
        </w:tc>
        <w:tc>
          <w:tcPr>
            <w:tcW w:w="100" w:type="dxa"/>
            <w:vAlign w:val="bottom"/>
          </w:tcPr>
          <w:p>
            <w:pPr>
              <w:spacing w:after="0"/>
              <w:rPr>
                <w:sz w:val="22"/>
                <w:szCs w:val="22"/>
                <w:color w:val="auto"/>
              </w:rPr>
            </w:pPr>
          </w:p>
        </w:tc>
        <w:tc>
          <w:tcPr>
            <w:tcW w:w="11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1,828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53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578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Domestic</w:t>
            </w:r>
          </w:p>
        </w:tc>
        <w:tc>
          <w:tcPr>
            <w:tcW w:w="1380" w:type="dxa"/>
            <w:vAlign w:val="bottom"/>
            <w:shd w:val="clear" w:color="auto" w:fill="CCEEFF"/>
          </w:tcPr>
          <w:p>
            <w:pPr>
              <w:jc w:val="right"/>
              <w:ind w:right="72"/>
              <w:spacing w:after="0"/>
              <w:rPr>
                <w:sz w:val="20"/>
                <w:szCs w:val="20"/>
                <w:color w:val="auto"/>
              </w:rPr>
            </w:pPr>
            <w:r>
              <w:rPr>
                <w:rFonts w:ascii="Arial" w:cs="Arial" w:eastAsia="Arial" w:hAnsi="Arial"/>
                <w:sz w:val="16"/>
                <w:szCs w:val="16"/>
                <w:color w:val="auto"/>
              </w:rPr>
              <w:t>1,696</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71"/>
              <w:spacing w:after="0"/>
              <w:rPr>
                <w:sz w:val="20"/>
                <w:szCs w:val="20"/>
                <w:color w:val="auto"/>
              </w:rPr>
            </w:pPr>
            <w:r>
              <w:rPr>
                <w:rFonts w:ascii="Arial" w:cs="Arial" w:eastAsia="Arial" w:hAnsi="Arial"/>
                <w:sz w:val="16"/>
                <w:szCs w:val="16"/>
                <w:color w:val="auto"/>
              </w:rPr>
              <w:t>1,705</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6"/>
                <w:szCs w:val="16"/>
                <w:color w:val="auto"/>
              </w:rPr>
              <w:t>1,696</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6"/>
                <w:szCs w:val="16"/>
                <w:color w:val="auto"/>
              </w:rPr>
              <w:t>1,705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780" w:type="dxa"/>
            <w:vAlign w:val="bottom"/>
            <w:gridSpan w:val="2"/>
          </w:tcPr>
          <w:p>
            <w:pPr>
              <w:ind w:left="320"/>
              <w:spacing w:after="0"/>
              <w:rPr>
                <w:sz w:val="20"/>
                <w:szCs w:val="20"/>
                <w:color w:val="auto"/>
              </w:rPr>
            </w:pPr>
            <w:r>
              <w:rPr>
                <w:rFonts w:ascii="Arial" w:cs="Arial" w:eastAsia="Arial" w:hAnsi="Arial"/>
                <w:sz w:val="16"/>
                <w:szCs w:val="16"/>
                <w:color w:val="auto"/>
              </w:rPr>
              <w:t>International</w:t>
            </w:r>
          </w:p>
        </w:tc>
        <w:tc>
          <w:tcPr>
            <w:tcW w:w="1380" w:type="dxa"/>
            <w:vAlign w:val="bottom"/>
          </w:tcPr>
          <w:p>
            <w:pPr>
              <w:jc w:val="right"/>
              <w:ind w:right="72"/>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bl>
    <w:p>
      <w:pPr>
        <w:spacing w:after="0" w:line="10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closures presented in the tables above represent permanent closures of restaurants. Temporary closures, which can occur for a variety of reasons, are not reflected as a reduction in this table and temporarily closed restaurants are included in the summary counts at the beginning and end of each period shown. Temporary closures are reflected in the weighted calculation of Effective Restaurants presented in the preceding Restaurant Data table. Our franchisees are independent businesses and decisions to close restaurants can be impacted by numerous factors that are outside of our control, including but not limited to, franchisees' agreements with their landlords and lenders.</w:t>
      </w:r>
    </w:p>
    <w:p>
      <w:pPr>
        <w:spacing w:after="0" w:line="215"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As previously disclosed, in April 2020, an IHOP franchisee that operated 49 locations initiated an assignment for the benefit of creditors and subsequently filed for bankruptcy. In July 2020, that franchisee completed the sale of 41 of the 49 temporarily closed locations to a new franchisee approved by us. The eight restaurants that were not sold are reflected as domestic franchise closures in the restaurant development table above. As part of the transaction, we received $4.6 million that included amounts owed to us under the franchise documents.</w:t>
      </w:r>
    </w:p>
    <w:p>
      <w:pPr>
        <w:spacing w:after="0" w:line="198"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 xml:space="preserve">For the full year of 2020, we believe our expectations regarding net restaurant development and closures by our Applebee’s franchisees and IHOP franchisees and area licensees could be materially impacted by the continuing impact of COVID-19 and our temporary suspension of franchisee development obligations in response thereto. Given the significant uncertainties related to </w:t>
      </w:r>
      <w:r>
        <w:rPr>
          <w:rFonts w:ascii="Arial" w:cs="Arial" w:eastAsia="Arial" w:hAnsi="Arial"/>
          <w:sz w:val="17"/>
          <w:szCs w:val="17"/>
          <w:color w:val="252525"/>
        </w:rPr>
        <w:t xml:space="preserve">the COVID-19 pandemic, including the timing of lifting of dine-in operating restrictions on restaurants, customer re-engagement with our brands and the short- and long-term impact on consumer discretionary spending, </w:t>
      </w:r>
      <w:r>
        <w:rPr>
          <w:rFonts w:ascii="Arial" w:cs="Arial" w:eastAsia="Arial" w:hAnsi="Arial"/>
          <w:sz w:val="17"/>
          <w:szCs w:val="17"/>
          <w:color w:val="000000"/>
        </w:rPr>
        <w:t>we have withdrawn our 2020 net restaurant development and closure guidance issued on February 24, 2020.</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RESULTS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the Three and Six Months ended June 30, 2020 and June 30, 2019</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260" w:type="dxa"/>
            <w:vAlign w:val="bottom"/>
            <w:gridSpan w:val="2"/>
          </w:tcPr>
          <w:p>
            <w:pPr>
              <w:spacing w:after="0"/>
              <w:rPr>
                <w:sz w:val="20"/>
                <w:szCs w:val="20"/>
                <w:color w:val="auto"/>
              </w:rPr>
            </w:pPr>
            <w:r>
              <w:rPr>
                <w:rFonts w:ascii="Arial" w:cs="Arial" w:eastAsia="Arial" w:hAnsi="Arial"/>
                <w:sz w:val="18"/>
                <w:szCs w:val="18"/>
                <w:b w:val="1"/>
                <w:bCs w:val="1"/>
                <w:color w:val="auto"/>
              </w:rPr>
              <w:t>Revenue</w:t>
            </w:r>
          </w:p>
        </w:tc>
        <w:tc>
          <w:tcPr>
            <w:tcW w:w="220" w:type="dxa"/>
            <w:vAlign w:val="bottom"/>
          </w:tcPr>
          <w:p>
            <w:pPr>
              <w:spacing w:after="0"/>
              <w:rPr>
                <w:sz w:val="17"/>
                <w:szCs w:val="17"/>
                <w:color w:val="auto"/>
              </w:rPr>
            </w:pPr>
          </w:p>
        </w:tc>
        <w:tc>
          <w:tcPr>
            <w:tcW w:w="262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June 30,</w:t>
            </w:r>
          </w:p>
        </w:tc>
        <w:tc>
          <w:tcPr>
            <w:tcW w:w="14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Favorable</w:t>
            </w:r>
          </w:p>
        </w:tc>
        <w:tc>
          <w:tcPr>
            <w:tcW w:w="280" w:type="dxa"/>
            <w:vAlign w:val="bottom"/>
          </w:tcPr>
          <w:p>
            <w:pPr>
              <w:spacing w:after="0"/>
              <w:rPr>
                <w:sz w:val="17"/>
                <w:szCs w:val="17"/>
                <w:color w:val="auto"/>
              </w:rPr>
            </w:pPr>
          </w:p>
        </w:tc>
        <w:tc>
          <w:tcPr>
            <w:tcW w:w="2340" w:type="dxa"/>
            <w:vAlign w:val="bottom"/>
            <w:gridSpan w:val="5"/>
          </w:tcPr>
          <w:p>
            <w:pPr>
              <w:ind w:left="60"/>
              <w:spacing w:after="0"/>
              <w:rPr>
                <w:sz w:val="20"/>
                <w:szCs w:val="20"/>
                <w:color w:val="auto"/>
              </w:rPr>
            </w:pPr>
            <w:r>
              <w:rPr>
                <w:rFonts w:ascii="Arial" w:cs="Arial" w:eastAsia="Arial" w:hAnsi="Arial"/>
                <w:sz w:val="16"/>
                <w:szCs w:val="16"/>
                <w:b w:val="1"/>
                <w:bCs w:val="1"/>
                <w:color w:val="auto"/>
              </w:rPr>
              <w:t>Six months ended June 30,</w:t>
            </w:r>
          </w:p>
        </w:tc>
        <w:tc>
          <w:tcPr>
            <w:tcW w:w="140" w:type="dxa"/>
            <w:vAlign w:val="bottom"/>
          </w:tcPr>
          <w:p>
            <w:pPr>
              <w:spacing w:after="0"/>
              <w:rPr>
                <w:sz w:val="17"/>
                <w:szCs w:val="17"/>
                <w:color w:val="auto"/>
              </w:rPr>
            </w:pPr>
          </w:p>
        </w:tc>
        <w:tc>
          <w:tcPr>
            <w:tcW w:w="1080" w:type="dxa"/>
            <w:vAlign w:val="bottom"/>
          </w:tcPr>
          <w:p>
            <w:pPr>
              <w:jc w:val="center"/>
              <w:ind w:right="57"/>
              <w:spacing w:after="0"/>
              <w:rPr>
                <w:sz w:val="20"/>
                <w:szCs w:val="20"/>
                <w:color w:val="auto"/>
              </w:rPr>
            </w:pPr>
            <w:r>
              <w:rPr>
                <w:rFonts w:ascii="Arial" w:cs="Arial" w:eastAsia="Arial" w:hAnsi="Arial"/>
                <w:sz w:val="14"/>
                <w:szCs w:val="14"/>
                <w:b w:val="1"/>
                <w:bCs w:val="1"/>
                <w:color w:val="auto"/>
                <w:w w:val="93"/>
              </w:rPr>
              <w:t>Favorable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26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gridSpan w:val="2"/>
            <w:vMerge w:val="restart"/>
          </w:tcPr>
          <w:p>
            <w:pPr>
              <w:jc w:val="center"/>
              <w:ind w:right="240"/>
              <w:spacing w:after="0" w:line="119" w:lineRule="exact"/>
              <w:rPr>
                <w:sz w:val="20"/>
                <w:szCs w:val="20"/>
                <w:color w:val="auto"/>
              </w:rPr>
            </w:pPr>
            <w:r>
              <w:rPr>
                <w:rFonts w:ascii="Arial" w:cs="Arial" w:eastAsia="Arial" w:hAnsi="Arial"/>
                <w:sz w:val="13"/>
                <w:szCs w:val="13"/>
                <w:b w:val="1"/>
                <w:bCs w:val="1"/>
                <w:color w:val="auto"/>
              </w:rPr>
              <w:t>(Unfavorable)</w:t>
            </w:r>
          </w:p>
        </w:tc>
        <w:tc>
          <w:tcPr>
            <w:tcW w:w="2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restart"/>
          </w:tcPr>
          <w:p>
            <w:pPr>
              <w:jc w:val="center"/>
              <w:ind w:right="57"/>
              <w:spacing w:after="0" w:line="119" w:lineRule="exact"/>
              <w:rPr>
                <w:sz w:val="20"/>
                <w:szCs w:val="20"/>
                <w:color w:val="auto"/>
              </w:rPr>
            </w:pPr>
            <w:r>
              <w:rPr>
                <w:rFonts w:ascii="Arial" w:cs="Arial" w:eastAsia="Arial" w:hAnsi="Arial"/>
                <w:sz w:val="13"/>
                <w:szCs w:val="13"/>
                <w:b w:val="1"/>
                <w:bCs w:val="1"/>
                <w:color w:val="auto"/>
              </w:rPr>
              <w:t>(Unfavorable)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vMerge w:val="restart"/>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vMerge w:val="restart"/>
          </w:tcPr>
          <w:p>
            <w:pPr>
              <w:jc w:val="right"/>
              <w:ind w:right="39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restart"/>
          </w:tcPr>
          <w:p>
            <w:pPr>
              <w:jc w:val="right"/>
              <w:ind w:right="31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2"/>
              </w:rPr>
              <w:t>Variance</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3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Franchise operations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67.8</w:t>
            </w: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162.7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(94.8)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212.9</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331.6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Rental operations</w:t>
            </w:r>
          </w:p>
        </w:tc>
        <w:tc>
          <w:tcPr>
            <w:tcW w:w="220" w:type="dxa"/>
            <w:vAlign w:val="bottom"/>
          </w:tcPr>
          <w:p>
            <w:pPr>
              <w:spacing w:after="0"/>
              <w:rPr>
                <w:sz w:val="21"/>
                <w:szCs w:val="21"/>
                <w:color w:val="auto"/>
              </w:rPr>
            </w:pP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Company restaurant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48.1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Financing operations</w:t>
            </w:r>
          </w:p>
        </w:tc>
        <w:tc>
          <w:tcPr>
            <w:tcW w:w="220" w:type="dxa"/>
            <w:vAlign w:val="bottom"/>
          </w:tcPr>
          <w:p>
            <w:pPr>
              <w:spacing w:after="0"/>
              <w:rPr>
                <w:sz w:val="21"/>
                <w:szCs w:val="21"/>
                <w:color w:val="auto"/>
              </w:rPr>
            </w:pP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0" w:type="dxa"/>
            <w:vAlign w:val="bottom"/>
            <w:shd w:val="clear" w:color="auto" w:fill="CCEEFF"/>
          </w:tcPr>
          <w:p>
            <w:pPr>
              <w:spacing w:after="0"/>
              <w:rPr>
                <w:sz w:val="24"/>
                <w:szCs w:val="24"/>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109.7</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228.1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(118.4)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316.6</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465.3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(148.7)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Change vs. prior period</w:t>
            </w: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280" w:firstLine="324"/>
        <w:spacing w:after="0" w:line="279" w:lineRule="auto"/>
        <w:rPr>
          <w:sz w:val="20"/>
          <w:szCs w:val="20"/>
          <w:color w:val="auto"/>
        </w:rPr>
      </w:pPr>
      <w:r>
        <w:rPr>
          <w:rFonts w:ascii="Arial" w:cs="Arial" w:eastAsia="Arial" w:hAnsi="Arial"/>
          <w:sz w:val="17"/>
          <w:szCs w:val="17"/>
          <w:color w:val="auto"/>
        </w:rPr>
        <w:t>Total revenue for franchise and company restaurant operations for the three and six months ended June 30, 2020 decreased compared with the same periods of the prior year, primarily due to a significant decline in customer traffic at our restaurants as a result of the effects of measures put in place by various levels of government to mitigate the spread of the COVID-19 virus and related changes in consumer behavior. Rental operations revenue was impacted to a lesser degree, primarily due to a decline in rent paid based on a percentage of franchisees' retail sales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b w:val="1"/>
                <w:bCs w:val="1"/>
                <w:color w:val="auto"/>
              </w:rPr>
              <w:t>Gross Profit</w:t>
            </w:r>
          </w:p>
        </w:tc>
        <w:tc>
          <w:tcPr>
            <w:tcW w:w="220" w:type="dxa"/>
            <w:vAlign w:val="bottom"/>
          </w:tcPr>
          <w:p>
            <w:pPr>
              <w:spacing w:after="0"/>
              <w:rPr>
                <w:sz w:val="18"/>
                <w:szCs w:val="18"/>
                <w:color w:val="auto"/>
              </w:rPr>
            </w:pPr>
          </w:p>
        </w:tc>
        <w:tc>
          <w:tcPr>
            <w:tcW w:w="256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June 30,</w:t>
            </w:r>
          </w:p>
        </w:tc>
        <w:tc>
          <w:tcPr>
            <w:tcW w:w="16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Favorable</w:t>
            </w:r>
          </w:p>
        </w:tc>
        <w:tc>
          <w:tcPr>
            <w:tcW w:w="280" w:type="dxa"/>
            <w:vAlign w:val="bottom"/>
          </w:tcPr>
          <w:p>
            <w:pPr>
              <w:spacing w:after="0"/>
              <w:rPr>
                <w:sz w:val="18"/>
                <w:szCs w:val="18"/>
                <w:color w:val="auto"/>
              </w:rPr>
            </w:pPr>
          </w:p>
        </w:tc>
        <w:tc>
          <w:tcPr>
            <w:tcW w:w="2340" w:type="dxa"/>
            <w:vAlign w:val="bottom"/>
            <w:gridSpan w:val="5"/>
          </w:tcPr>
          <w:p>
            <w:pPr>
              <w:ind w:left="60"/>
              <w:spacing w:after="0"/>
              <w:rPr>
                <w:sz w:val="20"/>
                <w:szCs w:val="20"/>
                <w:color w:val="auto"/>
              </w:rPr>
            </w:pPr>
            <w:r>
              <w:rPr>
                <w:rFonts w:ascii="Arial" w:cs="Arial" w:eastAsia="Arial" w:hAnsi="Arial"/>
                <w:sz w:val="16"/>
                <w:szCs w:val="16"/>
                <w:b w:val="1"/>
                <w:bCs w:val="1"/>
                <w:color w:val="auto"/>
              </w:rPr>
              <w:t>Six months ended June 30,</w:t>
            </w:r>
          </w:p>
        </w:tc>
        <w:tc>
          <w:tcPr>
            <w:tcW w:w="140" w:type="dxa"/>
            <w:vAlign w:val="bottom"/>
          </w:tcPr>
          <w:p>
            <w:pPr>
              <w:spacing w:after="0"/>
              <w:rPr>
                <w:sz w:val="18"/>
                <w:szCs w:val="18"/>
                <w:color w:val="auto"/>
              </w:rPr>
            </w:pPr>
          </w:p>
        </w:tc>
        <w:tc>
          <w:tcPr>
            <w:tcW w:w="1080" w:type="dxa"/>
            <w:vAlign w:val="bottom"/>
          </w:tcPr>
          <w:p>
            <w:pPr>
              <w:jc w:val="center"/>
              <w:ind w:right="59"/>
              <w:spacing w:after="0"/>
              <w:rPr>
                <w:sz w:val="20"/>
                <w:szCs w:val="20"/>
                <w:color w:val="auto"/>
              </w:rPr>
            </w:pPr>
            <w:r>
              <w:rPr>
                <w:rFonts w:ascii="Arial" w:cs="Arial" w:eastAsia="Arial" w:hAnsi="Arial"/>
                <w:sz w:val="14"/>
                <w:szCs w:val="14"/>
                <w:b w:val="1"/>
                <w:bCs w:val="1"/>
                <w:color w:val="auto"/>
                <w:w w:val="93"/>
              </w:rPr>
              <w:t>Favorable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vMerge w:val="restart"/>
          </w:tcPr>
          <w:p>
            <w:pPr>
              <w:jc w:val="center"/>
              <w:ind w:right="320"/>
              <w:spacing w:after="0" w:line="99" w:lineRule="exact"/>
              <w:rPr>
                <w:sz w:val="20"/>
                <w:szCs w:val="20"/>
                <w:color w:val="auto"/>
              </w:rPr>
            </w:pPr>
            <w:r>
              <w:rPr>
                <w:rFonts w:ascii="Arial" w:cs="Arial" w:eastAsia="Arial" w:hAnsi="Arial"/>
                <w:sz w:val="11"/>
                <w:szCs w:val="11"/>
                <w:b w:val="1"/>
                <w:bCs w:val="1"/>
                <w:color w:val="auto"/>
              </w:rPr>
              <w:t>(Unfavorable)</w:t>
            </w: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vMerge w:val="restart"/>
          </w:tcPr>
          <w:p>
            <w:pPr>
              <w:jc w:val="center"/>
              <w:ind w:right="59"/>
              <w:spacing w:after="0" w:line="99" w:lineRule="exact"/>
              <w:rPr>
                <w:sz w:val="20"/>
                <w:szCs w:val="20"/>
                <w:color w:val="auto"/>
              </w:rPr>
            </w:pPr>
            <w:r>
              <w:rPr>
                <w:rFonts w:ascii="Arial" w:cs="Arial" w:eastAsia="Arial" w:hAnsi="Arial"/>
                <w:sz w:val="11"/>
                <w:szCs w:val="11"/>
                <w:b w:val="1"/>
                <w:bCs w:val="1"/>
                <w:color w:val="auto"/>
              </w:rPr>
              <w:t>(Unfavorable)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vMerge w:val="restart"/>
          </w:tcPr>
          <w:p>
            <w:pPr>
              <w:jc w:val="right"/>
              <w:ind w:right="39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vMerge w:val="restart"/>
          </w:tcPr>
          <w:p>
            <w:pPr>
              <w:jc w:val="right"/>
              <w:ind w:right="39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restart"/>
          </w:tcPr>
          <w:p>
            <w:pPr>
              <w:jc w:val="right"/>
              <w:ind w:right="37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vMerge w:val="restart"/>
          </w:tcPr>
          <w:p>
            <w:pPr>
              <w:jc w:val="right"/>
              <w:ind w:right="33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2"/>
              </w:rPr>
              <w:t>Variance</w:t>
            </w:r>
          </w:p>
        </w:tc>
        <w:tc>
          <w:tcPr>
            <w:tcW w:w="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3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Franchise operations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30.8</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83.8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(53.0)</w:t>
            </w:r>
          </w:p>
        </w:tc>
        <w:tc>
          <w:tcPr>
            <w:tcW w:w="1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106.4</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172.4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Rental operations</w:t>
            </w:r>
          </w:p>
        </w:tc>
        <w:tc>
          <w:tcPr>
            <w:tcW w:w="220" w:type="dxa"/>
            <w:vAlign w:val="bottom"/>
          </w:tcPr>
          <w:p>
            <w:pPr>
              <w:spacing w:after="0"/>
              <w:rPr>
                <w:sz w:val="21"/>
                <w:szCs w:val="21"/>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20"/>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Company restaurant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(6.9)</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Financing operations</w:t>
            </w:r>
          </w:p>
        </w:tc>
        <w:tc>
          <w:tcPr>
            <w:tcW w:w="220" w:type="dxa"/>
            <w:vAlign w:val="bottom"/>
          </w:tcPr>
          <w:p>
            <w:pPr>
              <w:spacing w:after="0"/>
              <w:rPr>
                <w:sz w:val="21"/>
                <w:szCs w:val="21"/>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20"/>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20" w:type="dxa"/>
            <w:vAlign w:val="bottom"/>
            <w:shd w:val="clear" w:color="auto" w:fill="CCEEFF"/>
          </w:tcPr>
          <w:p>
            <w:pPr>
              <w:spacing w:after="0"/>
              <w:rPr>
                <w:sz w:val="24"/>
                <w:szCs w:val="24"/>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gross profit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30.1</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94.9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(64.6)</w:t>
            </w:r>
          </w:p>
        </w:tc>
        <w:tc>
          <w:tcPr>
            <w:tcW w:w="16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114.5</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197.4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Change vs. prior period</w:t>
            </w: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Total gross profit for the three and six months ended June 30, 2020 decreased compared with the same periods of the prior year, primarily due to a significant decline in customer traffic at our restaurants as a result of the effects of measures put in place by various levels of government to mitigate the spread of the COVID-19 virus and related changes in consumer behavior, as well as increases in bad debt expense of $5.2 million and $6.2 million, respectively, for three and six months ended June 30, 2020.</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60" w:type="dxa"/>
            <w:vAlign w:val="bottom"/>
            <w:gridSpan w:val="5"/>
          </w:tcPr>
          <w:p>
            <w:pPr>
              <w:jc w:val="right"/>
              <w:ind w:right="31"/>
              <w:spacing w:after="0"/>
              <w:rPr>
                <w:sz w:val="20"/>
                <w:szCs w:val="20"/>
                <w:color w:val="auto"/>
              </w:rPr>
            </w:pPr>
            <w:r>
              <w:rPr>
                <w:rFonts w:ascii="Arial" w:cs="Arial" w:eastAsia="Arial" w:hAnsi="Arial"/>
                <w:sz w:val="16"/>
                <w:szCs w:val="16"/>
                <w:b w:val="1"/>
                <w:bCs w:val="1"/>
                <w:color w:val="auto"/>
                <w:w w:val="93"/>
              </w:rPr>
              <w:t>Three months ended June 30,</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Favorable</w:t>
            </w:r>
          </w:p>
        </w:tc>
        <w:tc>
          <w:tcPr>
            <w:tcW w:w="220" w:type="dxa"/>
            <w:vAlign w:val="bottom"/>
          </w:tcPr>
          <w:p>
            <w:pPr>
              <w:spacing w:after="0"/>
              <w:rPr>
                <w:sz w:val="16"/>
                <w:szCs w:val="16"/>
                <w:color w:val="auto"/>
              </w:rPr>
            </w:pPr>
          </w:p>
        </w:tc>
        <w:tc>
          <w:tcPr>
            <w:tcW w:w="2100" w:type="dxa"/>
            <w:vAlign w:val="bottom"/>
            <w:gridSpan w:val="5"/>
          </w:tcPr>
          <w:p>
            <w:pPr>
              <w:jc w:val="right"/>
              <w:ind w:right="51"/>
              <w:spacing w:after="0"/>
              <w:rPr>
                <w:sz w:val="20"/>
                <w:szCs w:val="20"/>
                <w:color w:val="auto"/>
              </w:rPr>
            </w:pPr>
            <w:r>
              <w:rPr>
                <w:rFonts w:ascii="Arial" w:cs="Arial" w:eastAsia="Arial" w:hAnsi="Arial"/>
                <w:sz w:val="16"/>
                <w:szCs w:val="16"/>
                <w:b w:val="1"/>
                <w:bCs w:val="1"/>
                <w:color w:val="auto"/>
                <w:w w:val="94"/>
              </w:rPr>
              <w:t>Six months ended June 30,</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53"/>
              <w:spacing w:after="0"/>
              <w:rPr>
                <w:sz w:val="20"/>
                <w:szCs w:val="20"/>
                <w:color w:val="auto"/>
              </w:rPr>
            </w:pPr>
            <w:r>
              <w:rPr>
                <w:rFonts w:ascii="Arial" w:cs="Arial" w:eastAsia="Arial" w:hAnsi="Arial"/>
                <w:sz w:val="14"/>
                <w:szCs w:val="14"/>
                <w:b w:val="1"/>
                <w:bCs w:val="1"/>
                <w:color w:val="auto"/>
                <w:w w:val="93"/>
              </w:rPr>
              <w:t>Favorable</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680" w:type="dxa"/>
            <w:vAlign w:val="bottom"/>
            <w:vMerge w:val="restart"/>
          </w:tcPr>
          <w:p>
            <w:pPr>
              <w:spacing w:after="0"/>
              <w:rPr>
                <w:sz w:val="20"/>
                <w:szCs w:val="20"/>
                <w:color w:val="auto"/>
              </w:rPr>
            </w:pPr>
            <w:r>
              <w:rPr>
                <w:rFonts w:ascii="Arial" w:cs="Arial" w:eastAsia="Arial" w:hAnsi="Arial"/>
                <w:sz w:val="18"/>
                <w:szCs w:val="18"/>
                <w:b w:val="1"/>
                <w:bCs w:val="1"/>
                <w:color w:val="auto"/>
                <w:w w:val="89"/>
              </w:rPr>
              <w:t>Franchise Operations</w:t>
            </w:r>
          </w:p>
        </w:tc>
        <w:tc>
          <w:tcPr>
            <w:tcW w:w="17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(Unfavorable)</w:t>
            </w:r>
          </w:p>
        </w:tc>
        <w:tc>
          <w:tcPr>
            <w:tcW w:w="2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restart"/>
          </w:tcPr>
          <w:p>
            <w:pPr>
              <w:jc w:val="center"/>
              <w:ind w:right="53"/>
              <w:spacing w:after="0" w:line="149" w:lineRule="exact"/>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80" w:type="dxa"/>
            <w:vAlign w:val="bottom"/>
            <w:vMerge w:val="continue"/>
          </w:tcPr>
          <w:p>
            <w:pPr>
              <w:spacing w:after="0"/>
              <w:rPr>
                <w:sz w:val="4"/>
                <w:szCs w:val="4"/>
                <w:color w:val="auto"/>
              </w:rPr>
            </w:pPr>
          </w:p>
        </w:tc>
        <w:tc>
          <w:tcPr>
            <w:tcW w:w="1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vMerge w:val="restart"/>
          </w:tcPr>
          <w:p>
            <w:pPr>
              <w:jc w:val="right"/>
              <w:ind w:right="211"/>
              <w:spacing w:after="0" w:line="183" w:lineRule="exact"/>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vMerge w:val="restart"/>
          </w:tcPr>
          <w:p>
            <w:pPr>
              <w:jc w:val="right"/>
              <w:ind w:right="171"/>
              <w:spacing w:after="0" w:line="183" w:lineRule="exact"/>
              <w:rPr>
                <w:sz w:val="20"/>
                <w:szCs w:val="20"/>
                <w:color w:val="auto"/>
              </w:rPr>
            </w:pPr>
            <w:r>
              <w:rPr>
                <w:rFonts w:ascii="Arial" w:cs="Arial" w:eastAsia="Arial" w:hAnsi="Arial"/>
                <w:sz w:val="16"/>
                <w:szCs w:val="16"/>
                <w:b w:val="1"/>
                <w:bCs w:val="1"/>
                <w:color w:val="auto"/>
              </w:rPr>
              <w:t>2019</w:t>
            </w: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vMerge w:val="restart"/>
          </w:tcPr>
          <w:p>
            <w:pPr>
              <w:jc w:val="right"/>
              <w:ind w:right="151"/>
              <w:spacing w:after="0" w:line="183" w:lineRule="exact"/>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vMerge w:val="restart"/>
          </w:tcPr>
          <w:p>
            <w:pPr>
              <w:jc w:val="right"/>
              <w:ind w:right="151"/>
              <w:spacing w:after="0" w:line="183" w:lineRule="exact"/>
              <w:rPr>
                <w:sz w:val="20"/>
                <w:szCs w:val="20"/>
                <w:color w:val="auto"/>
              </w:rPr>
            </w:pPr>
            <w:r>
              <w:rPr>
                <w:rFonts w:ascii="Arial" w:cs="Arial" w:eastAsia="Arial" w:hAnsi="Arial"/>
                <w:sz w:val="16"/>
                <w:szCs w:val="16"/>
                <w:b w:val="1"/>
                <w:bCs w:val="1"/>
                <w:color w:val="auto"/>
              </w:rPr>
              <w:t>2019</w:t>
            </w: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680" w:type="dxa"/>
            <w:vAlign w:val="bottom"/>
            <w:tcBorders>
              <w:bottom w:val="single" w:sz="8" w:color="auto"/>
            </w:tcBorders>
            <w:vMerge w:val="continue"/>
          </w:tcPr>
          <w:p>
            <w:pPr>
              <w:spacing w:after="0"/>
              <w:rPr>
                <w:sz w:val="11"/>
                <w:szCs w:val="11"/>
                <w:color w:val="auto"/>
              </w:rPr>
            </w:pPr>
          </w:p>
        </w:tc>
        <w:tc>
          <w:tcPr>
            <w:tcW w:w="1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20"/>
              <w:spacing w:after="0" w:line="125" w:lineRule="exact"/>
              <w:rPr>
                <w:sz w:val="20"/>
                <w:szCs w:val="20"/>
                <w:color w:val="auto"/>
              </w:rPr>
            </w:pPr>
            <w:r>
              <w:rPr>
                <w:rFonts w:ascii="Arial" w:cs="Arial" w:eastAsia="Arial" w:hAnsi="Arial"/>
                <w:sz w:val="14"/>
                <w:szCs w:val="14"/>
                <w:b w:val="1"/>
                <w:bCs w:val="1"/>
                <w:color w:val="auto"/>
                <w:w w:val="92"/>
              </w:rPr>
              <w:t>Variance</w:t>
            </w:r>
          </w:p>
        </w:tc>
        <w:tc>
          <w:tcPr>
            <w:tcW w:w="2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center"/>
              <w:ind w:right="53"/>
              <w:spacing w:after="0" w:line="125" w:lineRule="exact"/>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140" w:type="dxa"/>
            <w:vAlign w:val="bottom"/>
            <w:tcBorders>
              <w:bottom w:val="single" w:sz="8" w:color="auto"/>
            </w:tcBorders>
            <w:gridSpan w:val="10"/>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140" w:type="dxa"/>
            <w:vAlign w:val="bottom"/>
            <w:gridSpan w:val="10"/>
          </w:tcPr>
          <w:p>
            <w:pPr>
              <w:jc w:val="right"/>
              <w:ind w:right="380"/>
              <w:spacing w:after="0"/>
              <w:rPr>
                <w:sz w:val="20"/>
                <w:szCs w:val="20"/>
                <w:color w:val="auto"/>
              </w:rPr>
            </w:pPr>
            <w:r>
              <w:rPr>
                <w:rFonts w:ascii="Arial" w:cs="Arial" w:eastAsia="Arial" w:hAnsi="Arial"/>
                <w:sz w:val="14"/>
                <w:szCs w:val="14"/>
                <w:b w:val="1"/>
                <w:bCs w:val="1"/>
                <w:color w:val="auto"/>
                <w:w w:val="96"/>
              </w:rPr>
              <w:t>(In millions, except number of restaurants)</w:t>
            </w: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Effective Franchise Restaurants:</w:t>
            </w:r>
            <w:r>
              <w:rPr>
                <w:rFonts w:ascii="Arial" w:cs="Arial" w:eastAsia="Arial" w:hAnsi="Arial"/>
                <w:sz w:val="21"/>
                <w:szCs w:val="21"/>
                <w:color w:val="auto"/>
                <w:vertAlign w:val="superscript"/>
              </w:rPr>
              <w:t>(1)</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5"/>
        </w:trPr>
        <w:tc>
          <w:tcPr>
            <w:tcW w:w="20" w:type="dxa"/>
            <w:vAlign w:val="bottom"/>
            <w:tcBorders>
              <w:bottom w:val="single" w:sz="8" w:color="CCEEFF"/>
            </w:tcBorders>
            <w:shd w:val="clear" w:color="auto" w:fill="CCEEFF"/>
          </w:tcPr>
          <w:p>
            <w:pPr>
              <w:spacing w:after="0"/>
              <w:rPr>
                <w:sz w:val="24"/>
                <w:szCs w:val="24"/>
                <w:color w:val="auto"/>
              </w:rPr>
            </w:pPr>
          </w:p>
        </w:tc>
        <w:tc>
          <w:tcPr>
            <w:tcW w:w="33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Applebee’s</w:t>
            </w:r>
          </w:p>
        </w:tc>
        <w:tc>
          <w:tcPr>
            <w:tcW w:w="2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380" w:type="dxa"/>
            <w:vAlign w:val="bottom"/>
            <w:tcBorders>
              <w:top w:val="single" w:sz="8" w:color="CCEEFF"/>
              <w:bottom w:val="single" w:sz="8" w:color="CCEEFF"/>
            </w:tcBorders>
            <w:gridSpan w:val="2"/>
            <w:vMerge w:val="restart"/>
          </w:tcPr>
          <w:p>
            <w:pPr>
              <w:ind w:left="240"/>
              <w:spacing w:after="0"/>
              <w:rPr>
                <w:sz w:val="20"/>
                <w:szCs w:val="20"/>
                <w:color w:val="auto"/>
              </w:rPr>
            </w:pPr>
            <w:r>
              <w:rPr>
                <w:rFonts w:ascii="Arial" w:cs="Arial" w:eastAsia="Arial" w:hAnsi="Arial"/>
                <w:sz w:val="18"/>
                <w:szCs w:val="18"/>
                <w:color w:val="auto"/>
              </w:rPr>
              <w:t>IHOP</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vMerge w:val="continue"/>
          </w:tcPr>
          <w:p>
            <w:pPr>
              <w:spacing w:after="0"/>
              <w:rPr>
                <w:sz w:val="18"/>
                <w:szCs w:val="18"/>
                <w:color w:val="auto"/>
              </w:rPr>
            </w:pPr>
          </w:p>
        </w:tc>
        <w:tc>
          <w:tcPr>
            <w:tcW w:w="33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1,519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1,811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1,663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1,812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80" w:type="dxa"/>
            <w:vAlign w:val="bottom"/>
            <w:gridSpan w:val="2"/>
            <w:vMerge w:val="restart"/>
          </w:tcPr>
          <w:p>
            <w:pPr>
              <w:spacing w:after="0"/>
              <w:rPr>
                <w:sz w:val="20"/>
                <w:szCs w:val="20"/>
                <w:color w:val="auto"/>
              </w:rPr>
            </w:pPr>
            <w:r>
              <w:rPr>
                <w:rFonts w:ascii="Arial" w:cs="Arial" w:eastAsia="Arial" w:hAnsi="Arial"/>
                <w:sz w:val="18"/>
                <w:szCs w:val="18"/>
                <w:color w:val="auto"/>
              </w:rPr>
              <w:t>Franchise Revenues:</w:t>
            </w: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gridSpan w:val="2"/>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380" w:type="dxa"/>
            <w:vAlign w:val="bottom"/>
            <w:gridSpan w:val="2"/>
            <w:vMerge w:val="continue"/>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3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Applebee’s franchise fees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5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4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5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4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80" w:type="dxa"/>
            <w:vAlign w:val="bottom"/>
            <w:gridSpan w:val="2"/>
          </w:tcPr>
          <w:p>
            <w:pPr>
              <w:ind w:left="200"/>
              <w:spacing w:after="0"/>
              <w:rPr>
                <w:sz w:val="20"/>
                <w:szCs w:val="20"/>
                <w:color w:val="auto"/>
              </w:rPr>
            </w:pPr>
            <w:r>
              <w:rPr>
                <w:rFonts w:ascii="Arial" w:cs="Arial" w:eastAsia="Arial" w:hAnsi="Arial"/>
                <w:sz w:val="18"/>
                <w:szCs w:val="18"/>
                <w:color w:val="auto"/>
              </w:rPr>
              <w:t>IHOP franchise fees</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18.9</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49.6</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64.4</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102.5</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3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Advertising fees</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Total franchise revenues</w:t>
            </w: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67.9</w:t>
            </w:r>
          </w:p>
        </w:tc>
        <w:tc>
          <w:tcPr>
            <w:tcW w:w="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162.7</w:t>
            </w:r>
          </w:p>
        </w:tc>
        <w:tc>
          <w:tcPr>
            <w:tcW w:w="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(94.8)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212.9</w:t>
            </w:r>
          </w:p>
        </w:tc>
        <w:tc>
          <w:tcPr>
            <w:tcW w:w="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331.6</w:t>
            </w:r>
          </w:p>
        </w:tc>
        <w:tc>
          <w:tcPr>
            <w:tcW w:w="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80" w:type="dxa"/>
            <w:vAlign w:val="bottom"/>
            <w:gridSpan w:val="2"/>
            <w:vMerge w:val="restart"/>
          </w:tcPr>
          <w:p>
            <w:pPr>
              <w:spacing w:after="0"/>
              <w:rPr>
                <w:sz w:val="20"/>
                <w:szCs w:val="20"/>
                <w:color w:val="auto"/>
              </w:rPr>
            </w:pPr>
            <w:r>
              <w:rPr>
                <w:rFonts w:ascii="Arial" w:cs="Arial" w:eastAsia="Arial" w:hAnsi="Arial"/>
                <w:sz w:val="18"/>
                <w:szCs w:val="18"/>
                <w:color w:val="auto"/>
              </w:rPr>
              <w:t>Franchise Expenses:</w:t>
            </w: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3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Applebee’s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80" w:type="dxa"/>
            <w:vAlign w:val="bottom"/>
            <w:gridSpan w:val="2"/>
          </w:tcPr>
          <w:p>
            <w:pPr>
              <w:ind w:left="200"/>
              <w:spacing w:after="0"/>
              <w:rPr>
                <w:sz w:val="20"/>
                <w:szCs w:val="20"/>
                <w:color w:val="auto"/>
              </w:rPr>
            </w:pPr>
            <w:r>
              <w:rPr>
                <w:rFonts w:ascii="Arial" w:cs="Arial" w:eastAsia="Arial" w:hAnsi="Arial"/>
                <w:sz w:val="18"/>
                <w:szCs w:val="18"/>
                <w:color w:val="auto"/>
              </w:rPr>
              <w:t>IHOP</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11.0</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13.1</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3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Advertising expenses</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42.6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Total franchise expenses</w:t>
            </w: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78.9</w:t>
            </w:r>
          </w:p>
        </w:tc>
        <w:tc>
          <w:tcPr>
            <w:tcW w:w="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106.5</w:t>
            </w:r>
          </w:p>
        </w:tc>
        <w:tc>
          <w:tcPr>
            <w:tcW w:w="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159.2</w:t>
            </w:r>
          </w:p>
        </w:tc>
        <w:tc>
          <w:tcPr>
            <w:tcW w:w="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80" w:type="dxa"/>
            <w:vAlign w:val="bottom"/>
            <w:gridSpan w:val="2"/>
            <w:vMerge w:val="restart"/>
          </w:tcPr>
          <w:p>
            <w:pPr>
              <w:spacing w:after="0"/>
              <w:rPr>
                <w:sz w:val="20"/>
                <w:szCs w:val="20"/>
                <w:color w:val="auto"/>
              </w:rPr>
            </w:pPr>
            <w:r>
              <w:rPr>
                <w:rFonts w:ascii="Arial" w:cs="Arial" w:eastAsia="Arial" w:hAnsi="Arial"/>
                <w:sz w:val="18"/>
                <w:szCs w:val="18"/>
                <w:color w:val="auto"/>
              </w:rPr>
              <w:t>Franchise Gross Profit:</w:t>
            </w: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3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Applebee’s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80" w:type="dxa"/>
            <w:vAlign w:val="bottom"/>
            <w:gridSpan w:val="2"/>
          </w:tcPr>
          <w:p>
            <w:pPr>
              <w:ind w:left="200"/>
              <w:spacing w:after="0"/>
              <w:rPr>
                <w:sz w:val="20"/>
                <w:szCs w:val="20"/>
                <w:color w:val="auto"/>
              </w:rPr>
            </w:pPr>
            <w:r>
              <w:rPr>
                <w:rFonts w:ascii="Arial" w:cs="Arial" w:eastAsia="Arial" w:hAnsi="Arial"/>
                <w:sz w:val="18"/>
                <w:szCs w:val="18"/>
                <w:color w:val="auto"/>
              </w:rPr>
              <w:t>IHOP</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14.4</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43.5</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53.4</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89.4</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0" w:type="dxa"/>
            <w:vAlign w:val="bottom"/>
            <w:shd w:val="clear" w:color="auto" w:fill="CCEEFF"/>
          </w:tcPr>
          <w:p>
            <w:pPr>
              <w:spacing w:after="0"/>
              <w:rPr>
                <w:sz w:val="24"/>
                <w:szCs w:val="24"/>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franchise gross profit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5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(53.0)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3380" w:type="dxa"/>
            <w:vAlign w:val="bottom"/>
            <w:gridSpan w:val="2"/>
          </w:tcPr>
          <w:p>
            <w:pPr>
              <w:spacing w:after="0" w:line="244" w:lineRule="exact"/>
              <w:rPr>
                <w:sz w:val="20"/>
                <w:szCs w:val="20"/>
                <w:color w:val="auto"/>
              </w:rPr>
            </w:pPr>
            <w:r>
              <w:rPr>
                <w:rFonts w:ascii="Arial" w:cs="Arial" w:eastAsia="Arial" w:hAnsi="Arial"/>
                <w:sz w:val="18"/>
                <w:szCs w:val="18"/>
                <w:color w:val="auto"/>
              </w:rPr>
              <w:t xml:space="preserve">Gross profit as % of revenue </w:t>
            </w:r>
            <w:r>
              <w:rPr>
                <w:rFonts w:ascii="Arial" w:cs="Arial" w:eastAsia="Arial" w:hAnsi="Arial"/>
                <w:sz w:val="23"/>
                <w:szCs w:val="23"/>
                <w:color w:val="auto"/>
                <w:vertAlign w:val="superscript"/>
              </w:rPr>
              <w:t>(2)</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 xml:space="preserve">Gross profit as % of franchise fees </w:t>
            </w:r>
            <w:r>
              <w:rPr>
                <w:rFonts w:ascii="Arial" w:cs="Arial" w:eastAsia="Arial" w:hAnsi="Arial"/>
                <w:sz w:val="23"/>
                <w:szCs w:val="23"/>
                <w:color w:val="auto"/>
                <w:vertAlign w:val="superscript"/>
              </w:rPr>
              <w:t>(2)(3)</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_____________________________________________________</w:t>
      </w:r>
    </w:p>
    <w:p>
      <w:pPr>
        <w:spacing w:after="0" w:line="17" w:lineRule="exact"/>
        <w:rPr>
          <w:sz w:val="20"/>
          <w:szCs w:val="20"/>
          <w:color w:val="auto"/>
        </w:rPr>
      </w:pPr>
    </w:p>
    <w:p>
      <w:pPr>
        <w:ind w:left="180" w:right="80" w:hanging="172"/>
        <w:spacing w:after="0" w:line="241" w:lineRule="auto"/>
        <w:tabs>
          <w:tab w:leader="none" w:pos="150" w:val="left"/>
        </w:tabs>
        <w:numPr>
          <w:ilvl w:val="0"/>
          <w:numId w:val="18"/>
        </w:numPr>
        <w:rPr>
          <w:rFonts w:ascii="Arial" w:cs="Arial" w:eastAsia="Arial" w:hAnsi="Arial"/>
          <w:sz w:val="9"/>
          <w:szCs w:val="9"/>
          <w:color w:val="auto"/>
        </w:rPr>
      </w:pPr>
      <w:r>
        <w:rPr>
          <w:rFonts w:ascii="Arial" w:cs="Arial" w:eastAsia="Arial" w:hAnsi="Arial"/>
          <w:sz w:val="14"/>
          <w:szCs w:val="14"/>
          <w:color w:val="auto"/>
        </w:rPr>
        <w:t>Effective Franchise Restaurants are the weighted average number of franchise and area license restaurants open in each fiscal period, adjusted to account for restaurants open for only a portion of the period.</w:t>
      </w:r>
    </w:p>
    <w:p>
      <w:pPr>
        <w:ind w:left="160" w:hanging="152"/>
        <w:spacing w:after="0"/>
        <w:tabs>
          <w:tab w:leader="none" w:pos="160" w:val="left"/>
        </w:tabs>
        <w:numPr>
          <w:ilvl w:val="0"/>
          <w:numId w:val="18"/>
        </w:numPr>
        <w:rPr>
          <w:rFonts w:ascii="Arial" w:cs="Arial" w:eastAsia="Arial" w:hAnsi="Arial"/>
          <w:sz w:val="9"/>
          <w:szCs w:val="9"/>
          <w:color w:val="auto"/>
        </w:rPr>
      </w:pPr>
      <w:r>
        <w:rPr>
          <w:rFonts w:ascii="Arial" w:cs="Arial" w:eastAsia="Arial" w:hAnsi="Arial"/>
          <w:sz w:val="14"/>
          <w:szCs w:val="14"/>
          <w:color w:val="auto"/>
        </w:rPr>
        <w:t>Percentages calculated on actual amounts, not rounded amounts presented above.</w:t>
      </w:r>
    </w:p>
    <w:p>
      <w:pPr>
        <w:spacing w:after="0" w:line="1" w:lineRule="exact"/>
        <w:rPr>
          <w:rFonts w:ascii="Arial" w:cs="Arial" w:eastAsia="Arial" w:hAnsi="Arial"/>
          <w:sz w:val="9"/>
          <w:szCs w:val="9"/>
          <w:color w:val="auto"/>
        </w:rPr>
      </w:pPr>
    </w:p>
    <w:p>
      <w:pPr>
        <w:ind w:left="180" w:right="80" w:hanging="172"/>
        <w:spacing w:after="0" w:line="255" w:lineRule="auto"/>
        <w:tabs>
          <w:tab w:leader="none" w:pos="163" w:val="left"/>
        </w:tabs>
        <w:numPr>
          <w:ilvl w:val="0"/>
          <w:numId w:val="18"/>
        </w:numPr>
        <w:rPr>
          <w:rFonts w:ascii="Arial" w:cs="Arial" w:eastAsia="Arial" w:hAnsi="Arial"/>
          <w:sz w:val="9"/>
          <w:szCs w:val="9"/>
          <w:color w:val="auto"/>
        </w:rPr>
      </w:pPr>
      <w:r>
        <w:rPr>
          <w:rFonts w:ascii="Arial" w:cs="Arial" w:eastAsia="Arial" w:hAnsi="Arial"/>
          <w:sz w:val="14"/>
          <w:szCs w:val="14"/>
          <w:color w:val="auto"/>
        </w:rPr>
        <w:t>From time to time, advertising fee revenue may be different from advertising expenses in a given accounting period. Over the long term, advertising activity should not generate gross profit or loss.</w:t>
      </w:r>
    </w:p>
    <w:p>
      <w:pPr>
        <w:spacing w:after="0" w:line="217"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Applebee’s franchise fee revenue for the three months ended June 30, 2020 declined 51.9% compared to the same period of the prior year. Approximately $18.0 million of the decline was due to a decrease of 49.4% in domestic franchise same-restaurant sales primarily caused by the adverse impact on customer traffic of COVID-19-related mitigation measures and changes in consumer behavior. Additionally, revenue decreased $2.5 million due to temporary domestic restaurant closures, $0.8 million due to permanent domestic restaurant closures. International revenues declined $1.4 million due primarily to decline in customer traffic primarily due to COVID-19 mitigation measures and permanent and temporary restaurant closures.</w:t>
      </w:r>
    </w:p>
    <w:p>
      <w:pPr>
        <w:spacing w:after="0" w:line="188"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increase in Applebee's franchise expenses for the three months ended June 30, 2020 compared with the same period of the prior year was due to an increase in bad debt expense. Bad debt expense for the three months ended June 30, 2020 was $2.7 million as compared to no bad debt expense during the three months ended June 30, 2019.</w:t>
      </w:r>
    </w:p>
    <w:p>
      <w:pPr>
        <w:spacing w:after="0" w:line="211" w:lineRule="exact"/>
        <w:rPr>
          <w:sz w:val="20"/>
          <w:szCs w:val="20"/>
          <w:color w:val="auto"/>
        </w:rPr>
      </w:pPr>
    </w:p>
    <w:p>
      <w:pPr>
        <w:ind w:right="40" w:firstLine="324"/>
        <w:spacing w:after="0" w:line="267" w:lineRule="auto"/>
        <w:rPr>
          <w:sz w:val="20"/>
          <w:szCs w:val="20"/>
          <w:color w:val="auto"/>
        </w:rPr>
      </w:pPr>
      <w:r>
        <w:rPr>
          <w:rFonts w:ascii="Arial" w:cs="Arial" w:eastAsia="Arial" w:hAnsi="Arial"/>
          <w:sz w:val="17"/>
          <w:szCs w:val="17"/>
          <w:color w:val="auto"/>
        </w:rPr>
        <w:t>IHOP franchise fee revenue for the three months ended June 30, 2020 decreased 61.9% compared to the same period of the prior year, primarily due to lower royalty and pancake and waffle dry mix revenues resulting from a 58.9% decrease in domestic franchise same-restaurant sales primarily caused by the adverse impact on customer traffic of COVID-19-related mitigation measures and changes in consumer behavior. International revenues declined $2.1 million. Partially offsetting these unfavorable items was an increase in forfeited franchise fees. IHOP franchise expenses for the three months ended June 30, 2020 declined from the same period of the prior year primarily due to a decrease in purchase of pancake and waffle dry mix, partially offset by an increase in bad debt expense. IHOP's bad debt expense for the three months ended June 30, 2020 was $2.5 million as compared to a small amount of bad debt recovery during the three months ended June 30, 2019.</w:t>
      </w:r>
    </w:p>
    <w:p>
      <w:pPr>
        <w:spacing w:after="0" w:line="4" w:lineRule="exact"/>
        <w:rPr>
          <w:sz w:val="20"/>
          <w:szCs w:val="20"/>
          <w:color w:val="auto"/>
        </w:rPr>
      </w:pPr>
    </w:p>
    <w:p>
      <w:pPr>
        <w:ind w:right="240" w:firstLine="324"/>
        <w:spacing w:after="0" w:line="277" w:lineRule="auto"/>
        <w:rPr>
          <w:sz w:val="20"/>
          <w:szCs w:val="20"/>
          <w:color w:val="auto"/>
        </w:rPr>
      </w:pPr>
      <w:r>
        <w:rPr>
          <w:rFonts w:ascii="Arial" w:cs="Arial" w:eastAsia="Arial" w:hAnsi="Arial"/>
          <w:sz w:val="17"/>
          <w:szCs w:val="17"/>
          <w:color w:val="auto"/>
        </w:rPr>
        <w:t>Total franchise gross profit decreased for the three months ended June 30, 2020 compared to the same period of the prior year, primarily due to significant decreases in domestic franchise same-restaurant sales for both Applebee's and IHOP primarily resulting from the adverse impact on customer traffic of COVID-19-related mitigation measures and changes in consumer behavior, and an increase in bad debt expense.</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4" w:name="page45"/>
    <w:bookmarkEnd w:id="4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Applebee’s franchise fee revenue for the six months ended June 30, 2020 declined 31.9% compared to the same period of the prior year. Approximately $22.2 million of the decline was due to a decrease of 29.0% in domestic franchise same-restaurant sales primarily caused by the adverse impact on customer traffic of COVID-19-related mitigation measures and changes in consumer behavior. Additionally, revenue decreased $2.7 million due to temporary domestic restaurant closures and$1.3 million due to permanent domestic restaurant closures. International revenues declined $1.8 million due primarily to decline in customer traffic and permanent and temporary restaurant closures.</w:t>
      </w:r>
    </w:p>
    <w:p>
      <w:pPr>
        <w:spacing w:after="0" w:line="203"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The increase in Applebee's franchise expenses for the six months ended June 30, 2020 compared with the same period of the prior year was due to $3.3 million increase in bad debt expense. Bad debt expense for the six months ended June 30, 2020 was $2.9 million as compared to a bad debt recovery of $0.4 million during the six months ended June 30, 2019.</w:t>
      </w:r>
    </w:p>
    <w:p>
      <w:pPr>
        <w:spacing w:after="0" w:line="211" w:lineRule="exact"/>
        <w:rPr>
          <w:sz w:val="20"/>
          <w:szCs w:val="20"/>
          <w:color w:val="auto"/>
        </w:rPr>
      </w:pPr>
    </w:p>
    <w:p>
      <w:pPr>
        <w:ind w:right="140" w:firstLine="324"/>
        <w:spacing w:after="0" w:line="284" w:lineRule="auto"/>
        <w:rPr>
          <w:sz w:val="20"/>
          <w:szCs w:val="20"/>
          <w:color w:val="auto"/>
        </w:rPr>
      </w:pPr>
      <w:r>
        <w:rPr>
          <w:rFonts w:ascii="Arial" w:cs="Arial" w:eastAsia="Arial" w:hAnsi="Arial"/>
          <w:sz w:val="16"/>
          <w:szCs w:val="16"/>
          <w:color w:val="auto"/>
        </w:rPr>
        <w:t>IHOP franchise fee revenue for the six months ended June 30, 2020 decreased 37.2% compared to the same period of the prior year, primarily due to lower royalty and pancake and waffle dry mix revenues resulting from a 35.4% decrease in domestic franchise same-restaurant sales primarily caused by the adverse impact on customer traffic of COVID-19-related mitigation measures and changes in consumer behavior. International revenues declined $2.2 million. IHOP franchise expenses for the six months ended June 30, 2020 declined from the same period of the prior year primarily due to a decrease in purchase of pancake and waffle dry mix, partially offset by a $2.7 million increase in bad debt expense. IHOP bad debt expense for the six months ended June 30, 2020 was $2.5 million compared to a bad debt recovery of $0.2 million for the prior year period.</w:t>
      </w:r>
    </w:p>
    <w:p>
      <w:pPr>
        <w:spacing w:after="0" w:line="4" w:lineRule="exact"/>
        <w:rPr>
          <w:sz w:val="20"/>
          <w:szCs w:val="20"/>
          <w:color w:val="auto"/>
        </w:rPr>
      </w:pPr>
    </w:p>
    <w:p>
      <w:pPr>
        <w:ind w:right="240" w:firstLine="324"/>
        <w:spacing w:after="0" w:line="277" w:lineRule="auto"/>
        <w:rPr>
          <w:sz w:val="20"/>
          <w:szCs w:val="20"/>
          <w:color w:val="auto"/>
        </w:rPr>
      </w:pPr>
      <w:r>
        <w:rPr>
          <w:rFonts w:ascii="Arial" w:cs="Arial" w:eastAsia="Arial" w:hAnsi="Arial"/>
          <w:sz w:val="17"/>
          <w:szCs w:val="17"/>
          <w:color w:val="auto"/>
        </w:rPr>
        <w:t>Total franchise gross profit decreased for the six months ended June 30, 2020 compared to the same period of the prior year, primarily due to significant decreases in domestic franchise same-restaurant sales for both Applebee's and IHOP primarily resulting from the adverse impact on customer traffic of COVID-19-related mitigation measures and changes in consumer behavior, and an increase in bad debt expense.</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Advertising revenue and expense by brand for the three and six months ended June 30, 2020 and 2019 were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June 30,</w:t>
            </w:r>
          </w:p>
        </w:tc>
        <w:tc>
          <w:tcPr>
            <w:tcW w:w="160" w:type="dxa"/>
            <w:vAlign w:val="bottom"/>
          </w:tcPr>
          <w:p>
            <w:pPr>
              <w:spacing w:after="0"/>
              <w:rPr>
                <w:sz w:val="18"/>
                <w:szCs w:val="18"/>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89"/>
              </w:rPr>
              <w:t>Increase</w:t>
            </w:r>
          </w:p>
        </w:tc>
        <w:tc>
          <w:tcPr>
            <w:tcW w:w="240" w:type="dxa"/>
            <w:vAlign w:val="bottom"/>
          </w:tcPr>
          <w:p>
            <w:pPr>
              <w:spacing w:after="0"/>
              <w:rPr>
                <w:sz w:val="18"/>
                <w:szCs w:val="18"/>
                <w:color w:val="auto"/>
              </w:rPr>
            </w:pPr>
          </w:p>
        </w:tc>
        <w:tc>
          <w:tcPr>
            <w:tcW w:w="2260" w:type="dxa"/>
            <w:vAlign w:val="bottom"/>
            <w:gridSpan w:val="5"/>
          </w:tcPr>
          <w:p>
            <w:pPr>
              <w:ind w:left="40"/>
              <w:spacing w:after="0"/>
              <w:rPr>
                <w:sz w:val="20"/>
                <w:szCs w:val="20"/>
                <w:color w:val="auto"/>
              </w:rPr>
            </w:pPr>
            <w:r>
              <w:rPr>
                <w:rFonts w:ascii="Arial" w:cs="Arial" w:eastAsia="Arial" w:hAnsi="Arial"/>
                <w:sz w:val="16"/>
                <w:szCs w:val="16"/>
                <w:b w:val="1"/>
                <w:bCs w:val="1"/>
                <w:color w:val="auto"/>
              </w:rPr>
              <w:t>Six months ended June 30,</w:t>
            </w:r>
          </w:p>
        </w:tc>
        <w:tc>
          <w:tcPr>
            <w:tcW w:w="160" w:type="dxa"/>
            <w:vAlign w:val="bottom"/>
          </w:tcPr>
          <w:p>
            <w:pPr>
              <w:spacing w:after="0"/>
              <w:rPr>
                <w:sz w:val="18"/>
                <w:szCs w:val="18"/>
                <w:color w:val="auto"/>
              </w:rPr>
            </w:pPr>
          </w:p>
        </w:tc>
        <w:tc>
          <w:tcPr>
            <w:tcW w:w="960" w:type="dxa"/>
            <w:vAlign w:val="bottom"/>
            <w:vMerge w:val="restart"/>
          </w:tcPr>
          <w:p>
            <w:pPr>
              <w:jc w:val="right"/>
              <w:ind w:right="174"/>
              <w:spacing w:after="0"/>
              <w:rPr>
                <w:sz w:val="20"/>
                <w:szCs w:val="20"/>
                <w:color w:val="auto"/>
              </w:rPr>
            </w:pPr>
            <w:r>
              <w:rPr>
                <w:rFonts w:ascii="Arial" w:cs="Arial" w:eastAsia="Arial" w:hAnsi="Arial"/>
                <w:sz w:val="16"/>
                <w:szCs w:val="16"/>
                <w:b w:val="1"/>
                <w:bCs w:val="1"/>
                <w:color w:val="auto"/>
              </w:rPr>
              <w:t>Increase</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74"/>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(decrease)</w:t>
            </w:r>
          </w:p>
        </w:tc>
        <w:tc>
          <w:tcPr>
            <w:tcW w:w="240" w:type="dxa"/>
            <w:vAlign w:val="bottom"/>
          </w:tcPr>
          <w:p>
            <w:pPr>
              <w:spacing w:after="0"/>
              <w:rPr>
                <w:sz w:val="18"/>
                <w:szCs w:val="18"/>
                <w:color w:val="auto"/>
              </w:rPr>
            </w:pPr>
          </w:p>
        </w:tc>
        <w:tc>
          <w:tcPr>
            <w:tcW w:w="900" w:type="dxa"/>
            <w:vAlign w:val="bottom"/>
          </w:tcPr>
          <w:p>
            <w:pPr>
              <w:jc w:val="right"/>
              <w:ind w:right="314"/>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34"/>
              <w:spacing w:after="0"/>
              <w:rPr>
                <w:sz w:val="20"/>
                <w:szCs w:val="20"/>
                <w:color w:val="auto"/>
              </w:rPr>
            </w:pPr>
            <w:r>
              <w:rPr>
                <w:rFonts w:ascii="Arial" w:cs="Arial" w:eastAsia="Arial" w:hAnsi="Arial"/>
                <w:sz w:val="16"/>
                <w:szCs w:val="16"/>
                <w:b w:val="1"/>
                <w:bCs w:val="1"/>
                <w:color w:val="auto"/>
                <w:w w:val="89"/>
              </w:rPr>
              <w:t>(decrease)</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3660" w:type="dxa"/>
            <w:vAlign w:val="bottom"/>
          </w:tcPr>
          <w:p>
            <w:pPr>
              <w:ind w:left="20"/>
              <w:spacing w:after="0"/>
              <w:rPr>
                <w:sz w:val="20"/>
                <w:szCs w:val="20"/>
                <w:color w:val="auto"/>
              </w:rPr>
            </w:pPr>
            <w:r>
              <w:rPr>
                <w:rFonts w:ascii="Arial" w:cs="Arial" w:eastAsia="Arial" w:hAnsi="Arial"/>
                <w:sz w:val="18"/>
                <w:szCs w:val="18"/>
                <w:color w:val="auto"/>
              </w:rPr>
              <w:t>Advertising Revenues and Expenses:</w:t>
            </w: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Applebee’s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43"/>
        </w:trPr>
        <w:tc>
          <w:tcPr>
            <w:tcW w:w="3660" w:type="dxa"/>
            <w:vAlign w:val="bottom"/>
          </w:tcPr>
          <w:p>
            <w:pPr>
              <w:ind w:left="220"/>
              <w:spacing w:after="0"/>
              <w:rPr>
                <w:sz w:val="20"/>
                <w:szCs w:val="20"/>
                <w:color w:val="auto"/>
              </w:rPr>
            </w:pPr>
            <w:r>
              <w:rPr>
                <w:rFonts w:ascii="Arial" w:cs="Arial" w:eastAsia="Arial" w:hAnsi="Arial"/>
                <w:sz w:val="18"/>
                <w:szCs w:val="18"/>
                <w:color w:val="auto"/>
              </w:rPr>
              <w:t>IHOP</w:t>
            </w:r>
          </w:p>
        </w:tc>
        <w:tc>
          <w:tcPr>
            <w:tcW w:w="200" w:type="dxa"/>
            <w:vAlign w:val="bottom"/>
          </w:tcPr>
          <w:p>
            <w:pPr>
              <w:spacing w:after="0"/>
              <w:rPr>
                <w:sz w:val="21"/>
                <w:szCs w:val="21"/>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54"/>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advertising revenues and expenses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90.8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Applebee's advertising revenue and expense for the three months ended June 30, 2020 decreased 56.6% compared to the same period of the prior year, primarily due to the decrease of 49.4% in domestic franchise same-restaurant sales and a $1.1 million increase in uncollected amounts from franchisees. IHOP's advertising revenue and expense for the three months ended June 30, 2020 decreased 63.6% compared to the same period of the prior year, primarily due to the decrease of 58.9% in domestic franchise same-restaurant sales.</w:t>
      </w:r>
    </w:p>
    <w:p>
      <w:pPr>
        <w:spacing w:after="0" w:line="214"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Applebee's advertising revenue and expense for the six months ended June 30, 2020 decreased 35.7% compared to the same period of the prior year, primarily due to the decrease of 29.0% in domestic franchise same-restaurant sales. IHOP's advertising revenue and expense for the six months ended June 30, 2020 decreased 39.2% compared to the same period of the prior year, primarily due to the decrease of 35.4% in domestic franchise same-restaurant sales.</w:t>
      </w:r>
    </w:p>
    <w:p>
      <w:pPr>
        <w:spacing w:after="0" w:line="214"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It is our accounting policy to recognize any deficiency or recovery of a previously recognized deficiency in advertising fee revenue compared to advertising expenditure in the fourth quarter of our fiscal year.</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Arial" w:cs="Arial" w:eastAsia="Arial" w:hAnsi="Arial"/>
                <w:sz w:val="18"/>
                <w:szCs w:val="18"/>
                <w:b w:val="1"/>
                <w:bCs w:val="1"/>
                <w:color w:val="auto"/>
              </w:rPr>
              <w:t>Rental Operations</w:t>
            </w:r>
          </w:p>
        </w:tc>
        <w:tc>
          <w:tcPr>
            <w:tcW w:w="220" w:type="dxa"/>
            <w:vAlign w:val="bottom"/>
          </w:tcPr>
          <w:p>
            <w:pPr>
              <w:spacing w:after="0"/>
              <w:rPr>
                <w:sz w:val="18"/>
                <w:szCs w:val="18"/>
                <w:color w:val="auto"/>
              </w:rPr>
            </w:pPr>
          </w:p>
        </w:tc>
        <w:tc>
          <w:tcPr>
            <w:tcW w:w="2320" w:type="dxa"/>
            <w:vAlign w:val="bottom"/>
            <w:gridSpan w:val="5"/>
          </w:tcPr>
          <w:p>
            <w:pPr>
              <w:jc w:val="right"/>
              <w:ind w:right="72"/>
              <w:spacing w:after="0"/>
              <w:rPr>
                <w:sz w:val="20"/>
                <w:szCs w:val="20"/>
                <w:color w:val="auto"/>
              </w:rPr>
            </w:pPr>
            <w:r>
              <w:rPr>
                <w:rFonts w:ascii="Arial" w:cs="Arial" w:eastAsia="Arial" w:hAnsi="Arial"/>
                <w:sz w:val="16"/>
                <w:szCs w:val="16"/>
                <w:b w:val="1"/>
                <w:bCs w:val="1"/>
                <w:color w:val="auto"/>
                <w:w w:val="94"/>
              </w:rPr>
              <w:t>Three months ended June 30,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Favorable</w:t>
            </w:r>
          </w:p>
        </w:tc>
        <w:tc>
          <w:tcPr>
            <w:tcW w:w="260" w:type="dxa"/>
            <w:vAlign w:val="bottom"/>
          </w:tcPr>
          <w:p>
            <w:pPr>
              <w:spacing w:after="0"/>
              <w:rPr>
                <w:sz w:val="18"/>
                <w:szCs w:val="18"/>
                <w:color w:val="auto"/>
              </w:rPr>
            </w:pPr>
          </w:p>
        </w:tc>
        <w:tc>
          <w:tcPr>
            <w:tcW w:w="2080" w:type="dxa"/>
            <w:vAlign w:val="bottom"/>
            <w:gridSpan w:val="5"/>
          </w:tcPr>
          <w:p>
            <w:pPr>
              <w:jc w:val="right"/>
              <w:ind w:right="72"/>
              <w:spacing w:after="0"/>
              <w:rPr>
                <w:sz w:val="20"/>
                <w:szCs w:val="20"/>
                <w:color w:val="auto"/>
              </w:rPr>
            </w:pPr>
            <w:r>
              <w:rPr>
                <w:rFonts w:ascii="Arial" w:cs="Arial" w:eastAsia="Arial" w:hAnsi="Arial"/>
                <w:sz w:val="16"/>
                <w:szCs w:val="16"/>
                <w:b w:val="1"/>
                <w:bCs w:val="1"/>
                <w:color w:val="auto"/>
                <w:w w:val="92"/>
              </w:rPr>
              <w:t>Six months ended June 30,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80"/>
              <w:spacing w:after="0"/>
              <w:rPr>
                <w:sz w:val="20"/>
                <w:szCs w:val="20"/>
                <w:color w:val="auto"/>
              </w:rPr>
            </w:pPr>
            <w:r>
              <w:rPr>
                <w:rFonts w:ascii="Arial" w:cs="Arial" w:eastAsia="Arial" w:hAnsi="Arial"/>
                <w:sz w:val="14"/>
                <w:szCs w:val="14"/>
                <w:b w:val="1"/>
                <w:bCs w:val="1"/>
                <w:color w:val="auto"/>
                <w:w w:val="93"/>
              </w:rPr>
              <w:t>Favorable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420" w:type="dxa"/>
            <w:vAlign w:val="bottom"/>
            <w:tcBorders>
              <w:top w:val="single" w:sz="8" w:color="auto"/>
            </w:tcBorders>
          </w:tcPr>
          <w:p>
            <w:pPr>
              <w:spacing w:after="0"/>
              <w:rPr>
                <w:sz w:val="4"/>
                <w:szCs w:val="4"/>
                <w:color w:val="auto"/>
              </w:rPr>
            </w:pPr>
          </w:p>
        </w:tc>
        <w:tc>
          <w:tcPr>
            <w:tcW w:w="134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80" w:type="dxa"/>
            <w:vAlign w:val="bottom"/>
            <w:gridSpan w:val="2"/>
            <w:vMerge w:val="restart"/>
          </w:tcPr>
          <w:p>
            <w:pPr>
              <w:jc w:val="center"/>
              <w:ind w:right="320"/>
              <w:spacing w:after="0" w:line="119" w:lineRule="exact"/>
              <w:rPr>
                <w:sz w:val="20"/>
                <w:szCs w:val="20"/>
                <w:color w:val="auto"/>
              </w:rPr>
            </w:pPr>
            <w:r>
              <w:rPr>
                <w:rFonts w:ascii="Arial" w:cs="Arial" w:eastAsia="Arial" w:hAnsi="Arial"/>
                <w:sz w:val="13"/>
                <w:szCs w:val="13"/>
                <w:b w:val="1"/>
                <w:bCs w:val="1"/>
                <w:color w:val="auto"/>
              </w:rPr>
              <w:t>(Unfavorable)</w:t>
            </w:r>
          </w:p>
        </w:tc>
        <w:tc>
          <w:tcPr>
            <w:tcW w:w="2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restart"/>
          </w:tcPr>
          <w:p>
            <w:pPr>
              <w:jc w:val="center"/>
              <w:ind w:right="80"/>
              <w:spacing w:after="0" w:line="119" w:lineRule="exact"/>
              <w:rPr>
                <w:sz w:val="20"/>
                <w:szCs w:val="20"/>
                <w:color w:val="auto"/>
              </w:rPr>
            </w:pPr>
            <w:r>
              <w:rPr>
                <w:rFonts w:ascii="Arial" w:cs="Arial" w:eastAsia="Arial" w:hAnsi="Arial"/>
                <w:sz w:val="13"/>
                <w:szCs w:val="13"/>
                <w:b w:val="1"/>
                <w:bCs w:val="1"/>
                <w:color w:val="auto"/>
              </w:rPr>
              <w:t>(Unfavorable)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vMerge w:val="restart"/>
          </w:tcPr>
          <w:p>
            <w:pPr>
              <w:jc w:val="right"/>
              <w:ind w:right="193"/>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vMerge w:val="restart"/>
          </w:tcPr>
          <w:p>
            <w:pPr>
              <w:jc w:val="right"/>
              <w:ind w:right="212"/>
              <w:spacing w:after="0"/>
              <w:rPr>
                <w:sz w:val="20"/>
                <w:szCs w:val="20"/>
                <w:color w:val="auto"/>
              </w:rPr>
            </w:pPr>
            <w:r>
              <w:rPr>
                <w:rFonts w:ascii="Arial" w:cs="Arial" w:eastAsia="Arial" w:hAnsi="Arial"/>
                <w:sz w:val="16"/>
                <w:szCs w:val="16"/>
                <w:b w:val="1"/>
                <w:bCs w:val="1"/>
                <w:color w:val="auto"/>
              </w:rPr>
              <w:t>2019</w:t>
            </w: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vMerge w:val="restart"/>
          </w:tcPr>
          <w:p>
            <w:pPr>
              <w:jc w:val="right"/>
              <w:ind w:right="173"/>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vMerge w:val="restart"/>
          </w:tcPr>
          <w:p>
            <w:pPr>
              <w:jc w:val="right"/>
              <w:ind w:right="152"/>
              <w:spacing w:after="0"/>
              <w:rPr>
                <w:sz w:val="20"/>
                <w:szCs w:val="20"/>
                <w:color w:val="auto"/>
              </w:rPr>
            </w:pPr>
            <w:r>
              <w:rPr>
                <w:rFonts w:ascii="Arial" w:cs="Arial" w:eastAsia="Arial" w:hAnsi="Arial"/>
                <w:sz w:val="16"/>
                <w:szCs w:val="16"/>
                <w:b w:val="1"/>
                <w:bCs w:val="1"/>
                <w:color w:val="auto"/>
              </w:rPr>
              <w:t>2019</w:t>
            </w: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5"/>
              </w:rPr>
              <w:t>Variance</w:t>
            </w: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2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Rental revenues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6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4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center"/>
              <w:ind w:left="461"/>
              <w:spacing w:after="0"/>
              <w:rPr>
                <w:sz w:val="20"/>
                <w:szCs w:val="20"/>
                <w:color w:val="auto"/>
              </w:rPr>
            </w:pPr>
            <w:r>
              <w:rPr>
                <w:rFonts w:ascii="Arial" w:cs="Arial" w:eastAsia="Arial" w:hAnsi="Arial"/>
                <w:sz w:val="18"/>
                <w:szCs w:val="18"/>
                <w:color w:val="auto"/>
                <w:w w:val="91"/>
              </w:rPr>
              <w:t>(6.2)</w:t>
            </w:r>
          </w:p>
        </w:tc>
        <w:tc>
          <w:tcPr>
            <w:tcW w:w="1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5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4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center"/>
              <w:ind w:left="480"/>
              <w:spacing w:after="0"/>
              <w:rPr>
                <w:sz w:val="20"/>
                <w:szCs w:val="20"/>
                <w:color w:val="auto"/>
              </w:rPr>
            </w:pPr>
            <w:r>
              <w:rPr>
                <w:rFonts w:ascii="Arial" w:cs="Arial" w:eastAsia="Arial" w:hAnsi="Arial"/>
                <w:sz w:val="18"/>
                <w:szCs w:val="18"/>
                <w:color w:val="auto"/>
                <w:w w:val="91"/>
              </w:rPr>
              <w:t>(7.9)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Rental expenses</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21.2</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22.9</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center"/>
              <w:ind w:left="501"/>
              <w:spacing w:after="0"/>
              <w:rPr>
                <w:sz w:val="20"/>
                <w:szCs w:val="20"/>
                <w:color w:val="auto"/>
              </w:rPr>
            </w:pPr>
            <w:r>
              <w:rPr>
                <w:rFonts w:ascii="Arial" w:cs="Arial" w:eastAsia="Arial" w:hAnsi="Arial"/>
                <w:sz w:val="18"/>
                <w:szCs w:val="18"/>
                <w:color w:val="auto"/>
                <w:w w:val="87"/>
              </w:rPr>
              <w:t>1.7</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43.8</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45.6</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center"/>
              <w:ind w:left="520"/>
              <w:spacing w:after="0"/>
              <w:rPr>
                <w:sz w:val="20"/>
                <w:szCs w:val="20"/>
                <w:color w:val="auto"/>
              </w:rPr>
            </w:pPr>
            <w:r>
              <w:rPr>
                <w:rFonts w:ascii="Arial" w:cs="Arial" w:eastAsia="Arial" w:hAnsi="Arial"/>
                <w:sz w:val="18"/>
                <w:szCs w:val="18"/>
                <w:color w:val="auto"/>
                <w:w w:val="87"/>
              </w:rPr>
              <w:t>1.8</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20" w:type="dxa"/>
            <w:vAlign w:val="bottom"/>
            <w:shd w:val="clear" w:color="auto" w:fill="CCEEFF"/>
          </w:tcPr>
          <w:p>
            <w:pPr>
              <w:spacing w:after="0"/>
              <w:rPr>
                <w:sz w:val="24"/>
                <w:szCs w:val="24"/>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Rental operations gross profit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center"/>
              <w:ind w:left="461"/>
              <w:spacing w:after="0"/>
              <w:rPr>
                <w:sz w:val="20"/>
                <w:szCs w:val="20"/>
                <w:color w:val="auto"/>
              </w:rPr>
            </w:pPr>
            <w:r>
              <w:rPr>
                <w:rFonts w:ascii="Arial" w:cs="Arial" w:eastAsia="Arial" w:hAnsi="Arial"/>
                <w:sz w:val="18"/>
                <w:szCs w:val="18"/>
                <w:color w:val="auto"/>
                <w:w w:val="91"/>
              </w:rPr>
              <w:t>(4.5)</w:t>
            </w: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center"/>
              <w:ind w:left="480"/>
              <w:spacing w:after="0"/>
              <w:rPr>
                <w:sz w:val="20"/>
                <w:szCs w:val="20"/>
                <w:color w:val="auto"/>
              </w:rPr>
            </w:pPr>
            <w:r>
              <w:rPr>
                <w:rFonts w:ascii="Arial" w:cs="Arial" w:eastAsia="Arial" w:hAnsi="Arial"/>
                <w:sz w:val="18"/>
                <w:szCs w:val="18"/>
                <w:color w:val="auto"/>
                <w:w w:val="91"/>
              </w:rPr>
              <w:t>(6.1)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2760" w:type="dxa"/>
            <w:vAlign w:val="bottom"/>
            <w:gridSpan w:val="2"/>
          </w:tcPr>
          <w:p>
            <w:pPr>
              <w:spacing w:after="0" w:line="244" w:lineRule="exact"/>
              <w:rPr>
                <w:sz w:val="20"/>
                <w:szCs w:val="20"/>
                <w:color w:val="auto"/>
              </w:rPr>
            </w:pPr>
            <w:r>
              <w:rPr>
                <w:rFonts w:ascii="Arial" w:cs="Arial" w:eastAsia="Arial" w:hAnsi="Arial"/>
                <w:sz w:val="18"/>
                <w:szCs w:val="18"/>
                <w:color w:val="auto"/>
              </w:rPr>
              <w:t xml:space="preserve">Gross profit as % of revenue </w:t>
            </w:r>
            <w:r>
              <w:rPr>
                <w:rFonts w:ascii="Arial" w:cs="Arial" w:eastAsia="Arial" w:hAnsi="Arial"/>
                <w:sz w:val="23"/>
                <w:szCs w:val="23"/>
                <w:color w:val="auto"/>
                <w:vertAlign w:val="superscript"/>
              </w:rPr>
              <w:t>(1)</w:t>
            </w: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w:t>
      </w:r>
    </w:p>
    <w:p>
      <w:pPr>
        <w:spacing w:after="0" w:line="59" w:lineRule="exact"/>
        <w:rPr>
          <w:sz w:val="20"/>
          <w:szCs w:val="20"/>
          <w:color w:val="auto"/>
        </w:rPr>
      </w:pPr>
    </w:p>
    <w:p>
      <w:pPr>
        <w:ind w:left="160" w:hanging="152"/>
        <w:spacing w:after="0"/>
        <w:tabs>
          <w:tab w:leader="none" w:pos="160" w:val="left"/>
        </w:tabs>
        <w:numPr>
          <w:ilvl w:val="0"/>
          <w:numId w:val="19"/>
        </w:numPr>
        <w:rPr>
          <w:rFonts w:ascii="Arial" w:cs="Arial" w:eastAsia="Arial" w:hAnsi="Arial"/>
          <w:sz w:val="9"/>
          <w:szCs w:val="9"/>
          <w:color w:val="auto"/>
        </w:rPr>
      </w:pPr>
      <w:r>
        <w:rPr>
          <w:rFonts w:ascii="Arial" w:cs="Arial" w:eastAsia="Arial" w:hAnsi="Arial"/>
          <w:sz w:val="14"/>
          <w:szCs w:val="14"/>
          <w:color w:val="auto"/>
        </w:rPr>
        <w:t>Percentages calculated on actual amounts, not rounded amounts presented above.</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5" w:name="page46"/>
    <w:bookmarkEnd w:id="4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220" w:firstLine="324"/>
        <w:spacing w:after="0" w:line="308" w:lineRule="auto"/>
        <w:rPr>
          <w:sz w:val="20"/>
          <w:szCs w:val="20"/>
          <w:color w:val="auto"/>
        </w:rPr>
      </w:pPr>
      <w:r>
        <w:rPr>
          <w:rFonts w:ascii="Arial" w:cs="Arial" w:eastAsia="Arial" w:hAnsi="Arial"/>
          <w:sz w:val="17"/>
          <w:szCs w:val="17"/>
          <w:color w:val="auto"/>
        </w:rPr>
        <w:t>Rental operations relate primarily to IHOP franchise restaurants. Rental income includes sublease revenue from operating leases and interest income from direct financing leases. Rental expenses are costs of prime operating leases and interest expense on prime financing leases.</w:t>
      </w:r>
    </w:p>
    <w:p>
      <w:pPr>
        <w:spacing w:after="0" w:line="173" w:lineRule="exact"/>
        <w:rPr>
          <w:sz w:val="20"/>
          <w:szCs w:val="20"/>
          <w:color w:val="auto"/>
        </w:rPr>
      </w:pPr>
    </w:p>
    <w:p>
      <w:pPr>
        <w:ind w:right="60" w:firstLine="324"/>
        <w:spacing w:after="0" w:line="285" w:lineRule="auto"/>
        <w:rPr>
          <w:sz w:val="20"/>
          <w:szCs w:val="20"/>
          <w:color w:val="auto"/>
        </w:rPr>
      </w:pPr>
      <w:r>
        <w:rPr>
          <w:rFonts w:ascii="Arial" w:cs="Arial" w:eastAsia="Arial" w:hAnsi="Arial"/>
          <w:sz w:val="16"/>
          <w:szCs w:val="16"/>
          <w:color w:val="auto"/>
        </w:rPr>
        <w:t>Rental segment revenue for the three months ended June 30, 2020 decreased as compared to the same period of the prior year primarily due to a $3.0 million decline in rental income based on a percentage of franchisees' retail sales, a $1.6 million decrease in base rent due to restaurant closures and lease buy-outs and a progressive decline of $0.5 million in interest income as direct financing leases are repaid. Rental segment expenses for the three months ended June 30, 2020 decreased compared to the same period of the prior year primarily due to a $0.7 million decrease in rent paid based on a percentage of franchisees' retail sales and a $0.4 million decrease in interest expense as finance lease obligations are repaid.</w:t>
      </w:r>
    </w:p>
    <w:p>
      <w:pPr>
        <w:spacing w:after="0" w:line="2" w:lineRule="exact"/>
        <w:rPr>
          <w:sz w:val="20"/>
          <w:szCs w:val="20"/>
          <w:color w:val="auto"/>
        </w:rPr>
      </w:pPr>
    </w:p>
    <w:p>
      <w:pPr>
        <w:ind w:right="60" w:firstLine="324"/>
        <w:spacing w:after="0" w:line="292" w:lineRule="auto"/>
        <w:rPr>
          <w:sz w:val="20"/>
          <w:szCs w:val="20"/>
          <w:color w:val="auto"/>
        </w:rPr>
      </w:pPr>
      <w:r>
        <w:rPr>
          <w:rFonts w:ascii="Arial" w:cs="Arial" w:eastAsia="Arial" w:hAnsi="Arial"/>
          <w:sz w:val="16"/>
          <w:szCs w:val="16"/>
          <w:color w:val="auto"/>
        </w:rPr>
        <w:t>Rental segment revenue for the six months ended June 30, 2020 decreased as compared to the same period of the prior year, primarily due to a $4.0 million decrease in rental income based on a percentage of franchisees' retail sales, a $2.3 million decrease in base rent due to restaurant closures and lease buy-outs and a progressive decline of $0.8 million in interest income as direct financing leases are repaid . Rental segment expenses for the six months ended June 30, 2020 decreased compared to the same period of the prior year primarily due to a $0.9 million decrease in rent paid based on a percentage of franchisees' retail sales and a $1.2 million decrease in interest expense as finance lease obligations are repaid.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Restaurant Operations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4"/>
          </w:tcPr>
          <w:p>
            <w:pPr>
              <w:jc w:val="right"/>
              <w:ind w:right="51"/>
              <w:spacing w:after="0"/>
              <w:rPr>
                <w:sz w:val="20"/>
                <w:szCs w:val="20"/>
                <w:color w:val="auto"/>
              </w:rPr>
            </w:pPr>
            <w:r>
              <w:rPr>
                <w:rFonts w:ascii="Arial" w:cs="Arial" w:eastAsia="Arial" w:hAnsi="Arial"/>
                <w:sz w:val="16"/>
                <w:szCs w:val="16"/>
                <w:b w:val="1"/>
                <w:bCs w:val="1"/>
                <w:color w:val="auto"/>
                <w:w w:val="94"/>
              </w:rPr>
              <w:t>Three months ended June 30,</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Favorable</w:t>
            </w:r>
          </w:p>
        </w:tc>
        <w:tc>
          <w:tcPr>
            <w:tcW w:w="260" w:type="dxa"/>
            <w:vAlign w:val="bottom"/>
          </w:tcPr>
          <w:p>
            <w:pPr>
              <w:spacing w:after="0"/>
              <w:rPr>
                <w:sz w:val="16"/>
                <w:szCs w:val="16"/>
                <w:color w:val="auto"/>
              </w:rPr>
            </w:pPr>
          </w:p>
        </w:tc>
        <w:tc>
          <w:tcPr>
            <w:tcW w:w="2060" w:type="dxa"/>
            <w:vAlign w:val="bottom"/>
            <w:gridSpan w:val="4"/>
          </w:tcPr>
          <w:p>
            <w:pPr>
              <w:jc w:val="right"/>
              <w:ind w:right="51"/>
              <w:spacing w:after="0"/>
              <w:rPr>
                <w:sz w:val="20"/>
                <w:szCs w:val="20"/>
                <w:color w:val="auto"/>
              </w:rPr>
            </w:pPr>
            <w:r>
              <w:rPr>
                <w:rFonts w:ascii="Arial" w:cs="Arial" w:eastAsia="Arial" w:hAnsi="Arial"/>
                <w:sz w:val="16"/>
                <w:szCs w:val="16"/>
                <w:b w:val="1"/>
                <w:bCs w:val="1"/>
                <w:color w:val="auto"/>
                <w:w w:val="92"/>
              </w:rPr>
              <w:t>Six months ended June 30,</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77"/>
              <w:spacing w:after="0"/>
              <w:rPr>
                <w:sz w:val="20"/>
                <w:szCs w:val="20"/>
                <w:color w:val="auto"/>
              </w:rPr>
            </w:pPr>
            <w:r>
              <w:rPr>
                <w:rFonts w:ascii="Arial" w:cs="Arial" w:eastAsia="Arial" w:hAnsi="Arial"/>
                <w:sz w:val="14"/>
                <w:szCs w:val="14"/>
                <w:b w:val="1"/>
                <w:bCs w:val="1"/>
                <w:color w:val="auto"/>
                <w:w w:val="93"/>
              </w:rPr>
              <w:t>Favorable</w:t>
            </w:r>
          </w:p>
        </w:tc>
        <w:tc>
          <w:tcPr>
            <w:tcW w:w="0" w:type="dxa"/>
            <w:vAlign w:val="bottom"/>
          </w:tcPr>
          <w:p>
            <w:pPr>
              <w:spacing w:after="0"/>
              <w:rPr>
                <w:sz w:val="1"/>
                <w:szCs w:val="1"/>
                <w:color w:val="auto"/>
              </w:rPr>
            </w:pPr>
          </w:p>
        </w:tc>
      </w:tr>
      <w:tr>
        <w:trPr>
          <w:trHeight w:val="77"/>
        </w:trPr>
        <w:tc>
          <w:tcPr>
            <w:tcW w:w="308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8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(Unfavorable)</w:t>
            </w:r>
          </w:p>
        </w:tc>
        <w:tc>
          <w:tcPr>
            <w:tcW w:w="2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vMerge w:val="restart"/>
          </w:tcPr>
          <w:p>
            <w:pPr>
              <w:jc w:val="center"/>
              <w:ind w:right="77"/>
              <w:spacing w:after="0" w:line="149" w:lineRule="exact"/>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52"/>
        </w:trPr>
        <w:tc>
          <w:tcPr>
            <w:tcW w:w="30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80" w:type="dxa"/>
            <w:vAlign w:val="bottom"/>
            <w:vMerge w:val="restart"/>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vMerge w:val="restart"/>
          </w:tcPr>
          <w:p>
            <w:pPr>
              <w:jc w:val="right"/>
              <w:ind w:right="211"/>
              <w:spacing w:after="0"/>
              <w:rPr>
                <w:sz w:val="20"/>
                <w:szCs w:val="20"/>
                <w:color w:val="auto"/>
              </w:rPr>
            </w:pPr>
            <w:r>
              <w:rPr>
                <w:rFonts w:ascii="Arial" w:cs="Arial" w:eastAsia="Arial" w:hAnsi="Arial"/>
                <w:sz w:val="16"/>
                <w:szCs w:val="16"/>
                <w:b w:val="1"/>
                <w:bCs w:val="1"/>
                <w:color w:val="auto"/>
              </w:rPr>
              <w:t>2019</w:t>
            </w: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vMerge w:val="restart"/>
          </w:tcPr>
          <w:p>
            <w:pPr>
              <w:jc w:val="right"/>
              <w:ind w:right="37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vMerge w:val="restart"/>
          </w:tcPr>
          <w:p>
            <w:pPr>
              <w:jc w:val="right"/>
              <w:ind w:right="131"/>
              <w:spacing w:after="0"/>
              <w:rPr>
                <w:sz w:val="20"/>
                <w:szCs w:val="20"/>
                <w:color w:val="auto"/>
              </w:rPr>
            </w:pPr>
            <w:r>
              <w:rPr>
                <w:rFonts w:ascii="Arial" w:cs="Arial" w:eastAsia="Arial" w:hAnsi="Arial"/>
                <w:sz w:val="16"/>
                <w:szCs w:val="16"/>
                <w:b w:val="1"/>
                <w:bCs w:val="1"/>
                <w:color w:val="auto"/>
              </w:rPr>
              <w:t>2019</w:t>
            </w: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3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Variance</w:t>
            </w:r>
          </w:p>
        </w:tc>
        <w:tc>
          <w:tcPr>
            <w:tcW w:w="2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77"/>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Effective Restaurants</w:t>
            </w:r>
          </w:p>
        </w:tc>
        <w:tc>
          <w:tcPr>
            <w:tcW w:w="2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gridSpan w:val="3"/>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3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Company restaurant sales</w:t>
            </w:r>
            <w:r>
              <w:rPr>
                <w:rFonts w:ascii="Arial" w:cs="Arial" w:eastAsia="Arial" w:hAnsi="Arial"/>
                <w:sz w:val="23"/>
                <w:szCs w:val="23"/>
                <w:color w:val="auto"/>
                <w:vertAlign w:val="superscript"/>
              </w:rPr>
              <w:t>(1)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(16.9)</w:t>
            </w: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48.1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70"/>
        </w:trPr>
        <w:tc>
          <w:tcPr>
            <w:tcW w:w="3080" w:type="dxa"/>
            <w:vAlign w:val="bottom"/>
          </w:tcPr>
          <w:p>
            <w:pPr>
              <w:ind w:left="20"/>
              <w:spacing w:after="0"/>
              <w:rPr>
                <w:sz w:val="20"/>
                <w:szCs w:val="20"/>
                <w:color w:val="auto"/>
              </w:rPr>
            </w:pPr>
            <w:r>
              <w:rPr>
                <w:rFonts w:ascii="Arial" w:cs="Arial" w:eastAsia="Arial" w:hAnsi="Arial"/>
                <w:sz w:val="18"/>
                <w:szCs w:val="18"/>
                <w:color w:val="auto"/>
              </w:rPr>
              <w:t>Company restaurant expenses</w:t>
            </w:r>
            <w:r>
              <w:rPr>
                <w:rFonts w:ascii="Arial" w:cs="Arial" w:eastAsia="Arial" w:hAnsi="Arial"/>
                <w:sz w:val="23"/>
                <w:szCs w:val="23"/>
                <w:color w:val="auto"/>
                <w:vertAlign w:val="superscript"/>
              </w:rPr>
              <w:t>(1)</w:t>
            </w:r>
          </w:p>
        </w:tc>
        <w:tc>
          <w:tcPr>
            <w:tcW w:w="240" w:type="dxa"/>
            <w:vAlign w:val="bottom"/>
          </w:tcPr>
          <w:p>
            <w:pPr>
              <w:spacing w:after="0"/>
              <w:rPr>
                <w:sz w:val="23"/>
                <w:szCs w:val="23"/>
                <w:color w:val="auto"/>
              </w:rPr>
            </w:pP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58"/>
              <w:spacing w:after="0"/>
              <w:rPr>
                <w:sz w:val="20"/>
                <w:szCs w:val="20"/>
                <w:color w:val="auto"/>
              </w:rPr>
            </w:pPr>
            <w:r>
              <w:rPr>
                <w:rFonts w:ascii="Arial" w:cs="Arial" w:eastAsia="Arial" w:hAnsi="Arial"/>
                <w:sz w:val="18"/>
                <w:szCs w:val="18"/>
                <w:color w:val="auto"/>
              </w:rPr>
              <w:t>11.1</w:t>
            </w: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50.5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62.8</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77"/>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Company restaurant expenses</w:t>
            </w:r>
            <w:r>
              <w:rPr>
                <w:rFonts w:ascii="Arial" w:cs="Arial" w:eastAsia="Arial" w:hAnsi="Arial"/>
                <w:sz w:val="23"/>
                <w:szCs w:val="23"/>
                <w:color w:val="auto"/>
                <w:vertAlign w:val="superscript"/>
              </w:rPr>
              <w:t>(2)</w:t>
            </w:r>
          </w:p>
        </w:tc>
        <w:tc>
          <w:tcPr>
            <w:tcW w:w="2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63"/>
        </w:trPr>
        <w:tc>
          <w:tcPr>
            <w:tcW w:w="3080" w:type="dxa"/>
            <w:vAlign w:val="bottom"/>
          </w:tcPr>
          <w:p>
            <w:pPr>
              <w:ind w:left="20"/>
              <w:spacing w:after="0"/>
              <w:rPr>
                <w:sz w:val="20"/>
                <w:szCs w:val="20"/>
                <w:color w:val="auto"/>
              </w:rPr>
            </w:pPr>
            <w:r>
              <w:rPr>
                <w:rFonts w:ascii="Arial" w:cs="Arial" w:eastAsia="Arial" w:hAnsi="Arial"/>
                <w:sz w:val="18"/>
                <w:szCs w:val="18"/>
                <w:color w:val="auto"/>
              </w:rPr>
              <w:t>Company restaurant gross profit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c>
          <w:tcPr>
            <w:tcW w:w="4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ind w:left="46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6.7</w:t>
            </w:r>
          </w:p>
        </w:tc>
        <w:tc>
          <w:tcPr>
            <w:tcW w:w="4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30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Gross profit as % of revenue </w:t>
            </w:r>
            <w:r>
              <w:rPr>
                <w:rFonts w:ascii="Arial" w:cs="Arial" w:eastAsia="Arial" w:hAnsi="Arial"/>
                <w:sz w:val="23"/>
                <w:szCs w:val="23"/>
                <w:color w:val="auto"/>
                <w:vertAlign w:val="superscript"/>
              </w:rPr>
              <w:t>(3)</w:t>
            </w:r>
          </w:p>
        </w:tc>
        <w:tc>
          <w:tcPr>
            <w:tcW w:w="24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94"/>
              </w:rPr>
              <w:t>(4.9)%</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w:t>
      </w:r>
    </w:p>
    <w:p>
      <w:pPr>
        <w:spacing w:after="0" w:line="59" w:lineRule="exact"/>
        <w:rPr>
          <w:sz w:val="20"/>
          <w:szCs w:val="20"/>
          <w:color w:val="auto"/>
        </w:rPr>
      </w:pPr>
    </w:p>
    <w:p>
      <w:pPr>
        <w:ind w:left="160" w:hanging="152"/>
        <w:spacing w:after="0"/>
        <w:tabs>
          <w:tab w:leader="none" w:pos="160" w:val="left"/>
        </w:tabs>
        <w:numPr>
          <w:ilvl w:val="0"/>
          <w:numId w:val="20"/>
        </w:numPr>
        <w:rPr>
          <w:rFonts w:ascii="Arial" w:cs="Arial" w:eastAsia="Arial" w:hAnsi="Arial"/>
          <w:sz w:val="9"/>
          <w:szCs w:val="9"/>
          <w:color w:val="auto"/>
        </w:rPr>
      </w:pPr>
      <w:r>
        <w:rPr>
          <w:rFonts w:ascii="Arial" w:cs="Arial" w:eastAsia="Arial" w:hAnsi="Arial"/>
          <w:sz w:val="14"/>
          <w:szCs w:val="14"/>
          <w:color w:val="auto"/>
        </w:rPr>
        <w:t>Related to 69 Applebee's company-operated restaurants.</w:t>
      </w:r>
    </w:p>
    <w:p>
      <w:pPr>
        <w:spacing w:after="0" w:line="55" w:lineRule="exact"/>
        <w:rPr>
          <w:rFonts w:ascii="Arial" w:cs="Arial" w:eastAsia="Arial" w:hAnsi="Arial"/>
          <w:sz w:val="9"/>
          <w:szCs w:val="9"/>
          <w:color w:val="auto"/>
        </w:rPr>
      </w:pPr>
    </w:p>
    <w:p>
      <w:pPr>
        <w:ind w:left="160" w:hanging="152"/>
        <w:spacing w:after="0"/>
        <w:tabs>
          <w:tab w:leader="none" w:pos="160" w:val="left"/>
        </w:tabs>
        <w:numPr>
          <w:ilvl w:val="0"/>
          <w:numId w:val="20"/>
        </w:numPr>
        <w:rPr>
          <w:rFonts w:ascii="Arial" w:cs="Arial" w:eastAsia="Arial" w:hAnsi="Arial"/>
          <w:sz w:val="9"/>
          <w:szCs w:val="9"/>
          <w:color w:val="auto"/>
        </w:rPr>
      </w:pPr>
      <w:r>
        <w:rPr>
          <w:rFonts w:ascii="Arial" w:cs="Arial" w:eastAsia="Arial" w:hAnsi="Arial"/>
          <w:sz w:val="14"/>
          <w:szCs w:val="14"/>
          <w:color w:val="auto"/>
        </w:rPr>
        <w:t>Costs associated with IHOP restaurants in the process of being refranchised.</w:t>
      </w:r>
    </w:p>
    <w:p>
      <w:pPr>
        <w:spacing w:after="0" w:line="55" w:lineRule="exact"/>
        <w:rPr>
          <w:rFonts w:ascii="Arial" w:cs="Arial" w:eastAsia="Arial" w:hAnsi="Arial"/>
          <w:sz w:val="9"/>
          <w:szCs w:val="9"/>
          <w:color w:val="auto"/>
        </w:rPr>
      </w:pPr>
    </w:p>
    <w:p>
      <w:pPr>
        <w:ind w:left="160" w:hanging="152"/>
        <w:spacing w:after="0"/>
        <w:tabs>
          <w:tab w:leader="none" w:pos="160" w:val="left"/>
        </w:tabs>
        <w:numPr>
          <w:ilvl w:val="0"/>
          <w:numId w:val="20"/>
        </w:numPr>
        <w:rPr>
          <w:rFonts w:ascii="Arial" w:cs="Arial" w:eastAsia="Arial" w:hAnsi="Arial"/>
          <w:sz w:val="9"/>
          <w:szCs w:val="9"/>
          <w:color w:val="auto"/>
        </w:rPr>
      </w:pPr>
      <w:r>
        <w:rPr>
          <w:rFonts w:ascii="Arial" w:cs="Arial" w:eastAsia="Arial" w:hAnsi="Arial"/>
          <w:sz w:val="14"/>
          <w:szCs w:val="14"/>
          <w:color w:val="auto"/>
        </w:rPr>
        <w:t>Calculated for Applebee's company-operated restaurants only. Percentages calculated on actual amounts, not rounded amounts presented above.</w:t>
      </w:r>
    </w:p>
    <w:p>
      <w:pPr>
        <w:spacing w:after="0" w:line="248" w:lineRule="exact"/>
        <w:rPr>
          <w:sz w:val="20"/>
          <w:szCs w:val="20"/>
          <w:color w:val="auto"/>
        </w:rPr>
      </w:pPr>
    </w:p>
    <w:p>
      <w:pPr>
        <w:ind w:right="120" w:firstLine="243"/>
        <w:spacing w:after="0" w:line="271" w:lineRule="auto"/>
        <w:rPr>
          <w:sz w:val="20"/>
          <w:szCs w:val="20"/>
          <w:color w:val="auto"/>
        </w:rPr>
      </w:pPr>
      <w:r>
        <w:rPr>
          <w:rFonts w:ascii="Arial" w:cs="Arial" w:eastAsia="Arial" w:hAnsi="Arial"/>
          <w:sz w:val="17"/>
          <w:szCs w:val="17"/>
          <w:color w:val="auto"/>
        </w:rPr>
        <w:t>The majority of the 69 company-operated Applebee's restaurants have remained open throughout the three and six months ended June 30, 2020; the decrease in effective restaurants for the three and six months ended June 30, 2020 reflects the temporary closure of seven restaurants for a short period of time in April 2020. In compliance with state and local requirements, the restaurants were largely limited to off-premise sales for approximately 10 weeks ( the last three weeks of the first quarter and the first seven weeks of the second quarter). By mid-May, 2020, the dining rooms for all 69 restaurants were open but limited to no more than 50% of capacity. As a result of these restrictions, same-restaurant sales decreased 49.2% and 30.2%, respectively, for the three and six months ended June 30, 2020. The comparison of gross profit for Applebee's company-operated restaurants as a percentage of revenue for the three and six months ended June 30, 2020 as compared to the same periods of the prior year was adversely impacted by the COVID-19-related operating constraints described above.</w:t>
      </w:r>
    </w:p>
    <w:p>
      <w:pPr>
        <w:spacing w:after="0" w:line="205" w:lineRule="exact"/>
        <w:rPr>
          <w:sz w:val="20"/>
          <w:szCs w:val="20"/>
          <w:color w:val="auto"/>
        </w:rPr>
      </w:pPr>
    </w:p>
    <w:p>
      <w:pPr>
        <w:ind w:right="560" w:firstLine="243"/>
        <w:spacing w:after="0" w:line="277" w:lineRule="auto"/>
        <w:rPr>
          <w:sz w:val="20"/>
          <w:szCs w:val="20"/>
          <w:color w:val="auto"/>
        </w:rPr>
      </w:pPr>
      <w:r>
        <w:rPr>
          <w:rFonts w:ascii="Arial" w:cs="Arial" w:eastAsia="Arial" w:hAnsi="Arial"/>
          <w:sz w:val="18"/>
          <w:szCs w:val="18"/>
          <w:color w:val="auto"/>
        </w:rPr>
        <w:t>In addition, Company segment restaurant expenses for the three and six months ended June 30, 2020 include approximately $1.0 million of costs associated with certain IHOP restaurants while in the process of being refranchised.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Financing Operations</w:t>
      </w:r>
    </w:p>
    <w:p>
      <w:pPr>
        <w:spacing w:after="0" w:line="256"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Financing revenues primarily consist of interest income from the financing of IHOP equipment leases and franchise fees, sales of equipment associated with refranchised IHOP restaurants and interest income on Applebee's notes receivable from franchisees. Financing expenses are the cost of any restaurant equipment sold associated with refranchised IHOP restaurants.</w:t>
      </w:r>
    </w:p>
    <w:p>
      <w:pPr>
        <w:spacing w:after="0" w:line="21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Financing revenue and gross profit for the three and six months ended June 30, 2020 declined primarily because of decreases in interest income as note balances are repaid.</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6" w:name="page47"/>
    <w:bookmarkEnd w:id="4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800" w:type="dxa"/>
            <w:vAlign w:val="bottom"/>
            <w:gridSpan w:val="2"/>
          </w:tcPr>
          <w:p>
            <w:pPr>
              <w:spacing w:after="0"/>
              <w:rPr>
                <w:sz w:val="20"/>
                <w:szCs w:val="20"/>
                <w:color w:val="auto"/>
              </w:rPr>
            </w:pPr>
            <w:r>
              <w:rPr>
                <w:rFonts w:ascii="Arial" w:cs="Arial" w:eastAsia="Arial" w:hAnsi="Arial"/>
                <w:sz w:val="18"/>
                <w:szCs w:val="18"/>
                <w:b w:val="1"/>
                <w:bCs w:val="1"/>
                <w:color w:val="auto"/>
              </w:rPr>
              <w:t>G&amp;A Expenses</w:t>
            </w:r>
          </w:p>
        </w:tc>
        <w:tc>
          <w:tcPr>
            <w:tcW w:w="2800" w:type="dxa"/>
            <w:vAlign w:val="bottom"/>
            <w:gridSpan w:val="6"/>
          </w:tcPr>
          <w:p>
            <w:pPr>
              <w:ind w:left="320"/>
              <w:spacing w:after="0"/>
              <w:rPr>
                <w:sz w:val="20"/>
                <w:szCs w:val="20"/>
                <w:color w:val="auto"/>
              </w:rPr>
            </w:pPr>
            <w:r>
              <w:rPr>
                <w:rFonts w:ascii="Arial" w:cs="Arial" w:eastAsia="Arial" w:hAnsi="Arial"/>
                <w:sz w:val="16"/>
                <w:szCs w:val="16"/>
                <w:b w:val="1"/>
                <w:bCs w:val="1"/>
                <w:color w:val="auto"/>
              </w:rPr>
              <w:t>Three months ended June 30,</w:t>
            </w:r>
          </w:p>
        </w:tc>
        <w:tc>
          <w:tcPr>
            <w:tcW w:w="16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Favorable</w:t>
            </w:r>
          </w:p>
        </w:tc>
        <w:tc>
          <w:tcPr>
            <w:tcW w:w="260" w:type="dxa"/>
            <w:vAlign w:val="bottom"/>
          </w:tcPr>
          <w:p>
            <w:pPr>
              <w:spacing w:after="0"/>
              <w:rPr>
                <w:sz w:val="17"/>
                <w:szCs w:val="17"/>
                <w:color w:val="auto"/>
              </w:rPr>
            </w:pPr>
          </w:p>
        </w:tc>
        <w:tc>
          <w:tcPr>
            <w:tcW w:w="2300" w:type="dxa"/>
            <w:vAlign w:val="bottom"/>
            <w:gridSpan w:val="5"/>
          </w:tcPr>
          <w:p>
            <w:pPr>
              <w:ind w:left="60"/>
              <w:spacing w:after="0"/>
              <w:rPr>
                <w:sz w:val="20"/>
                <w:szCs w:val="20"/>
                <w:color w:val="auto"/>
              </w:rPr>
            </w:pPr>
            <w:r>
              <w:rPr>
                <w:rFonts w:ascii="Arial" w:cs="Arial" w:eastAsia="Arial" w:hAnsi="Arial"/>
                <w:sz w:val="16"/>
                <w:szCs w:val="16"/>
                <w:b w:val="1"/>
                <w:bCs w:val="1"/>
                <w:color w:val="auto"/>
              </w:rPr>
              <w:t>Six months ended June 30,</w:t>
            </w:r>
          </w:p>
        </w:tc>
        <w:tc>
          <w:tcPr>
            <w:tcW w:w="180" w:type="dxa"/>
            <w:vAlign w:val="bottom"/>
          </w:tcPr>
          <w:p>
            <w:pPr>
              <w:spacing w:after="0"/>
              <w:rPr>
                <w:sz w:val="17"/>
                <w:szCs w:val="17"/>
                <w:color w:val="auto"/>
              </w:rPr>
            </w:pPr>
          </w:p>
        </w:tc>
        <w:tc>
          <w:tcPr>
            <w:tcW w:w="1120" w:type="dxa"/>
            <w:vAlign w:val="bottom"/>
          </w:tcPr>
          <w:p>
            <w:pPr>
              <w:jc w:val="center"/>
              <w:ind w:right="105"/>
              <w:spacing w:after="0"/>
              <w:rPr>
                <w:sz w:val="20"/>
                <w:szCs w:val="20"/>
                <w:color w:val="auto"/>
              </w:rPr>
            </w:pPr>
            <w:r>
              <w:rPr>
                <w:rFonts w:ascii="Arial" w:cs="Arial" w:eastAsia="Arial" w:hAnsi="Arial"/>
                <w:sz w:val="14"/>
                <w:szCs w:val="14"/>
                <w:b w:val="1"/>
                <w:bCs w:val="1"/>
                <w:color w:val="auto"/>
                <w:w w:val="93"/>
              </w:rPr>
              <w:t>Favorable</w:t>
            </w:r>
          </w:p>
        </w:tc>
        <w:tc>
          <w:tcPr>
            <w:tcW w:w="0" w:type="dxa"/>
            <w:vAlign w:val="bottom"/>
          </w:tcPr>
          <w:p>
            <w:pPr>
              <w:spacing w:after="0"/>
              <w:rPr>
                <w:sz w:val="1"/>
                <w:szCs w:val="1"/>
                <w:color w:val="auto"/>
              </w:rPr>
            </w:pPr>
          </w:p>
        </w:tc>
      </w:tr>
      <w:tr>
        <w:trPr>
          <w:trHeight w:val="48"/>
        </w:trPr>
        <w:tc>
          <w:tcPr>
            <w:tcW w:w="1180" w:type="dxa"/>
            <w:vAlign w:val="bottom"/>
            <w:tcBorders>
              <w:top w:val="single" w:sz="8" w:color="auto"/>
            </w:tcBorders>
          </w:tcPr>
          <w:p>
            <w:pPr>
              <w:spacing w:after="0"/>
              <w:rPr>
                <w:sz w:val="4"/>
                <w:szCs w:val="4"/>
                <w:color w:val="auto"/>
              </w:rPr>
            </w:pPr>
          </w:p>
        </w:tc>
        <w:tc>
          <w:tcPr>
            <w:tcW w:w="162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gridSpan w:val="2"/>
            <w:vMerge w:val="restart"/>
          </w:tcPr>
          <w:p>
            <w:pPr>
              <w:jc w:val="center"/>
              <w:ind w:right="260"/>
              <w:spacing w:after="0" w:line="119" w:lineRule="exact"/>
              <w:rPr>
                <w:sz w:val="20"/>
                <w:szCs w:val="20"/>
                <w:color w:val="auto"/>
              </w:rPr>
            </w:pPr>
            <w:r>
              <w:rPr>
                <w:rFonts w:ascii="Arial" w:cs="Arial" w:eastAsia="Arial" w:hAnsi="Arial"/>
                <w:sz w:val="13"/>
                <w:szCs w:val="13"/>
                <w:b w:val="1"/>
                <w:bCs w:val="1"/>
                <w:color w:val="auto"/>
              </w:rPr>
              <w:t>(Unfavorable)</w:t>
            </w:r>
          </w:p>
        </w:tc>
        <w:tc>
          <w:tcPr>
            <w:tcW w:w="2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vMerge w:val="restart"/>
          </w:tcPr>
          <w:p>
            <w:pPr>
              <w:jc w:val="center"/>
              <w:ind w:right="105"/>
              <w:spacing w:after="0" w:line="119" w:lineRule="exact"/>
              <w:rPr>
                <w:sz w:val="20"/>
                <w:szCs w:val="20"/>
                <w:color w:val="auto"/>
              </w:rPr>
            </w:pPr>
            <w:r>
              <w:rPr>
                <w:rFonts w:ascii="Arial" w:cs="Arial" w:eastAsia="Arial" w:hAnsi="Arial"/>
                <w:sz w:val="13"/>
                <w:szCs w:val="13"/>
                <w:b w:val="1"/>
                <w:bCs w:val="1"/>
                <w:color w:val="auto"/>
              </w:rPr>
              <w:t>(Unfavorable)</w:t>
            </w:r>
          </w:p>
        </w:tc>
        <w:tc>
          <w:tcPr>
            <w:tcW w:w="0" w:type="dxa"/>
            <w:vAlign w:val="bottom"/>
          </w:tcPr>
          <w:p>
            <w:pPr>
              <w:spacing w:after="0"/>
              <w:rPr>
                <w:sz w:val="1"/>
                <w:szCs w:val="1"/>
                <w:color w:val="auto"/>
              </w:rPr>
            </w:pPr>
          </w:p>
        </w:tc>
      </w:tr>
      <w:tr>
        <w:trPr>
          <w:trHeight w:val="52"/>
        </w:trPr>
        <w:tc>
          <w:tcPr>
            <w:tcW w:w="11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2020</w:t>
            </w: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vMerge w:val="restart"/>
          </w:tcPr>
          <w:p>
            <w:pPr>
              <w:jc w:val="right"/>
              <w:ind w:right="415"/>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vMerge w:val="restart"/>
          </w:tcPr>
          <w:p>
            <w:pPr>
              <w:jc w:val="right"/>
              <w:ind w:right="336"/>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vMerge w:val="restart"/>
          </w:tcPr>
          <w:p>
            <w:pPr>
              <w:jc w:val="right"/>
              <w:ind w:right="335"/>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11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Variance</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05"/>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190"/>
        </w:trPr>
        <w:tc>
          <w:tcPr>
            <w:tcW w:w="11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2800" w:type="dxa"/>
            <w:vAlign w:val="bottom"/>
            <w:gridSpan w:val="2"/>
          </w:tcPr>
          <w:p>
            <w:pPr>
              <w:spacing w:after="0"/>
              <w:rPr>
                <w:sz w:val="20"/>
                <w:szCs w:val="20"/>
                <w:color w:val="auto"/>
              </w:rPr>
            </w:pPr>
            <w:r>
              <w:rPr>
                <w:rFonts w:ascii="Arial" w:cs="Arial" w:eastAsia="Arial" w:hAnsi="Arial"/>
                <w:sz w:val="18"/>
                <w:szCs w:val="18"/>
                <w:color w:val="auto"/>
              </w:rPr>
              <w:t>Total G&amp;A expenses</w:t>
            </w:r>
          </w:p>
        </w:tc>
        <w:tc>
          <w:tcPr>
            <w:tcW w:w="820" w:type="dxa"/>
            <w:vAlign w:val="bottom"/>
            <w:tcBorders>
              <w:bottom w:val="single" w:sz="8" w:color="auto"/>
            </w:tcBorders>
          </w:tcPr>
          <w:p>
            <w:pPr>
              <w:jc w:val="right"/>
              <w:ind w:right="63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5"/>
              </w:rPr>
              <w:t>30.9</w:t>
            </w:r>
          </w:p>
        </w:tc>
        <w:tc>
          <w:tcPr>
            <w:tcW w:w="120" w:type="dxa"/>
            <w:vAlign w:val="bottom"/>
          </w:tcPr>
          <w:p>
            <w:pPr>
              <w:spacing w:after="0"/>
              <w:rPr>
                <w:sz w:val="24"/>
                <w:szCs w:val="24"/>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85"/>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82.2</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65"/>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
        </w:trPr>
        <w:tc>
          <w:tcPr>
            <w:tcW w:w="1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G&amp;A expenses for the three months ended June 30, 2020 decreased 21.6% compared to the same period of the prior year, primarily due to a $6.2 million decrease in personnel-related costs, as well as decreases in travel, conference and consumer research costs, partially offset by increased depreciation primarily related to capitalized software projects. The decline in personnel-related costs was primarily due to lower costs of salaries and benefits, related in large part to the furloughing of approximately one-third of team members across various functional groups in our restaurant support centers, as well as lower costs of equity-based and other incentive compensation. Included in total G&amp;A expenses for the three months ended June 30, 2020 were $0.9 million of expenses related to company-operated restaurants, a decrease of $0.2 million from the same period of the prior year.</w:t>
      </w:r>
    </w:p>
    <w:p>
      <w:pPr>
        <w:spacing w:after="0" w:line="191"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G&amp;A expenses for the six months ended June 30, 2020 decreased 16.7% compared to the same period of the prior year, primarily due to an $11.7 million decrease in personnel-related costs, as well as decreases in travel, conferences and consumer research costs, partially offset by increased depreciation primarily related to capitalized software projects. The decline in personnel-related costs was primarily due to lower costs of salaries and benefits, related in large part to the furloughing of approximately one-third of team members across various functional groups in our restaurant support centers, as well as lower costs of equity-based and other incentive compensation. Included in total G&amp;A expenses for the six months ended June 30, 2020 were $2.2 million of expenses related to company-operated restaurants, a decrease of $0.3 million from the same period of the prior year.</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440" w:type="dxa"/>
            <w:vAlign w:val="bottom"/>
            <w:gridSpan w:val="2"/>
          </w:tcPr>
          <w:p>
            <w:pPr>
              <w:spacing w:after="0"/>
              <w:rPr>
                <w:sz w:val="20"/>
                <w:szCs w:val="20"/>
                <w:color w:val="auto"/>
              </w:rPr>
            </w:pPr>
            <w:r>
              <w:rPr>
                <w:rFonts w:ascii="Arial" w:cs="Arial" w:eastAsia="Arial" w:hAnsi="Arial"/>
                <w:sz w:val="18"/>
                <w:szCs w:val="18"/>
                <w:b w:val="1"/>
                <w:bCs w:val="1"/>
                <w:color w:val="auto"/>
              </w:rPr>
              <w:t>Impairment and Closure Costs</w:t>
            </w:r>
          </w:p>
        </w:tc>
        <w:tc>
          <w:tcPr>
            <w:tcW w:w="220" w:type="dxa"/>
            <w:vAlign w:val="bottom"/>
          </w:tcPr>
          <w:p>
            <w:pPr>
              <w:spacing w:after="0"/>
              <w:rPr>
                <w:sz w:val="17"/>
                <w:szCs w:val="17"/>
                <w:color w:val="auto"/>
              </w:rPr>
            </w:pPr>
          </w:p>
        </w:tc>
        <w:tc>
          <w:tcPr>
            <w:tcW w:w="256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June 30,</w:t>
            </w:r>
          </w:p>
        </w:tc>
        <w:tc>
          <w:tcPr>
            <w:tcW w:w="12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Favorable</w:t>
            </w:r>
          </w:p>
        </w:tc>
        <w:tc>
          <w:tcPr>
            <w:tcW w:w="240" w:type="dxa"/>
            <w:vAlign w:val="bottom"/>
          </w:tcPr>
          <w:p>
            <w:pPr>
              <w:spacing w:after="0"/>
              <w:rPr>
                <w:sz w:val="17"/>
                <w:szCs w:val="17"/>
                <w:color w:val="auto"/>
              </w:rPr>
            </w:pPr>
          </w:p>
        </w:tc>
        <w:tc>
          <w:tcPr>
            <w:tcW w:w="2280" w:type="dxa"/>
            <w:vAlign w:val="bottom"/>
            <w:gridSpan w:val="5"/>
          </w:tcPr>
          <w:p>
            <w:pPr>
              <w:ind w:left="40"/>
              <w:spacing w:after="0"/>
              <w:rPr>
                <w:sz w:val="20"/>
                <w:szCs w:val="20"/>
                <w:color w:val="auto"/>
              </w:rPr>
            </w:pPr>
            <w:r>
              <w:rPr>
                <w:rFonts w:ascii="Arial" w:cs="Arial" w:eastAsia="Arial" w:hAnsi="Arial"/>
                <w:sz w:val="16"/>
                <w:szCs w:val="16"/>
                <w:b w:val="1"/>
                <w:bCs w:val="1"/>
                <w:color w:val="auto"/>
              </w:rPr>
              <w:t>Six months ended June 30,</w:t>
            </w:r>
          </w:p>
        </w:tc>
        <w:tc>
          <w:tcPr>
            <w:tcW w:w="140" w:type="dxa"/>
            <w:vAlign w:val="bottom"/>
          </w:tcPr>
          <w:p>
            <w:pPr>
              <w:spacing w:after="0"/>
              <w:rPr>
                <w:sz w:val="17"/>
                <w:szCs w:val="17"/>
                <w:color w:val="auto"/>
              </w:rPr>
            </w:pPr>
          </w:p>
        </w:tc>
        <w:tc>
          <w:tcPr>
            <w:tcW w:w="1040" w:type="dxa"/>
            <w:vAlign w:val="bottom"/>
          </w:tcPr>
          <w:p>
            <w:pPr>
              <w:jc w:val="center"/>
              <w:ind w:right="57"/>
              <w:spacing w:after="0"/>
              <w:rPr>
                <w:sz w:val="20"/>
                <w:szCs w:val="20"/>
                <w:color w:val="auto"/>
              </w:rPr>
            </w:pPr>
            <w:r>
              <w:rPr>
                <w:rFonts w:ascii="Arial" w:cs="Arial" w:eastAsia="Arial" w:hAnsi="Arial"/>
                <w:sz w:val="14"/>
                <w:szCs w:val="14"/>
                <w:b w:val="1"/>
                <w:bCs w:val="1"/>
                <w:color w:val="auto"/>
                <w:w w:val="93"/>
              </w:rPr>
              <w:t>Favorable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380" w:type="dxa"/>
            <w:vAlign w:val="bottom"/>
            <w:tcBorders>
              <w:top w:val="single" w:sz="8" w:color="auto"/>
            </w:tcBorders>
          </w:tcPr>
          <w:p>
            <w:pPr>
              <w:spacing w:after="0"/>
              <w:rPr>
                <w:sz w:val="4"/>
                <w:szCs w:val="4"/>
                <w:color w:val="auto"/>
              </w:rPr>
            </w:pPr>
          </w:p>
        </w:tc>
        <w:tc>
          <w:tcPr>
            <w:tcW w:w="106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gridSpan w:val="2"/>
            <w:vMerge w:val="restart"/>
          </w:tcPr>
          <w:p>
            <w:pPr>
              <w:jc w:val="center"/>
              <w:ind w:right="240"/>
              <w:spacing w:after="0" w:line="119" w:lineRule="exact"/>
              <w:rPr>
                <w:sz w:val="20"/>
                <w:szCs w:val="20"/>
                <w:color w:val="auto"/>
              </w:rPr>
            </w:pPr>
            <w:r>
              <w:rPr>
                <w:rFonts w:ascii="Arial" w:cs="Arial" w:eastAsia="Arial" w:hAnsi="Arial"/>
                <w:sz w:val="13"/>
                <w:szCs w:val="13"/>
                <w:b w:val="1"/>
                <w:bCs w:val="1"/>
                <w:color w:val="auto"/>
              </w:rPr>
              <w:t>(Unfavorable)</w:t>
            </w:r>
          </w:p>
        </w:tc>
        <w:tc>
          <w:tcPr>
            <w:tcW w:w="2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vMerge w:val="restart"/>
          </w:tcPr>
          <w:p>
            <w:pPr>
              <w:jc w:val="center"/>
              <w:ind w:right="57"/>
              <w:spacing w:after="0" w:line="119" w:lineRule="exact"/>
              <w:rPr>
                <w:sz w:val="20"/>
                <w:szCs w:val="20"/>
                <w:color w:val="auto"/>
              </w:rPr>
            </w:pPr>
            <w:r>
              <w:rPr>
                <w:rFonts w:ascii="Arial" w:cs="Arial" w:eastAsia="Arial" w:hAnsi="Arial"/>
                <w:sz w:val="13"/>
                <w:szCs w:val="13"/>
                <w:b w:val="1"/>
                <w:bCs w:val="1"/>
                <w:color w:val="auto"/>
              </w:rPr>
              <w:t>(Unfavorable)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3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vMerge w:val="restart"/>
          </w:tcPr>
          <w:p>
            <w:pPr>
              <w:jc w:val="right"/>
              <w:ind w:right="372"/>
              <w:spacing w:after="0"/>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restart"/>
          </w:tcPr>
          <w:p>
            <w:pPr>
              <w:jc w:val="right"/>
              <w:ind w:right="37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vMerge w:val="restart"/>
          </w:tcPr>
          <w:p>
            <w:pPr>
              <w:jc w:val="right"/>
              <w:ind w:right="352"/>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vMerge w:val="restart"/>
          </w:tcPr>
          <w:p>
            <w:pPr>
              <w:jc w:val="right"/>
              <w:ind w:right="29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5"/>
              </w:rPr>
              <w:t>Variance</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3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Goodwill impairment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92.2</w:t>
            </w:r>
          </w:p>
        </w:tc>
        <w:tc>
          <w:tcPr>
            <w:tcW w:w="1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(92.2)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92.2</w:t>
            </w: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Tradename impairment</w:t>
            </w:r>
          </w:p>
        </w:tc>
        <w:tc>
          <w:tcPr>
            <w:tcW w:w="220" w:type="dxa"/>
            <w:vAlign w:val="bottom"/>
          </w:tcPr>
          <w:p>
            <w:pPr>
              <w:spacing w:after="0"/>
              <w:rPr>
                <w:sz w:val="21"/>
                <w:szCs w:val="21"/>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11.0</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40" w:type="dxa"/>
            <w:vAlign w:val="bottom"/>
          </w:tcPr>
          <w:p>
            <w:pPr>
              <w:jc w:val="right"/>
              <w:ind w:right="18"/>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11.0</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Long-lived asset impairment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17.2</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17.2</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Impairment of reacquired franchise rights</w:t>
            </w:r>
          </w:p>
        </w:tc>
        <w:tc>
          <w:tcPr>
            <w:tcW w:w="220" w:type="dxa"/>
            <w:vAlign w:val="bottom"/>
          </w:tcPr>
          <w:p>
            <w:pPr>
              <w:spacing w:after="0"/>
              <w:rPr>
                <w:sz w:val="21"/>
                <w:szCs w:val="21"/>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40" w:type="dxa"/>
            <w:vAlign w:val="bottom"/>
          </w:tcPr>
          <w:p>
            <w:pPr>
              <w:jc w:val="right"/>
              <w:ind w:right="18"/>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Closure costs</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0.7</w:t>
            </w:r>
          </w:p>
        </w:tc>
        <w:tc>
          <w:tcPr>
            <w:tcW w:w="1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0.7</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124.4</w:t>
            </w:r>
          </w:p>
        </w:tc>
        <w:tc>
          <w:tcPr>
            <w:tcW w:w="1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(124.1)</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124.4</w:t>
            </w:r>
          </w:p>
        </w:tc>
        <w:tc>
          <w:tcPr>
            <w:tcW w:w="14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Company evaluates its goodwill and the indefinite-lived Applebee's tradename for impairment annually in the fourth quarter of each year or on an interim basis if events or changes in circumstances between annual tests indicate a potential impairment. Definite-lived intangible assets and long-lived tangible assets are reviewed for impairment whenever events or changes in circumstances indicate that the carrying amount of an asset or asset group may not be recoverable based on estimated undiscounted future cash flows.</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March 2020, a global pandemic was declared by the World Health Organization related to the rapidly spreading</w:t>
      </w:r>
    </w:p>
    <w:p>
      <w:pPr>
        <w:spacing w:after="0" w:line="23"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outbreak of COVID-19. We first began to experience impacts from COVID-19 around the middle of March 2020, as international, federal, state and local governments began to react to the public health crisis by encouraging or requiring “social distancing,” instituting shelter-in-place orders, and requiring, in varying degrees, reduced operating hours, restaurant dine-in limitations, capacity limitations or other restrictions that largely limited restaurants to take-out and delivery sales. Accordingly, during the three months ended March 31, 2020, we performed assessments to determine whether the impacts of COVID-19 indicated a potential impairment to our goodwill and intangible assets (primarily related to our acquisition of Applebee's in 2007), as well as our tangible assets. We evaluated multiple scenarios modeling impacts of COVID-19 on our key performance indicators and our long-term view of future trends in sales, operating expenses, overhead expenses, depreciation, capital expenditures and changes in working capital. We also considered the continuing favorable benefits of the Tax Cuts and Jobs Act of 2017, the strong recovery of the Applebee's brand in 2018 and the Applebee's brand performance during the first quarter of 2020 through the week ended March 8, 2020, and the market value of our stock, absolute and relative to the overall U. S. stock market, throughout the first quarter of 2020. We concluded, based on information available at that time, it was not more likely than not that the carrying value of goodwill and intangible assets exceeded fair value as of March 31, 2020.</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In the second quarter of 2020, the Company noted that its common stock had recovered less of its early March 2020 (pre-pandemic) market value than the overall U.S. stock market had recovered. The Company also was able to assess several additional months of data as to the impact of the COVID-19 pandemic on its operations and, in turn, assess the impact that might have on the risk premium incorporated into its discount rate. Based on these developments, the Company determined that an interim quantitative test of goodwill and indefinite-lived intangible assets for impairment should be performed as of May 24, 2020. In determining fair value, the Company utilized valuation techniques that maximize the use of observable inputs and minimize the use of unobservable inputs to the extent possible. The fair value technique used in this instance is classified as Level 3, where unobservable inputs are used when little or no market data is available.</w:t>
      </w:r>
    </w:p>
    <w:p>
      <w:pPr>
        <w:spacing w:after="0" w:line="222"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In performing the quantitative test for impairment of goodwill, we used the income approach method of valuation that includes the discounted cash flow method and the market approach that includes the guideline public company method to determine the fair value of goodwill and intangible assets. Significant assumptions made by management in estimating fair value under the discounted cash flow model include future trends in sales, operating expenses, overhead expenses, depreciation, capital expenditures and changes in working capital, along with an appropriate discount rate based on our estimated cost of equity capital and after-tax cost of debt. Significant assumptions used to determine fair value under the guideline public company method include the selection of guideline companies and the valuation multiples applied.</w:t>
      </w:r>
    </w:p>
    <w:p>
      <w:pPr>
        <w:spacing w:after="0" w:line="205"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In performing the impairment review of the tradename, we used the relief of royalty method under the income approach method of valuation. Significant assumptions used to determine fair value under the relief of royalty method include future trends in sales, a royalty rate and a discount rate to be applied to the forecast revenue stream.</w:t>
      </w:r>
    </w:p>
    <w:p>
      <w:pPr>
        <w:spacing w:after="0" w:line="21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As a result of performing the quantitative test of impairment, the Company recognized an impairment of Applebee's goodwill of $92.2 million and an impairment of Applebee's tradename of $11.0 million.</w:t>
      </w:r>
    </w:p>
    <w:p>
      <w:pPr>
        <w:spacing w:after="0" w:line="197" w:lineRule="exact"/>
        <w:rPr>
          <w:sz w:val="20"/>
          <w:szCs w:val="20"/>
          <w:color w:val="auto"/>
        </w:rPr>
      </w:pPr>
    </w:p>
    <w:p>
      <w:pPr>
        <w:ind w:right="560" w:firstLine="324"/>
        <w:spacing w:after="0" w:line="263" w:lineRule="auto"/>
        <w:rPr>
          <w:sz w:val="20"/>
          <w:szCs w:val="20"/>
          <w:color w:val="auto"/>
        </w:rPr>
      </w:pPr>
      <w:r>
        <w:rPr>
          <w:rFonts w:ascii="Arial" w:cs="Arial" w:eastAsia="Arial" w:hAnsi="Arial"/>
          <w:sz w:val="18"/>
          <w:szCs w:val="18"/>
          <w:color w:val="auto"/>
        </w:rPr>
        <w:t>The majority of the impairment was due to an increase in the assessed risk premium incorporated in the discount rate. These assets are at risk of additional impairment in the future in the event of sustained downward movement in the Company's stock price, downward revisions of long-term performance assumptions or increases in the assumed long-term discount rate.</w:t>
      </w:r>
    </w:p>
    <w:p>
      <w:pPr>
        <w:spacing w:after="0" w:line="211" w:lineRule="exact"/>
        <w:rPr>
          <w:sz w:val="20"/>
          <w:szCs w:val="20"/>
          <w:color w:val="auto"/>
        </w:rPr>
      </w:pPr>
    </w:p>
    <w:p>
      <w:pPr>
        <w:ind w:right="160" w:firstLine="324"/>
        <w:spacing w:after="0"/>
        <w:rPr>
          <w:sz w:val="20"/>
          <w:szCs w:val="20"/>
          <w:color w:val="auto"/>
        </w:rPr>
      </w:pPr>
      <w:r>
        <w:rPr>
          <w:rFonts w:ascii="Arial" w:cs="Arial" w:eastAsia="Arial" w:hAnsi="Arial"/>
          <w:sz w:val="18"/>
          <w:szCs w:val="18"/>
          <w:color w:val="auto"/>
        </w:rPr>
        <w:t>The long-lived asset impairment related to 46 Applebee's company-operated restaurants and 33 IHOP franchisee-operated restaurants for which the carrying amount exceeded the undiscounted cash flows The impairment recorded represented the difference between the carrying value and the estimated fair value. Approximately $9.4 million of the total impairment related to operating lease right-of-use assets that had been recorded in 2019 upon adoption of new accounting guidance for leases codified in Accounting Standards Topic 842, while $7.8 million related to impairments of land, building, leasehold improvements and finance leases. The impairments by individual property varied in amount, ranging from the largest single-property impairment of $1.3 million to less than $5,000.</w:t>
      </w:r>
    </w:p>
    <w:p>
      <w:pPr>
        <w:spacing w:after="0" w:line="216"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An impairment of $3.3 million was recognized related to the reacquired franchise rights intangible asset recorded in the purchase price allocation of the December 2018 acquisition of 69 Applebee's restaurants from a former franchisee.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b w:val="1"/>
                <w:bCs w:val="1"/>
                <w:color w:val="auto"/>
              </w:rPr>
              <w:t>Other Income and Expense Items</w:t>
            </w:r>
          </w:p>
        </w:tc>
        <w:tc>
          <w:tcPr>
            <w:tcW w:w="200" w:type="dxa"/>
            <w:vAlign w:val="bottom"/>
          </w:tcPr>
          <w:p>
            <w:pPr>
              <w:spacing w:after="0"/>
              <w:rPr>
                <w:sz w:val="18"/>
                <w:szCs w:val="18"/>
                <w:color w:val="auto"/>
              </w:rPr>
            </w:pPr>
          </w:p>
        </w:tc>
        <w:tc>
          <w:tcPr>
            <w:tcW w:w="252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June 30,</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Favorable</w:t>
            </w:r>
          </w:p>
        </w:tc>
        <w:tc>
          <w:tcPr>
            <w:tcW w:w="240" w:type="dxa"/>
            <w:vAlign w:val="bottom"/>
          </w:tcPr>
          <w:p>
            <w:pPr>
              <w:spacing w:after="0"/>
              <w:rPr>
                <w:sz w:val="18"/>
                <w:szCs w:val="18"/>
                <w:color w:val="auto"/>
              </w:rPr>
            </w:pPr>
          </w:p>
        </w:tc>
        <w:tc>
          <w:tcPr>
            <w:tcW w:w="2260" w:type="dxa"/>
            <w:vAlign w:val="bottom"/>
            <w:gridSpan w:val="5"/>
          </w:tcPr>
          <w:p>
            <w:pPr>
              <w:ind w:left="20"/>
              <w:spacing w:after="0"/>
              <w:rPr>
                <w:sz w:val="20"/>
                <w:szCs w:val="20"/>
                <w:color w:val="auto"/>
              </w:rPr>
            </w:pPr>
            <w:r>
              <w:rPr>
                <w:rFonts w:ascii="Arial" w:cs="Arial" w:eastAsia="Arial" w:hAnsi="Arial"/>
                <w:sz w:val="16"/>
                <w:szCs w:val="16"/>
                <w:b w:val="1"/>
                <w:bCs w:val="1"/>
                <w:color w:val="auto"/>
              </w:rPr>
              <w:t>Six months ended June 30,</w:t>
            </w:r>
          </w:p>
        </w:tc>
        <w:tc>
          <w:tcPr>
            <w:tcW w:w="140" w:type="dxa"/>
            <w:vAlign w:val="bottom"/>
          </w:tcPr>
          <w:p>
            <w:pPr>
              <w:spacing w:after="0"/>
              <w:rPr>
                <w:sz w:val="18"/>
                <w:szCs w:val="18"/>
                <w:color w:val="auto"/>
              </w:rPr>
            </w:pPr>
          </w:p>
        </w:tc>
        <w:tc>
          <w:tcPr>
            <w:tcW w:w="1080" w:type="dxa"/>
            <w:vAlign w:val="bottom"/>
          </w:tcPr>
          <w:p>
            <w:pPr>
              <w:jc w:val="center"/>
              <w:ind w:right="58"/>
              <w:spacing w:after="0"/>
              <w:rPr>
                <w:sz w:val="20"/>
                <w:szCs w:val="20"/>
                <w:color w:val="auto"/>
              </w:rPr>
            </w:pPr>
            <w:r>
              <w:rPr>
                <w:rFonts w:ascii="Arial" w:cs="Arial" w:eastAsia="Arial" w:hAnsi="Arial"/>
                <w:sz w:val="14"/>
                <w:szCs w:val="14"/>
                <w:b w:val="1"/>
                <w:bCs w:val="1"/>
                <w:color w:val="auto"/>
                <w:w w:val="93"/>
              </w:rPr>
              <w:t>Favorable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80" w:type="dxa"/>
            <w:vAlign w:val="bottom"/>
            <w:tcBorders>
              <w:top w:val="single" w:sz="8" w:color="auto"/>
            </w:tcBorders>
          </w:tcPr>
          <w:p>
            <w:pPr>
              <w:spacing w:after="0"/>
              <w:rPr>
                <w:sz w:val="4"/>
                <w:szCs w:val="4"/>
                <w:color w:val="auto"/>
              </w:rPr>
            </w:pPr>
          </w:p>
        </w:tc>
        <w:tc>
          <w:tcPr>
            <w:tcW w:w="8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gridSpan w:val="2"/>
            <w:vMerge w:val="restart"/>
          </w:tcPr>
          <w:p>
            <w:pPr>
              <w:jc w:val="center"/>
              <w:ind w:right="260"/>
              <w:spacing w:after="0" w:line="119" w:lineRule="exact"/>
              <w:rPr>
                <w:sz w:val="20"/>
                <w:szCs w:val="20"/>
                <w:color w:val="auto"/>
              </w:rPr>
            </w:pPr>
            <w:r>
              <w:rPr>
                <w:rFonts w:ascii="Arial" w:cs="Arial" w:eastAsia="Arial" w:hAnsi="Arial"/>
                <w:sz w:val="13"/>
                <w:szCs w:val="13"/>
                <w:b w:val="1"/>
                <w:bCs w:val="1"/>
                <w:color w:val="auto"/>
              </w:rPr>
              <w:t>(Unfavorable)</w:t>
            </w:r>
          </w:p>
        </w:tc>
        <w:tc>
          <w:tcPr>
            <w:tcW w:w="2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restart"/>
          </w:tcPr>
          <w:p>
            <w:pPr>
              <w:jc w:val="center"/>
              <w:ind w:right="58"/>
              <w:spacing w:after="0" w:line="119" w:lineRule="exact"/>
              <w:rPr>
                <w:sz w:val="20"/>
                <w:szCs w:val="20"/>
                <w:color w:val="auto"/>
              </w:rPr>
            </w:pPr>
            <w:r>
              <w:rPr>
                <w:rFonts w:ascii="Arial" w:cs="Arial" w:eastAsia="Arial" w:hAnsi="Arial"/>
                <w:sz w:val="13"/>
                <w:szCs w:val="13"/>
                <w:b w:val="1"/>
                <w:bCs w:val="1"/>
                <w:color w:val="auto"/>
              </w:rPr>
              <w:t>(Unfavorable)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vMerge w:val="restart"/>
          </w:tcPr>
          <w:p>
            <w:pPr>
              <w:jc w:val="right"/>
              <w:ind w:right="373"/>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restart"/>
          </w:tcPr>
          <w:p>
            <w:pPr>
              <w:jc w:val="right"/>
              <w:ind w:right="37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940" w:type="dxa"/>
            <w:vAlign w:val="bottom"/>
            <w:vMerge w:val="restart"/>
          </w:tcPr>
          <w:p>
            <w:pPr>
              <w:jc w:val="right"/>
              <w:ind w:right="33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vMerge w:val="restart"/>
          </w:tcPr>
          <w:p>
            <w:pPr>
              <w:jc w:val="right"/>
              <w:ind w:right="29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Variance</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3"/>
          </w:tcPr>
          <w:p>
            <w:pPr>
              <w:ind w:left="640"/>
              <w:spacing w:after="0"/>
              <w:rPr>
                <w:sz w:val="20"/>
                <w:szCs w:val="20"/>
                <w:color w:val="auto"/>
              </w:rPr>
            </w:pPr>
            <w:r>
              <w:rPr>
                <w:rFonts w:ascii="Arial" w:cs="Arial" w:eastAsia="Arial" w:hAnsi="Arial"/>
                <w:sz w:val="14"/>
                <w:szCs w:val="14"/>
                <w:b w:val="1"/>
                <w:bCs w:val="1"/>
                <w:color w:val="auto"/>
                <w:w w:val="99"/>
              </w:rPr>
              <w:t>(In millions)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3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center"/>
              <w:ind w:left="438"/>
              <w:spacing w:after="0"/>
              <w:rPr>
                <w:sz w:val="20"/>
                <w:szCs w:val="20"/>
                <w:color w:val="auto"/>
              </w:rPr>
            </w:pPr>
            <w:r>
              <w:rPr>
                <w:rFonts w:ascii="Arial" w:cs="Arial" w:eastAsia="Arial" w:hAnsi="Arial"/>
                <w:sz w:val="18"/>
                <w:szCs w:val="18"/>
                <w:color w:val="auto"/>
                <w:w w:val="97"/>
              </w:rPr>
              <w:t>(2.3)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Amortization of intangible assets</w:t>
            </w:r>
          </w:p>
        </w:tc>
        <w:tc>
          <w:tcPr>
            <w:tcW w:w="20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ind w:left="70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center"/>
              <w:ind w:left="458"/>
              <w:spacing w:after="0"/>
              <w:rPr>
                <w:sz w:val="20"/>
                <w:szCs w:val="20"/>
                <w:color w:val="auto"/>
              </w:rPr>
            </w:pPr>
            <w:r>
              <w:rPr>
                <w:rFonts w:ascii="Arial" w:cs="Arial" w:eastAsia="Arial" w:hAnsi="Arial"/>
                <w:sz w:val="18"/>
                <w:szCs w:val="18"/>
                <w:color w:val="auto"/>
                <w:w w:val="87"/>
              </w:rPr>
              <w:t>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Loss on disposition of assets</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center"/>
              <w:ind w:left="438"/>
              <w:spacing w:after="0"/>
              <w:rPr>
                <w:sz w:val="20"/>
                <w:szCs w:val="20"/>
                <w:color w:val="auto"/>
              </w:rPr>
            </w:pPr>
            <w:r>
              <w:rPr>
                <w:rFonts w:ascii="Arial" w:cs="Arial" w:eastAsia="Arial" w:hAnsi="Arial"/>
                <w:sz w:val="18"/>
                <w:szCs w:val="18"/>
                <w:color w:val="auto"/>
                <w:w w:val="97"/>
              </w:rPr>
              <w:t>(1.1)</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44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36.3</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center"/>
              <w:ind w:left="438"/>
              <w:spacing w:after="0"/>
              <w:rPr>
                <w:sz w:val="20"/>
                <w:szCs w:val="20"/>
                <w:color w:val="auto"/>
              </w:rPr>
            </w:pPr>
            <w:r>
              <w:rPr>
                <w:rFonts w:ascii="Arial" w:cs="Arial" w:eastAsia="Arial" w:hAnsi="Arial"/>
                <w:sz w:val="18"/>
                <w:szCs w:val="18"/>
                <w:color w:val="auto"/>
                <w:w w:val="97"/>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Interest expense, net</w:t>
      </w:r>
    </w:p>
    <w:p>
      <w:pPr>
        <w:spacing w:after="0" w:line="252" w:lineRule="exact"/>
        <w:rPr>
          <w:sz w:val="20"/>
          <w:szCs w:val="20"/>
          <w:color w:val="auto"/>
        </w:rPr>
      </w:pPr>
    </w:p>
    <w:p>
      <w:pPr>
        <w:jc w:val="both"/>
        <w:ind w:right="200" w:firstLine="324"/>
        <w:spacing w:after="0" w:line="301" w:lineRule="auto"/>
        <w:rPr>
          <w:sz w:val="20"/>
          <w:szCs w:val="20"/>
          <w:color w:val="auto"/>
        </w:rPr>
      </w:pPr>
      <w:r>
        <w:rPr>
          <w:rFonts w:ascii="Arial" w:cs="Arial" w:eastAsia="Arial" w:hAnsi="Arial"/>
          <w:sz w:val="16"/>
          <w:szCs w:val="16"/>
          <w:color w:val="auto"/>
        </w:rPr>
        <w:t xml:space="preserve">Interest expense, net for the three and six months ended June 30, 2020 was higher than the same periods of the prior year, primarily due to increased interest expense on $220.0 million borrowed under our Revolver in March 2020, partially offset by an increase in interest income. Interest income for the three and six months ended June 30, 2020 was $0.2 million and $0.7 million, respectively, as compared to $0.2 million and $0.5 million, respectively, for the three and six months ended June 30, 2019. See </w:t>
      </w:r>
      <w:r>
        <w:rPr>
          <w:rFonts w:ascii="Arial" w:cs="Arial" w:eastAsia="Arial" w:hAnsi="Arial"/>
          <w:sz w:val="16"/>
          <w:szCs w:val="16"/>
          <w:i w:val="1"/>
          <w:iCs w:val="1"/>
          <w:color w:val="auto"/>
        </w:rPr>
        <w:t>“Liquidity and Capital Resources”</w:t>
      </w:r>
      <w:r>
        <w:rPr>
          <w:rFonts w:ascii="Arial" w:cs="Arial" w:eastAsia="Arial" w:hAnsi="Arial"/>
          <w:sz w:val="16"/>
          <w:szCs w:val="16"/>
          <w:color w:val="auto"/>
        </w:rPr>
        <w:t xml:space="preserve"> for additional discussion related to the Revolver borrowing.</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8" w:name="page49"/>
    <w:bookmarkEnd w:id="4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Gain/loss on disposition of assets</w:t>
      </w:r>
    </w:p>
    <w:p>
      <w:pPr>
        <w:spacing w:after="0" w:line="252"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The loss on disposition of assets for the three and six months ended June 30, 2020 primarily related to termination of 13 IHOP restaurant leases. There were no individually significant gains or losses on disposition of assets during the three and six months ended June 30, 2019.</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Income Taxes</w:t>
            </w:r>
          </w:p>
        </w:tc>
        <w:tc>
          <w:tcPr>
            <w:tcW w:w="220" w:type="dxa"/>
            <w:vAlign w:val="bottom"/>
          </w:tcPr>
          <w:p>
            <w:pPr>
              <w:spacing w:after="0"/>
              <w:rPr>
                <w:sz w:val="17"/>
                <w:szCs w:val="17"/>
                <w:color w:val="auto"/>
              </w:rPr>
            </w:pPr>
          </w:p>
        </w:tc>
        <w:tc>
          <w:tcPr>
            <w:tcW w:w="2320" w:type="dxa"/>
            <w:vAlign w:val="bottom"/>
            <w:gridSpan w:val="4"/>
          </w:tcPr>
          <w:p>
            <w:pPr>
              <w:jc w:val="right"/>
              <w:ind w:right="73"/>
              <w:spacing w:after="0"/>
              <w:rPr>
                <w:sz w:val="20"/>
                <w:szCs w:val="20"/>
                <w:color w:val="auto"/>
              </w:rPr>
            </w:pPr>
            <w:r>
              <w:rPr>
                <w:rFonts w:ascii="Arial" w:cs="Arial" w:eastAsia="Arial" w:hAnsi="Arial"/>
                <w:sz w:val="16"/>
                <w:szCs w:val="16"/>
                <w:b w:val="1"/>
                <w:bCs w:val="1"/>
                <w:color w:val="auto"/>
                <w:w w:val="94"/>
              </w:rPr>
              <w:t>Three months ended June 30,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3"/>
              </w:rPr>
              <w:t>Favorable</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gridSpan w:val="4"/>
          </w:tcPr>
          <w:p>
            <w:pPr>
              <w:jc w:val="right"/>
              <w:ind w:right="33"/>
              <w:spacing w:after="0"/>
              <w:rPr>
                <w:sz w:val="20"/>
                <w:szCs w:val="20"/>
                <w:color w:val="auto"/>
              </w:rPr>
            </w:pPr>
            <w:r>
              <w:rPr>
                <w:rFonts w:ascii="Arial" w:cs="Arial" w:eastAsia="Arial" w:hAnsi="Arial"/>
                <w:sz w:val="16"/>
                <w:szCs w:val="16"/>
                <w:b w:val="1"/>
                <w:bCs w:val="1"/>
                <w:color w:val="auto"/>
                <w:w w:val="91"/>
              </w:rPr>
              <w:t>Six months ended June 30,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6"/>
              </w:rPr>
              <w:t>Favorable</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60" w:type="dxa"/>
            <w:vAlign w:val="bottom"/>
            <w:tcBorders>
              <w:top w:val="single" w:sz="8" w:color="auto"/>
            </w:tcBorders>
          </w:tcPr>
          <w:p>
            <w:pPr>
              <w:spacing w:after="0"/>
              <w:rPr>
                <w:sz w:val="4"/>
                <w:szCs w:val="4"/>
                <w:color w:val="auto"/>
              </w:rPr>
            </w:pPr>
          </w:p>
        </w:tc>
        <w:tc>
          <w:tcPr>
            <w:tcW w:w="204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gridSpan w:val="3"/>
            <w:vMerge w:val="restart"/>
          </w:tcPr>
          <w:p>
            <w:pPr>
              <w:jc w:val="center"/>
              <w:ind w:right="260"/>
              <w:spacing w:after="0" w:line="119" w:lineRule="exact"/>
              <w:rPr>
                <w:sz w:val="20"/>
                <w:szCs w:val="20"/>
                <w:color w:val="auto"/>
              </w:rPr>
            </w:pPr>
            <w:r>
              <w:rPr>
                <w:rFonts w:ascii="Arial" w:cs="Arial" w:eastAsia="Arial" w:hAnsi="Arial"/>
                <w:sz w:val="13"/>
                <w:szCs w:val="13"/>
                <w:b w:val="1"/>
                <w:bCs w:val="1"/>
                <w:color w:val="auto"/>
              </w:rPr>
              <w:t>(Unfavorable)</w:t>
            </w: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gridSpan w:val="2"/>
            <w:vMerge w:val="restart"/>
          </w:tcPr>
          <w:p>
            <w:pPr>
              <w:jc w:val="center"/>
              <w:ind w:right="70"/>
              <w:spacing w:after="0" w:line="119" w:lineRule="exact"/>
              <w:rPr>
                <w:sz w:val="20"/>
                <w:szCs w:val="20"/>
                <w:color w:val="auto"/>
              </w:rPr>
            </w:pPr>
            <w:r>
              <w:rPr>
                <w:rFonts w:ascii="Arial" w:cs="Arial" w:eastAsia="Arial" w:hAnsi="Arial"/>
                <w:sz w:val="13"/>
                <w:szCs w:val="13"/>
                <w:b w:val="1"/>
                <w:bCs w:val="1"/>
                <w:color w:val="auto"/>
              </w:rPr>
              <w:t>(Unfavorable)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vMerge w:val="restart"/>
          </w:tcPr>
          <w:p>
            <w:pPr>
              <w:jc w:val="right"/>
              <w:ind w:right="435"/>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vMerge w:val="restart"/>
          </w:tcPr>
          <w:p>
            <w:pPr>
              <w:jc w:val="right"/>
              <w:ind w:right="173"/>
              <w:spacing w:after="0"/>
              <w:rPr>
                <w:sz w:val="20"/>
                <w:szCs w:val="20"/>
                <w:color w:val="auto"/>
              </w:rPr>
            </w:pPr>
            <w:r>
              <w:rPr>
                <w:rFonts w:ascii="Arial" w:cs="Arial" w:eastAsia="Arial" w:hAnsi="Arial"/>
                <w:sz w:val="16"/>
                <w:szCs w:val="16"/>
                <w:b w:val="1"/>
                <w:bCs w:val="1"/>
                <w:color w:val="auto"/>
              </w:rPr>
              <w:t>2019</w:t>
            </w: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vMerge w:val="restart"/>
          </w:tcPr>
          <w:p>
            <w:pPr>
              <w:jc w:val="right"/>
              <w:ind w:right="375"/>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vMerge w:val="restart"/>
          </w:tcPr>
          <w:p>
            <w:pPr>
              <w:jc w:val="right"/>
              <w:ind w:right="113"/>
              <w:spacing w:after="0"/>
              <w:rPr>
                <w:sz w:val="20"/>
                <w:szCs w:val="20"/>
                <w:color w:val="auto"/>
              </w:rPr>
            </w:pPr>
            <w:r>
              <w:rPr>
                <w:rFonts w:ascii="Arial" w:cs="Arial" w:eastAsia="Arial" w:hAnsi="Arial"/>
                <w:sz w:val="16"/>
                <w:szCs w:val="16"/>
                <w:b w:val="1"/>
                <w:bCs w:val="1"/>
                <w:color w:val="auto"/>
              </w:rPr>
              <w:t>2019</w:t>
            </w: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Variance</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Variance</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0" w:type="dxa"/>
            <w:vAlign w:val="bottom"/>
            <w:shd w:val="clear" w:color="auto" w:fill="CCEEFF"/>
          </w:tcPr>
          <w:p>
            <w:pPr>
              <w:spacing w:after="0"/>
              <w:rPr>
                <w:sz w:val="24"/>
                <w:szCs w:val="24"/>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Effective tax rate</w:t>
            </w: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8.2 %</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4.5 %</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right="220" w:firstLine="364"/>
        <w:spacing w:after="0" w:line="263" w:lineRule="auto"/>
        <w:rPr>
          <w:sz w:val="20"/>
          <w:szCs w:val="20"/>
          <w:color w:val="auto"/>
        </w:rPr>
      </w:pPr>
      <w:r>
        <w:rPr>
          <w:rFonts w:ascii="Arial" w:cs="Arial" w:eastAsia="Arial" w:hAnsi="Arial"/>
          <w:sz w:val="18"/>
          <w:szCs w:val="18"/>
          <w:color w:val="auto"/>
        </w:rPr>
        <w:t xml:space="preserve">Our income tax provision will vary from period to period in our normal course of business for two reasons: a change in income before income taxes and a change in the effective tax rate. Changes in our income before income taxes were addressed in the preceding sections of </w:t>
      </w:r>
      <w:r>
        <w:rPr>
          <w:rFonts w:ascii="Arial" w:cs="Arial" w:eastAsia="Arial" w:hAnsi="Arial"/>
          <w:sz w:val="18"/>
          <w:szCs w:val="18"/>
          <w:i w:val="1"/>
          <w:iCs w:val="1"/>
          <w:color w:val="auto"/>
        </w:rPr>
        <w:t>“Consolidated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 - Comparison of the Three and Six Months Ended June 30, 2020 and 2019.”</w:t>
      </w:r>
    </w:p>
    <w:p>
      <w:pPr>
        <w:spacing w:after="0" w:line="143" w:lineRule="exact"/>
        <w:rPr>
          <w:sz w:val="20"/>
          <w:szCs w:val="20"/>
          <w:color w:val="auto"/>
        </w:rPr>
      </w:pPr>
    </w:p>
    <w:p>
      <w:pPr>
        <w:ind w:right="100" w:firstLine="324"/>
        <w:spacing w:after="0" w:line="284" w:lineRule="auto"/>
        <w:rPr>
          <w:sz w:val="20"/>
          <w:szCs w:val="20"/>
          <w:color w:val="auto"/>
        </w:rPr>
      </w:pPr>
      <w:r>
        <w:rPr>
          <w:rFonts w:ascii="Arial" w:cs="Arial" w:eastAsia="Arial" w:hAnsi="Arial"/>
          <w:sz w:val="16"/>
          <w:szCs w:val="16"/>
          <w:color w:val="auto"/>
        </w:rPr>
        <w:t xml:space="preserve">Our effective tax rates for the three and six months ended June 30, 2020 were significantly different than the rate of the prior comparable period and the statutory federal tax rate of 21%. As noted under </w:t>
      </w:r>
      <w:r>
        <w:rPr>
          <w:rFonts w:ascii="Arial" w:cs="Arial" w:eastAsia="Arial" w:hAnsi="Arial"/>
          <w:sz w:val="16"/>
          <w:szCs w:val="16"/>
          <w:i w:val="1"/>
          <w:iCs w:val="1"/>
          <w:color w:val="auto"/>
        </w:rPr>
        <w:t>“Impairment and Closure Charges</w:t>
      </w:r>
      <w:r>
        <w:rPr>
          <w:rFonts w:ascii="Arial" w:cs="Arial" w:eastAsia="Arial" w:hAnsi="Arial"/>
          <w:sz w:val="16"/>
          <w:szCs w:val="16"/>
          <w:color w:val="auto"/>
        </w:rPr>
        <w:t>” above, we recorded an impairment of Applebee's goodwill of $92.2 million, which is not deductible for federal income tax purposes and therefore has no tax benefit associated with the impairment. We did recognize a deferred tax benefit of $3.4 million as a discrete item related to the $14.3 million impairment of Applebee's tradename and reacquired franchise rights.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20" w:firstLine="369"/>
        <w:spacing w:after="0" w:line="287" w:lineRule="auto"/>
        <w:rPr>
          <w:sz w:val="20"/>
          <w:szCs w:val="20"/>
          <w:color w:val="auto"/>
        </w:rPr>
      </w:pPr>
      <w:r>
        <w:rPr>
          <w:rFonts w:ascii="Arial" w:cs="Arial" w:eastAsia="Arial" w:hAnsi="Arial"/>
          <w:sz w:val="16"/>
          <w:szCs w:val="16"/>
          <w:color w:val="auto"/>
        </w:rPr>
        <w:t>On June 5, 2019, Applebee’s Funding LLC and IHOP Funding LLC (the “Co-Issuers”), each a special purpose, wholly-owned indirect subsidiary of the Company, issued two tranches of fixed rate senior secured notes, the Series 2019-1 4.194% Fixed Rate Senior Secured Notes, Class A-2-I (“Class A-2-I Notes”) in an initial aggregate principal amount of $700 million and the Series 2019-1 4.723% Fixed Rate Senior Secured Notes, Class A-2-II (“Class A-2-</w:t>
      </w:r>
    </w:p>
    <w:p>
      <w:pPr>
        <w:spacing w:after="0" w:line="2" w:lineRule="exact"/>
        <w:rPr>
          <w:sz w:val="20"/>
          <w:szCs w:val="20"/>
          <w:color w:val="auto"/>
        </w:rPr>
      </w:pPr>
    </w:p>
    <w:p>
      <w:pPr>
        <w:ind w:right="60" w:firstLine="8"/>
        <w:spacing w:after="0" w:line="290" w:lineRule="auto"/>
        <w:tabs>
          <w:tab w:leader="none" w:pos="165" w:val="left"/>
        </w:tabs>
        <w:numPr>
          <w:ilvl w:val="0"/>
          <w:numId w:val="21"/>
        </w:numPr>
        <w:rPr>
          <w:rFonts w:ascii="Arial" w:cs="Arial" w:eastAsia="Arial" w:hAnsi="Arial"/>
          <w:sz w:val="17"/>
          <w:szCs w:val="17"/>
          <w:color w:val="auto"/>
        </w:rPr>
      </w:pPr>
      <w:r>
        <w:rPr>
          <w:rFonts w:ascii="Arial" w:cs="Arial" w:eastAsia="Arial" w:hAnsi="Arial"/>
          <w:sz w:val="17"/>
          <w:szCs w:val="17"/>
          <w:color w:val="auto"/>
        </w:rPr>
        <w:t>Notes”) in an initial aggregate principal amount of $600 million (the “Class A-2-II Notes” and, together with the Class A-2-I Notes, the “2019 Class A-2 Notes”). The 2019 Class A-2 Notes were issued pursuant to an offering exempt from registration under the Securities Act of 1933, as amended.</w:t>
      </w:r>
    </w:p>
    <w:p>
      <w:pPr>
        <w:spacing w:after="0" w:line="188"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Co-Issuers also established a new revolving financing facility, the 2019-1 Variable Funding Senior Notes, Class A-1 (the “Revolver”) that allows for drawings up to $225 million of variable funding notes and the issuance of letters of credit. The Revolver and the 2019 Class A-2 Notes are referred to collectively herein as the “New Notes.” The New Notes were issued in a securitization transaction pursuant to which substantially all the domestic revenue-generating assets and domestic intellectual property held by the Co-Issuers and certain other special-purpose, wholly-owned indirect subsidiaries of the Company (the “Guarantors”) were pledged as collateral to secure the New Notes.</w:t>
      </w:r>
    </w:p>
    <w:p>
      <w:pPr>
        <w:spacing w:after="0" w:line="215"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While the 2019 Class A-2 Notes are outstanding, payment of principal and interest is required to be made on the 2019 Class A-2 Notes on a quarterly basis. The quarterly principal payment totaling $3.25 million on the 2019 Class A-2 Notes may be suspended when the leverage ratio for the Company and its subsidiaries is less than or equal to 5.25x. In general, the leverage ratio is our indebtedness (as defined in the Indenture) divided by adjusted EBITDA (as defined in the Indenture) for the four preceding quarterly periods. The complete definitions of all calculation elements of the leverage ratio are contained in the Base Indenture, dated as of September 30, 2014, amended and restated as of June 5, 2019 (the “Base Indenture”), as supplemented by the related Series 2019-1 Supplement to the Base Indenture, dated June 5, 2019 (the “Series 2019-1 Supplement”), among the Co-Issuers and Citibank, N.A., as the trustee (in such capacity, the “Trustee”) and securities intermediary (the Base Indenture and the Series 2019-1 Supplement, collectively, the “Indenture”).</w:t>
      </w:r>
    </w:p>
    <w:p>
      <w:pPr>
        <w:spacing w:after="0" w:line="219"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As of June 30 , 2020, the Company's leverage ratio was 6.30x. As a result, we anticipate making a principal payment on the 2019 Class A-2 Notes of $3.25 million in the fourth quarter of 2020. The leverage ratio is not a maintenance covenant and exceeding the leverage ratio of 5.25x does not violate any covenant related to the New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Company may voluntarily repay the 2019 Class A-2 Notes at any time; however, if we repay the 2019 Class A-2 Notes prior to certain dates we would be required to pay make-whole premiums. As of June 30, 2020, the make-whole premium associated with voluntary prepayment of the Class A-2-I Notes was approximately $48 million; this amount declines progressively each quarter to zero in June 2022. As of June 30, 2020, the make-whole premium associated with voluntary prepayment of the Class A-2-II Notes was approximately $87 million; this amount declines progressively each quarter to zero in June 2024. We would also be subject to a make-whole premium in the event of a mandatory prepayment required following a Rapid Amortization Event or certain asset dispositions. The mandatory make-whole premium requirements are considered derivatives embedded in the New Notes that must be bifurcated for separate valuation. We estimated the fair value of these derivatives to be immaterial as of June 30, 2020, based on the probability-weighted discounted cash flows associated with either event.</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Covenants and Restrictions</w:t>
      </w:r>
    </w:p>
    <w:p>
      <w:pPr>
        <w:spacing w:after="0" w:line="135" w:lineRule="exact"/>
        <w:rPr>
          <w:sz w:val="20"/>
          <w:szCs w:val="20"/>
          <w:color w:val="auto"/>
        </w:rPr>
      </w:pPr>
    </w:p>
    <w:p>
      <w:pPr>
        <w:ind w:right="160" w:firstLine="324"/>
        <w:spacing w:after="0" w:line="287" w:lineRule="auto"/>
        <w:rPr>
          <w:sz w:val="20"/>
          <w:szCs w:val="20"/>
          <w:color w:val="auto"/>
        </w:rPr>
      </w:pPr>
      <w:r>
        <w:rPr>
          <w:rFonts w:ascii="Arial" w:cs="Arial" w:eastAsia="Arial" w:hAnsi="Arial"/>
          <w:sz w:val="16"/>
          <w:szCs w:val="16"/>
          <w:color w:val="auto"/>
        </w:rPr>
        <w:t>The New Notes are subject to a series of covenants and restrictions customary for transactions of this type, including: (i) that the Co-Issuers maintain specified reserve accounts to be used to make required payments in respect of the New Notes, (ii) provisions relating to optional and mandatory prepayments, and the related payment of specified amounts, including specified call redemption premiums in the case of Class A-2 Notes under certain circumstances; (iii) certain indemnification payments in the event, among other things, the transfers of the assets pledged as collateral for the New Notes are in stated ways defective or ineffective and (iv) covenants relating to recordkeeping, access to information and similar matters. The New Notes are subject to customary rapid amortization events provided for in the Indenture, including events tied to failure of the Securitization Entities to maintain the stated debt service coverage ratio (“DSCR”), the sum of domestic retail sales for all restaurants being below certain levels on certain measurement dates, certain manager termination events, certain events of default and the failure to repay or refinance the Class A-2 Notes on the anticipated repayment dates. The New Notes are also subject to certain customary events of default, including events relating to non-payment of required interest, principal or other amounts due on or with respect to the New Notes, failure of the Securitization Entities to maintain the stated DSCR, failure to comply with covenants within certain time frames, certain bankruptcy events, breaches of specified representations and warranties and certain judgments.</w:t>
      </w:r>
    </w:p>
    <w:p>
      <w:pPr>
        <w:spacing w:after="0" w:line="199" w:lineRule="exact"/>
        <w:rPr>
          <w:sz w:val="20"/>
          <w:szCs w:val="20"/>
          <w:color w:val="auto"/>
        </w:rPr>
      </w:pPr>
    </w:p>
    <w:p>
      <w:pPr>
        <w:ind w:right="200" w:firstLine="243"/>
        <w:spacing w:after="0" w:line="291" w:lineRule="auto"/>
        <w:rPr>
          <w:sz w:val="20"/>
          <w:szCs w:val="20"/>
          <w:color w:val="auto"/>
        </w:rPr>
      </w:pPr>
      <w:r>
        <w:rPr>
          <w:rFonts w:ascii="Arial" w:cs="Arial" w:eastAsia="Arial" w:hAnsi="Arial"/>
          <w:sz w:val="16"/>
          <w:szCs w:val="16"/>
          <w:color w:val="auto"/>
        </w:rPr>
        <w:t>In general, the DSCR ratio is Net Cash Flow (as defined in the Indenture) for the four quarters preceding the calculation date divided by the total debt service payments (as defined in the Indenture) of the preceding four quarters. The complete definitions of the DSCR and all calculation elements are contained in the Indenture. Failure to maintain a prescribed DSCR can trigger a Cash Flow Sweeping Event, A Rapid Amortization Event, a Manager Termination Event or a Default Event as described below. In a Cash Flow Sweeping Event, the Trustee is required to retain 50% of excess Cash Flow (as defined in the Indenture) in a restricted account. In a Rapid Amortization Event, all excess Cash Flow is retained and used to retire principal amounts of debt. In a Manager Termination Event, the Company may be replaced as manager of the assets securitized under the Indenture. In a Default Event, the outstanding principal amount and any accrued but unpaid interest can be called to become immediately due and payable. Key DSCRs are as follows:</w:t>
      </w:r>
    </w:p>
    <w:p>
      <w:pPr>
        <w:spacing w:after="0" w:line="193" w:lineRule="exact"/>
        <w:rPr>
          <w:sz w:val="20"/>
          <w:szCs w:val="20"/>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DSCR less than 1.75x - Cash Flow Sweeping Event</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DSCR less than 1.20x - Rapid Amortization Event</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Interest-only DSCR less than 1.20x - Manager Termination Event</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Interest-only DSCR less than 1.10x - Default Event</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DSCR for the reporting period ended June 30, 2020 was 3.34x.</w:t>
      </w:r>
    </w:p>
    <w:p>
      <w:pPr>
        <w:spacing w:after="0" w:line="252" w:lineRule="exact"/>
        <w:rPr>
          <w:sz w:val="20"/>
          <w:szCs w:val="20"/>
          <w:color w:val="auto"/>
        </w:rPr>
      </w:pPr>
    </w:p>
    <w:p>
      <w:pPr>
        <w:ind w:right="140" w:firstLine="324"/>
        <w:spacing w:after="0" w:line="296" w:lineRule="auto"/>
        <w:rPr>
          <w:sz w:val="20"/>
          <w:szCs w:val="20"/>
          <w:color w:val="auto"/>
        </w:rPr>
      </w:pPr>
      <w:r>
        <w:rPr>
          <w:rFonts w:ascii="Arial" w:cs="Arial" w:eastAsia="Arial" w:hAnsi="Arial"/>
          <w:sz w:val="16"/>
          <w:szCs w:val="16"/>
          <w:color w:val="auto"/>
        </w:rPr>
        <w:t>During the second quarter of 2020, we voluntarily increased the interest reserve required to be set aside for our securitized debt from $16.4 million to $32.8 million, which represents an estimated six months of interest and fees related to the 2019 Class A-2 Notes and the Revolver. During the second quarter of 2020, we voluntarily accelerated the funding of interest on the 2019 Class A-2 Notes and the Revolver with the redirection of cash receipts within the securitization structure. As of July 27, the interest payments on the 2019 Class A-2 Notes and the Revolver due September 8, 2020 and December 7, 2020 have been fully funded within the securitization structure, in addition to the $32.8 million of interest reserve noted above.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Use of Credit Facilities</w:t>
      </w:r>
    </w:p>
    <w:p>
      <w:pPr>
        <w:spacing w:after="0" w:line="256"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In March 2020, the Co-Issuers drew down a total of $220.0 million of the amount then available under the Revolver. Although the Company had no immediate need for additional liquidity, the Co-Issuers drew on the Revolver to increase the Company’s financial flexibility in light of then-current market conditions and uncertainty due to the COVID-19 outbreak. It is anticipated that the principal and interest on the Revolver will be repaid in full on or prior to the quarterly payment date in June 2024, subject to two additional one-year extensions at the option of the Company upon the satisfaction of certain conditions.</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current interest rate for borrowings under the Revolver is the three-month LIBOR rate plus 2.15% for 60% of the advances and the commercial paper funding rate of our conduit investor plus 2.15% for 40% of the advances. The weighted average interest rate on Revolver borrowings for the period outstanding was 3.15% and 3.18%, respectively, for the three and six months ended June 30, 2020.</w:t>
      </w:r>
    </w:p>
    <w:p>
      <w:pPr>
        <w:spacing w:after="0" w:line="211"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At June 30, 2020, $2.8 million was pledged against the Revolver for outstanding letters of credit, leaving $2.2 million of the Revolver available for borrowing. The letters of credit are used primarily to satisfy insurance-related collateral requirements.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Allocation</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Dividends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During the six months ended June 30, 2020, we paid dividends on common stock of $23.9 million, representing a cash dividend of $0.69 per share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declared in the fourth quarter of 2019, paid in January 2020, and a cash dividend of $0.76 per share declared in the first quarter of 2020, paid in April 2020.</w:t>
      </w:r>
    </w:p>
    <w:p>
      <w:pPr>
        <w:spacing w:after="0" w:line="261"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Stock Repurchases</w:t>
      </w:r>
    </w:p>
    <w:p>
      <w:pPr>
        <w:spacing w:after="0" w:line="239"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In February 2019, the Company’s Board of Directors approved a stock repurchase program authorizing the Company to repurchase up to $200 million of the Company’s common stock (the “2019 Repurchase Program”) on an opportunistic basis from time to time in the open market or in privately negotiated transactions based on business, market, applicable legal requirements and other considerations. The 2019 Repurchase Program, as approved by the Board of Directors, does not require the repurchase of a specific number of shares and can be terminated at any time.</w:t>
      </w:r>
    </w:p>
    <w:p>
      <w:pPr>
        <w:spacing w:after="0" w:line="198"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A summary of shares repurchased under the 2019 Repurchase Program during the three and six months ended June 30, 2020 and cumulatively, is as follows:</w:t>
      </w:r>
    </w:p>
    <w:p>
      <w:pPr>
        <w:spacing w:after="0" w:line="9" w:lineRule="exact"/>
        <w:rPr>
          <w:sz w:val="20"/>
          <w:szCs w:val="20"/>
          <w:color w:val="auto"/>
        </w:rPr>
      </w:pPr>
    </w:p>
    <w:tbl>
      <w:tblPr>
        <w:tblLayout w:type="fixed"/>
        <w:tblInd w:w="76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400" w:type="dxa"/>
            <w:vAlign w:val="bottom"/>
            <w:gridSpan w:val="2"/>
          </w:tcPr>
          <w:p>
            <w:pPr>
              <w:ind w:left="420"/>
              <w:spacing w:after="0"/>
              <w:rPr>
                <w:sz w:val="20"/>
                <w:szCs w:val="20"/>
                <w:color w:val="auto"/>
              </w:rPr>
            </w:pPr>
            <w:r>
              <w:rPr>
                <w:rFonts w:ascii="Arial" w:cs="Arial" w:eastAsia="Arial" w:hAnsi="Arial"/>
                <w:sz w:val="16"/>
                <w:szCs w:val="16"/>
                <w:b w:val="1"/>
                <w:bCs w:val="1"/>
                <w:color w:val="auto"/>
              </w:rPr>
              <w:t>Shares</w:t>
            </w:r>
          </w:p>
        </w:tc>
        <w:tc>
          <w:tcPr>
            <w:tcW w:w="1320" w:type="dxa"/>
            <w:vAlign w:val="bottom"/>
            <w:gridSpan w:val="2"/>
          </w:tcPr>
          <w:p>
            <w:pPr>
              <w:ind w:left="20"/>
              <w:spacing w:after="0"/>
              <w:rPr>
                <w:sz w:val="20"/>
                <w:szCs w:val="20"/>
                <w:color w:val="auto"/>
              </w:rPr>
            </w:pPr>
            <w:r>
              <w:rPr>
                <w:rFonts w:ascii="Arial" w:cs="Arial" w:eastAsia="Arial" w:hAnsi="Arial"/>
                <w:sz w:val="16"/>
                <w:szCs w:val="16"/>
                <w:b w:val="1"/>
                <w:bCs w:val="1"/>
                <w:color w:val="auto"/>
              </w:rPr>
              <w:t>Cost of shares</w:t>
            </w:r>
          </w:p>
        </w:tc>
      </w:tr>
      <w:tr>
        <w:trPr>
          <w:trHeight w:val="33"/>
        </w:trPr>
        <w:tc>
          <w:tcPr>
            <w:tcW w:w="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4"/>
        </w:trPr>
        <w:tc>
          <w:tcPr>
            <w:tcW w:w="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194"/>
              <w:spacing w:after="0"/>
              <w:rPr>
                <w:sz w:val="20"/>
                <w:szCs w:val="20"/>
                <w:color w:val="auto"/>
              </w:rPr>
            </w:pPr>
            <w:r>
              <w:rPr>
                <w:rFonts w:ascii="Arial" w:cs="Arial" w:eastAsia="Arial" w:hAnsi="Arial"/>
                <w:sz w:val="14"/>
                <w:szCs w:val="14"/>
                <w:b w:val="1"/>
                <w:bCs w:val="1"/>
                <w:color w:val="auto"/>
              </w:rPr>
              <w:t>(In millions)</w:t>
            </w:r>
          </w:p>
        </w:tc>
      </w:tr>
      <w:tr>
        <w:trPr>
          <w:trHeight w:val="215"/>
        </w:trPr>
        <w:tc>
          <w:tcPr>
            <w:tcW w:w="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2019 Repurchase Program:</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48"/>
        </w:trPr>
        <w:tc>
          <w:tcPr>
            <w:tcW w:w="20" w:type="dxa"/>
            <w:vAlign w:val="bottom"/>
          </w:tcPr>
          <w:p>
            <w:pPr>
              <w:spacing w:after="0"/>
              <w:rPr>
                <w:sz w:val="4"/>
                <w:szCs w:val="4"/>
                <w:color w:val="auto"/>
              </w:rPr>
            </w:pPr>
          </w:p>
        </w:tc>
        <w:tc>
          <w:tcPr>
            <w:tcW w:w="1960" w:type="dxa"/>
            <w:vAlign w:val="bottom"/>
            <w:tcBorders>
              <w:top w:val="single" w:sz="8" w:color="auto"/>
            </w:tcBorders>
          </w:tcPr>
          <w:p>
            <w:pPr>
              <w:spacing w:after="0"/>
              <w:rPr>
                <w:sz w:val="4"/>
                <w:szCs w:val="4"/>
                <w:color w:val="auto"/>
              </w:rPr>
            </w:pPr>
          </w:p>
        </w:tc>
        <w:tc>
          <w:tcPr>
            <w:tcW w:w="50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70"/>
        </w:trPr>
        <w:tc>
          <w:tcPr>
            <w:tcW w:w="20" w:type="dxa"/>
            <w:vAlign w:val="bottom"/>
            <w:shd w:val="clear" w:color="auto" w:fill="CCEEFF"/>
          </w:tcPr>
          <w:p>
            <w:pPr>
              <w:spacing w:after="0"/>
              <w:rPr>
                <w:sz w:val="23"/>
                <w:szCs w:val="23"/>
                <w:color w:val="auto"/>
              </w:rPr>
            </w:pPr>
          </w:p>
        </w:tc>
        <w:tc>
          <w:tcPr>
            <w:tcW w:w="6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Repurchased during the three months ended June 30, 2020</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r>
      <w:tr>
        <w:trPr>
          <w:trHeight w:val="270"/>
        </w:trPr>
        <w:tc>
          <w:tcPr>
            <w:tcW w:w="20" w:type="dxa"/>
            <w:vAlign w:val="bottom"/>
          </w:tcPr>
          <w:p>
            <w:pPr>
              <w:spacing w:after="0"/>
              <w:rPr>
                <w:sz w:val="23"/>
                <w:szCs w:val="23"/>
                <w:color w:val="auto"/>
              </w:rPr>
            </w:pPr>
          </w:p>
        </w:tc>
        <w:tc>
          <w:tcPr>
            <w:tcW w:w="6980" w:type="dxa"/>
            <w:vAlign w:val="bottom"/>
            <w:gridSpan w:val="2"/>
          </w:tcPr>
          <w:p>
            <w:pPr>
              <w:ind w:left="240"/>
              <w:spacing w:after="0"/>
              <w:rPr>
                <w:sz w:val="20"/>
                <w:szCs w:val="20"/>
                <w:color w:val="auto"/>
              </w:rPr>
            </w:pPr>
            <w:r>
              <w:rPr>
                <w:rFonts w:ascii="Arial" w:cs="Arial" w:eastAsia="Arial" w:hAnsi="Arial"/>
                <w:sz w:val="18"/>
                <w:szCs w:val="18"/>
                <w:color w:val="auto"/>
              </w:rPr>
              <w:t>Repurchased during the six months ended June 30, 2020</w:t>
            </w: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459,899</w:t>
            </w:r>
          </w:p>
        </w:tc>
        <w:tc>
          <w:tcPr>
            <w:tcW w:w="100" w:type="dxa"/>
            <w:vAlign w:val="bottom"/>
          </w:tcPr>
          <w:p>
            <w:pPr>
              <w:spacing w:after="0"/>
              <w:rPr>
                <w:sz w:val="23"/>
                <w:szCs w:val="23"/>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26.5</w:t>
            </w:r>
          </w:p>
        </w:tc>
      </w:tr>
      <w:tr>
        <w:trPr>
          <w:trHeight w:val="270"/>
        </w:trPr>
        <w:tc>
          <w:tcPr>
            <w:tcW w:w="20" w:type="dxa"/>
            <w:vAlign w:val="bottom"/>
            <w:shd w:val="clear" w:color="auto" w:fill="CCEEFF"/>
          </w:tcPr>
          <w:p>
            <w:pPr>
              <w:spacing w:after="0"/>
              <w:rPr>
                <w:sz w:val="23"/>
                <w:szCs w:val="23"/>
                <w:color w:val="auto"/>
              </w:rPr>
            </w:pPr>
          </w:p>
        </w:tc>
        <w:tc>
          <w:tcPr>
            <w:tcW w:w="6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Cumulative (life-of-program) repurchases</w:t>
            </w:r>
          </w:p>
        </w:tc>
        <w:tc>
          <w:tcPr>
            <w:tcW w:w="1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1,697,597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129.8</w:t>
            </w:r>
          </w:p>
        </w:tc>
      </w:tr>
      <w:tr>
        <w:trPr>
          <w:trHeight w:val="270"/>
        </w:trPr>
        <w:tc>
          <w:tcPr>
            <w:tcW w:w="20" w:type="dxa"/>
            <w:vAlign w:val="bottom"/>
          </w:tcPr>
          <w:p>
            <w:pPr>
              <w:spacing w:after="0"/>
              <w:rPr>
                <w:sz w:val="23"/>
                <w:szCs w:val="23"/>
                <w:color w:val="auto"/>
              </w:rPr>
            </w:pPr>
          </w:p>
        </w:tc>
        <w:tc>
          <w:tcPr>
            <w:tcW w:w="6980" w:type="dxa"/>
            <w:vAlign w:val="bottom"/>
            <w:gridSpan w:val="2"/>
          </w:tcPr>
          <w:p>
            <w:pPr>
              <w:ind w:left="240"/>
              <w:spacing w:after="0"/>
              <w:rPr>
                <w:sz w:val="20"/>
                <w:szCs w:val="20"/>
                <w:color w:val="auto"/>
              </w:rPr>
            </w:pPr>
            <w:r>
              <w:rPr>
                <w:rFonts w:ascii="Arial" w:cs="Arial" w:eastAsia="Arial" w:hAnsi="Arial"/>
                <w:sz w:val="18"/>
                <w:szCs w:val="18"/>
                <w:color w:val="auto"/>
              </w:rPr>
              <w:t>Remaining dollar value of shares that may be repurchased</w:t>
            </w:r>
          </w:p>
        </w:tc>
        <w:tc>
          <w:tcPr>
            <w:tcW w:w="1400" w:type="dxa"/>
            <w:vAlign w:val="bottom"/>
            <w:gridSpan w:val="2"/>
          </w:tcPr>
          <w:p>
            <w:pPr>
              <w:ind w:left="700"/>
              <w:spacing w:after="0"/>
              <w:rPr>
                <w:sz w:val="20"/>
                <w:szCs w:val="20"/>
                <w:color w:val="auto"/>
              </w:rPr>
            </w:pPr>
            <w:r>
              <w:rPr>
                <w:rFonts w:ascii="Arial" w:cs="Arial" w:eastAsia="Arial" w:hAnsi="Arial"/>
                <w:sz w:val="18"/>
                <w:szCs w:val="18"/>
                <w:color w:val="auto"/>
              </w:rPr>
              <w:t>n/a</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70.2</w:t>
            </w:r>
          </w:p>
        </w:tc>
      </w:tr>
    </w:tbl>
    <w:p>
      <w:pPr>
        <w:spacing w:after="0" w:line="337"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color w:val="auto"/>
        </w:rPr>
        <w:t>We evaluate dividend payments on common stock and repurchases of common stock within the context of our overall capital allocation strategy with our Board of Directors on an ongoing basis, giving consideration to our current and forecast earnings, financial condition, cash requirements and other factors. In order to maintain financial flexibility in light of the COVID-19 pandemic, we have stopped repurchasing our common stock for the foreseeable future and our Board of Directors has decided not to declare a dividend for the second and third quarters of 2020. We will reevaluate our capital allocation strategy as industry conditions improve and normal restaurant operations resume.</w:t>
      </w:r>
    </w:p>
    <w:p>
      <w:pPr>
        <w:spacing w:after="0" w:line="203" w:lineRule="exact"/>
        <w:rPr>
          <w:sz w:val="20"/>
          <w:szCs w:val="20"/>
          <w:color w:val="auto"/>
        </w:rPr>
      </w:pPr>
    </w:p>
    <w:p>
      <w:pPr>
        <w:ind w:firstLine="324"/>
        <w:spacing w:after="0" w:line="248" w:lineRule="auto"/>
        <w:rPr>
          <w:sz w:val="20"/>
          <w:szCs w:val="20"/>
          <w:color w:val="auto"/>
        </w:rPr>
      </w:pPr>
      <w:r>
        <w:rPr>
          <w:rFonts w:ascii="Arial" w:cs="Arial" w:eastAsia="Arial" w:hAnsi="Arial"/>
          <w:sz w:val="18"/>
          <w:szCs w:val="18"/>
          <w:color w:val="auto"/>
        </w:rPr>
        <w:t>From time to time, we also repurchase shares owned and tendered by employees to satisfy tax withholding obligations on the vesting of restricted stock awards. Shares are deemed purchased at the closing price of our common stock on the vesting date. See Part II, Item 2 for detail on this stock repurchase activity during the second quarter of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summary, our cash flows for the six months ended June 30, 2020 and June 30, 2019 were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20" w:type="dxa"/>
            <w:vAlign w:val="bottom"/>
          </w:tcPr>
          <w:p>
            <w:pPr>
              <w:spacing w:after="0"/>
              <w:rPr>
                <w:sz w:val="18"/>
                <w:szCs w:val="18"/>
                <w:color w:val="auto"/>
              </w:rPr>
            </w:pPr>
          </w:p>
        </w:tc>
        <w:tc>
          <w:tcPr>
            <w:tcW w:w="3160" w:type="dxa"/>
            <w:vAlign w:val="bottom"/>
            <w:gridSpan w:val="6"/>
          </w:tcPr>
          <w:p>
            <w:pPr>
              <w:ind w:left="600"/>
              <w:spacing w:after="0"/>
              <w:rPr>
                <w:sz w:val="20"/>
                <w:szCs w:val="20"/>
                <w:color w:val="auto"/>
              </w:rPr>
            </w:pPr>
            <w:r>
              <w:rPr>
                <w:rFonts w:ascii="Arial" w:cs="Arial" w:eastAsia="Arial" w:hAnsi="Arial"/>
                <w:sz w:val="16"/>
                <w:szCs w:val="16"/>
                <w:b w:val="1"/>
                <w:bCs w:val="1"/>
                <w:color w:val="auto"/>
              </w:rPr>
              <w:t>Six months ended June 30,</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3"/>
        </w:trPr>
        <w:tc>
          <w:tcPr>
            <w:tcW w:w="64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7"/>
        </w:trPr>
        <w:tc>
          <w:tcPr>
            <w:tcW w:w="6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ind w:right="495"/>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272"/>
              <w:spacing w:after="0"/>
              <w:rPr>
                <w:sz w:val="20"/>
                <w:szCs w:val="20"/>
                <w:color w:val="auto"/>
              </w:rPr>
            </w:pPr>
            <w:r>
              <w:rPr>
                <w:rFonts w:ascii="Arial" w:cs="Arial" w:eastAsia="Arial" w:hAnsi="Arial"/>
                <w:sz w:val="16"/>
                <w:szCs w:val="16"/>
                <w:b w:val="1"/>
                <w:bCs w:val="1"/>
                <w:color w:val="auto"/>
              </w:rPr>
              <w:t>Variance</w:t>
            </w:r>
          </w:p>
        </w:tc>
      </w:tr>
      <w:tr>
        <w:trPr>
          <w:trHeight w:val="33"/>
        </w:trPr>
        <w:tc>
          <w:tcPr>
            <w:tcW w:w="64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6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56"/>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provided by operating activities</w:t>
            </w:r>
          </w:p>
        </w:tc>
        <w:tc>
          <w:tcPr>
            <w:tcW w:w="900" w:type="dxa"/>
            <w:vAlign w:val="bottom"/>
            <w:tcBorders>
              <w:bottom w:val="single" w:sz="8" w:color="CCEEFF"/>
            </w:tcBorders>
            <w:shd w:val="clear" w:color="auto" w:fill="CCEEFF"/>
          </w:tcPr>
          <w:p>
            <w:pPr>
              <w:jc w:val="right"/>
              <w:ind w:right="715"/>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(10.5)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69.3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(79.8)</w:t>
            </w:r>
          </w:p>
        </w:tc>
      </w:tr>
      <w:tr>
        <w:trPr>
          <w:trHeight w:val="243"/>
        </w:trPr>
        <w:tc>
          <w:tcPr>
            <w:tcW w:w="6420" w:type="dxa"/>
            <w:vAlign w:val="bottom"/>
          </w:tcPr>
          <w:p>
            <w:pPr>
              <w:ind w:left="20"/>
              <w:spacing w:after="0"/>
              <w:rPr>
                <w:sz w:val="20"/>
                <w:szCs w:val="20"/>
                <w:color w:val="auto"/>
              </w:rPr>
            </w:pPr>
            <w:r>
              <w:rPr>
                <w:rFonts w:ascii="Arial" w:cs="Arial" w:eastAsia="Arial" w:hAnsi="Arial"/>
                <w:sz w:val="18"/>
                <w:szCs w:val="18"/>
                <w:color w:val="auto"/>
              </w:rPr>
              <w:t>Net cash provided by investing activities</w:t>
            </w:r>
          </w:p>
        </w:tc>
        <w:tc>
          <w:tcPr>
            <w:tcW w:w="900" w:type="dxa"/>
            <w:vAlign w:val="bottom"/>
          </w:tcPr>
          <w:p>
            <w:pPr>
              <w:spacing w:after="0"/>
              <w:rPr>
                <w:sz w:val="21"/>
                <w:szCs w:val="21"/>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75"/>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1.2</w:t>
            </w:r>
          </w:p>
        </w:tc>
      </w:tr>
      <w:tr>
        <w:trPr>
          <w:trHeight w:val="27"/>
        </w:trPr>
        <w:tc>
          <w:tcPr>
            <w:tcW w:w="6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8"/>
              </w:rPr>
              <w:t>178.4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(92.9)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271.3</w:t>
            </w:r>
          </w:p>
        </w:tc>
      </w:tr>
      <w:tr>
        <w:trPr>
          <w:trHeight w:val="263"/>
        </w:trPr>
        <w:tc>
          <w:tcPr>
            <w:tcW w:w="6420" w:type="dxa"/>
            <w:vAlign w:val="bottom"/>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900" w:type="dxa"/>
            <w:vAlign w:val="bottom"/>
            <w:tcBorders>
              <w:top w:val="single" w:sz="8" w:color="auto"/>
              <w:bottom w:val="single" w:sz="8" w:color="auto"/>
            </w:tcBorders>
          </w:tcPr>
          <w:p>
            <w:pPr>
              <w:jc w:val="right"/>
              <w:ind w:right="715"/>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88"/>
              </w:rPr>
              <w:t>170.0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192.7</w:t>
            </w:r>
          </w:p>
        </w:tc>
      </w:tr>
      <w:tr>
        <w:trPr>
          <w:trHeight w:val="21"/>
        </w:trPr>
        <w:tc>
          <w:tcPr>
            <w:tcW w:w="64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Operating Activities</w:t>
      </w:r>
    </w:p>
    <w:p>
      <w:pPr>
        <w:spacing w:after="0" w:line="252"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Cash (used in) provided by operating activities decreased $79.8 million during the six months ended June 30, 2020 compared to the same period of the prior year. Our net income plus the non-cash reconciling items shown in our statements of cash flows (primarily impairment and closure charges, depreciation, deferred taxes and stock-based compensation) decreased $53.3 million from 2019. This change was due to a decrease in gross profit primarily due to a significant decline in customer traffic at our restaurants as a result of the effects of measures put in place by various levels of government to mitigate the spread of the COVID-19 virus and related changes in consumer behavior, partially offset by a decrease in G&amp;A expenses, each of which was discussed in preceding sections of the MD&amp;A. Additionally, net changes in working capital used cash of $37.4 million during the six months ended June 30, 2020 compared to using cash of $10.8 million during the same period of the prior year, an unfavorable change of $26.6 million. The unfavorable change in working capital was primarily due to an increase in trade receivables resulting from payment deferrals offered to franchisees and a net increase in tax receivables related, in part, to an estimated tax payment made in the first quarter of 2020 before the impacts of the COVID-19 pandemic were considered, as well as a tax refund received in 2019 that did not recur. These unfavorable items were partially offset by the timing of marketing accruals and rent deferrals that we received. In summary, the decrease of $79.8 million in cash provided by operating activities for the six months ended June 30, 2020 was due to the in net income plus non-cash reconciling items and the unfavorable change in cash used by working capital changes.</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Investing Activities</w:t>
      </w:r>
    </w:p>
    <w:p>
      <w:pPr>
        <w:spacing w:after="0" w:line="225"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color w:val="auto"/>
        </w:rPr>
        <w:t>Investing activities provided net cash of $2.1 million for the six months ended June 30, 2020. Principal receipts from notes, equipment contracts and other long-term receivables of $10.8 million were partially offset by capital expenditures of $7.4 million and loans to franchisees of $1.5 million. Investing activities provided net cash of $0.9 million for the six months ended June 30, 2019. The variance between the two periods was not significant.</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Financing Activities</w:t>
      </w:r>
    </w:p>
    <w:p>
      <w:pPr>
        <w:spacing w:after="0" w:line="225"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Financing activities provided net cash of $178.4 million for the six months ended June 30, 2020. As discussed above under Use of Credit Facilities, we drew down $220.0 million from our Revolver to increase our financial flexibility in light of current market conditions and uncertainty due to the COVID-19 outbreak. We also had a net cash inflow of approximately $18.4 million related to equity compensation awards</w:t>
      </w:r>
      <w:r>
        <w:rPr>
          <w:rFonts w:ascii="Arial" w:cs="Arial" w:eastAsia="Arial" w:hAnsi="Arial"/>
          <w:sz w:val="14"/>
          <w:szCs w:val="14"/>
          <w:color w:val="auto"/>
        </w:rPr>
        <w:t>.</w:t>
      </w:r>
      <w:r>
        <w:rPr>
          <w:rFonts w:ascii="Arial" w:cs="Arial" w:eastAsia="Arial" w:hAnsi="Arial"/>
          <w:sz w:val="18"/>
          <w:szCs w:val="18"/>
          <w:color w:val="auto"/>
        </w:rPr>
        <w:t xml:space="preserve"> These financing inflows were partially offset by cash dividends paid on our common stock totaling $23.9 million, repurchases of our common stock totaling $29.9 million and repayments of finance lease obligations of $6.0 million.</w:t>
      </w:r>
    </w:p>
    <w:p>
      <w:pPr>
        <w:spacing w:after="0" w:line="3" w:lineRule="exact"/>
        <w:rPr>
          <w:sz w:val="20"/>
          <w:szCs w:val="20"/>
          <w:color w:val="auto"/>
        </w:rPr>
      </w:pPr>
    </w:p>
    <w:p>
      <w:pPr>
        <w:jc w:val="both"/>
        <w:ind w:right="140" w:firstLine="324"/>
        <w:spacing w:after="0" w:line="255" w:lineRule="auto"/>
        <w:rPr>
          <w:sz w:val="20"/>
          <w:szCs w:val="20"/>
          <w:color w:val="auto"/>
        </w:rPr>
      </w:pPr>
      <w:r>
        <w:rPr>
          <w:rFonts w:ascii="Arial" w:cs="Arial" w:eastAsia="Arial" w:hAnsi="Arial"/>
          <w:sz w:val="18"/>
          <w:szCs w:val="18"/>
          <w:color w:val="auto"/>
        </w:rPr>
        <w:t>Financing activities used net cash of $92.9 million for the six months ended June 30, 2019. The increase of $271.3 million in the net cash outflow for financing activities was primarily due to the drawdown from our Revolver, a decrease in repurchases of common stock and an increase in proceeds from the exercise of stock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Cash and Cash Equivalents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total cash balance as of June 30, 2020 was are follows:</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9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June 30, 2020</w:t>
            </w:r>
          </w:p>
        </w:tc>
      </w:tr>
      <w:tr>
        <w:trPr>
          <w:trHeight w:val="186"/>
        </w:trPr>
        <w:tc>
          <w:tcPr>
            <w:tcW w:w="9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jc w:val="right"/>
              <w:ind w:right="456"/>
              <w:spacing w:after="0"/>
              <w:rPr>
                <w:sz w:val="20"/>
                <w:szCs w:val="20"/>
                <w:color w:val="auto"/>
              </w:rPr>
            </w:pPr>
            <w:r>
              <w:rPr>
                <w:rFonts w:ascii="Arial" w:cs="Arial" w:eastAsia="Arial" w:hAnsi="Arial"/>
                <w:sz w:val="14"/>
                <w:szCs w:val="14"/>
                <w:b w:val="1"/>
                <w:bCs w:val="1"/>
                <w:color w:val="auto"/>
              </w:rPr>
              <w:t>(In millions)</w:t>
            </w:r>
          </w:p>
        </w:tc>
      </w:tr>
      <w:tr>
        <w:trPr>
          <w:trHeight w:val="246"/>
        </w:trPr>
        <w:tc>
          <w:tcPr>
            <w:tcW w:w="95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76"/>
              <w:spacing w:after="0"/>
              <w:rPr>
                <w:sz w:val="20"/>
                <w:szCs w:val="20"/>
                <w:color w:val="auto"/>
              </w:rPr>
            </w:pPr>
            <w:r>
              <w:rPr>
                <w:rFonts w:ascii="Arial" w:cs="Arial" w:eastAsia="Arial" w:hAnsi="Arial"/>
                <w:sz w:val="18"/>
                <w:szCs w:val="18"/>
                <w:color w:val="auto"/>
              </w:rPr>
              <w:t>278.5</w:t>
            </w:r>
          </w:p>
        </w:tc>
      </w:tr>
      <w:tr>
        <w:trPr>
          <w:trHeight w:val="270"/>
        </w:trPr>
        <w:tc>
          <w:tcPr>
            <w:tcW w:w="9500" w:type="dxa"/>
            <w:vAlign w:val="bottom"/>
          </w:tcPr>
          <w:p>
            <w:pPr>
              <w:spacing w:after="0"/>
              <w:rPr>
                <w:sz w:val="20"/>
                <w:szCs w:val="20"/>
                <w:color w:val="auto"/>
              </w:rPr>
            </w:pPr>
            <w:r>
              <w:rPr>
                <w:rFonts w:ascii="Arial" w:cs="Arial" w:eastAsia="Arial" w:hAnsi="Arial"/>
                <w:sz w:val="18"/>
                <w:szCs w:val="18"/>
                <w:color w:val="auto"/>
              </w:rPr>
              <w:t>Restricted cash, current</w:t>
            </w:r>
          </w:p>
        </w:tc>
        <w:tc>
          <w:tcPr>
            <w:tcW w:w="260" w:type="dxa"/>
            <w:vAlign w:val="bottom"/>
          </w:tcPr>
          <w:p>
            <w:pPr>
              <w:spacing w:after="0"/>
              <w:rPr>
                <w:sz w:val="23"/>
                <w:szCs w:val="23"/>
                <w:color w:val="auto"/>
              </w:rPr>
            </w:pPr>
          </w:p>
        </w:tc>
        <w:tc>
          <w:tcPr>
            <w:tcW w:w="1460" w:type="dxa"/>
            <w:vAlign w:val="bottom"/>
          </w:tcPr>
          <w:p>
            <w:pPr>
              <w:jc w:val="right"/>
              <w:ind w:right="76"/>
              <w:spacing w:after="0"/>
              <w:rPr>
                <w:sz w:val="20"/>
                <w:szCs w:val="20"/>
                <w:color w:val="auto"/>
              </w:rPr>
            </w:pPr>
            <w:r>
              <w:rPr>
                <w:rFonts w:ascii="Arial" w:cs="Arial" w:eastAsia="Arial" w:hAnsi="Arial"/>
                <w:sz w:val="18"/>
                <w:szCs w:val="18"/>
                <w:color w:val="auto"/>
              </w:rPr>
              <w:t>31.2</w:t>
            </w:r>
          </w:p>
        </w:tc>
      </w:tr>
      <w:tr>
        <w:trPr>
          <w:trHeight w:val="270"/>
        </w:trPr>
        <w:tc>
          <w:tcPr>
            <w:tcW w:w="9500" w:type="dxa"/>
            <w:vAlign w:val="bottom"/>
          </w:tcPr>
          <w:p>
            <w:pPr>
              <w:spacing w:after="0"/>
              <w:rPr>
                <w:sz w:val="20"/>
                <w:szCs w:val="20"/>
                <w:color w:val="auto"/>
              </w:rPr>
            </w:pPr>
            <w:r>
              <w:rPr>
                <w:rFonts w:ascii="Arial" w:cs="Arial" w:eastAsia="Arial" w:hAnsi="Arial"/>
                <w:sz w:val="18"/>
                <w:szCs w:val="18"/>
                <w:color w:val="auto"/>
              </w:rPr>
              <w:t>Restricted cash, non-current</w:t>
            </w:r>
          </w:p>
        </w:tc>
        <w:tc>
          <w:tcPr>
            <w:tcW w:w="260" w:type="dxa"/>
            <w:vAlign w:val="bottom"/>
          </w:tcPr>
          <w:p>
            <w:pPr>
              <w:spacing w:after="0"/>
              <w:rPr>
                <w:sz w:val="23"/>
                <w:szCs w:val="23"/>
                <w:color w:val="auto"/>
              </w:rPr>
            </w:pPr>
          </w:p>
        </w:tc>
        <w:tc>
          <w:tcPr>
            <w:tcW w:w="1460" w:type="dxa"/>
            <w:vAlign w:val="bottom"/>
          </w:tcPr>
          <w:p>
            <w:pPr>
              <w:jc w:val="right"/>
              <w:ind w:right="76"/>
              <w:spacing w:after="0"/>
              <w:rPr>
                <w:sz w:val="20"/>
                <w:szCs w:val="20"/>
                <w:color w:val="auto"/>
              </w:rPr>
            </w:pPr>
            <w:r>
              <w:rPr>
                <w:rFonts w:ascii="Arial" w:cs="Arial" w:eastAsia="Arial" w:hAnsi="Arial"/>
                <w:sz w:val="18"/>
                <w:szCs w:val="18"/>
                <w:color w:val="auto"/>
              </w:rPr>
              <w:t>32.8</w:t>
            </w:r>
          </w:p>
        </w:tc>
      </w:tr>
      <w:tr>
        <w:trPr>
          <w:trHeight w:val="27"/>
        </w:trPr>
        <w:tc>
          <w:tcPr>
            <w:tcW w:w="9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3"/>
        </w:trPr>
        <w:tc>
          <w:tcPr>
            <w:tcW w:w="9500" w:type="dxa"/>
            <w:vAlign w:val="bottom"/>
          </w:tcPr>
          <w:p>
            <w:pPr>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342.5</w:t>
            </w:r>
          </w:p>
        </w:tc>
      </w:tr>
      <w:tr>
        <w:trPr>
          <w:trHeight w:val="20"/>
        </w:trPr>
        <w:tc>
          <w:tcPr>
            <w:tcW w:w="9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Cash and cash equivalents include $55.4 million of cash held for gift card programs and advertising funds.</w:t>
      </w:r>
    </w:p>
    <w:p>
      <w:pPr>
        <w:spacing w:after="0" w:line="252"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 xml:space="preserve">We believe that our cash on hand, cash flow from operations, and the actions taken to mitigate the effects of the COVID-19 pandemic discussed under </w:t>
      </w:r>
      <w:r>
        <w:rPr>
          <w:rFonts w:ascii="Arial" w:cs="Arial" w:eastAsia="Arial" w:hAnsi="Arial"/>
          <w:sz w:val="18"/>
          <w:szCs w:val="18"/>
          <w:i w:val="1"/>
          <w:iCs w:val="1"/>
          <w:color w:val="auto"/>
        </w:rPr>
        <w:t xml:space="preserve">Significant Recent Developments </w:t>
      </w:r>
      <w:r>
        <w:rPr>
          <w:rFonts w:ascii="Arial" w:cs="Arial" w:eastAsia="Arial" w:hAnsi="Arial"/>
          <w:sz w:val="18"/>
          <w:szCs w:val="18"/>
          <w:color w:val="auto"/>
        </w:rPr>
        <w:t>will provide us with adequate liquidity for the next twelve months.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Adjusted Free Cash Flow</w:t>
      </w:r>
    </w:p>
    <w:p>
      <w:pPr>
        <w:spacing w:after="0" w:line="252" w:lineRule="exact"/>
        <w:rPr>
          <w:sz w:val="20"/>
          <w:szCs w:val="20"/>
          <w:color w:val="auto"/>
        </w:rPr>
      </w:pPr>
    </w:p>
    <w:p>
      <w:pPr>
        <w:jc w:val="both"/>
        <w:ind w:right="420" w:firstLine="324"/>
        <w:spacing w:after="0" w:line="301" w:lineRule="auto"/>
        <w:rPr>
          <w:sz w:val="20"/>
          <w:szCs w:val="20"/>
          <w:color w:val="auto"/>
        </w:rPr>
      </w:pPr>
      <w:r>
        <w:rPr>
          <w:rFonts w:ascii="Arial" w:cs="Arial" w:eastAsia="Arial" w:hAnsi="Arial"/>
          <w:sz w:val="16"/>
          <w:szCs w:val="16"/>
          <w:color w:val="auto"/>
        </w:rPr>
        <w:t>We define “adjusted free cash flow” for a given period as cash provided by operating activities, plus receipts from notes and equipment contract receivables, less additions to property and equipment. Management uses this liquidity measure in its periodic assessment of, among other things, cash dividends per share of common stock and repurchases of common stock and we believe it is important for investors to have the same measure used by management for that purpose. Adjusted free cash flow does not represent residual cash flow available for discretionary purposes.</w:t>
      </w:r>
    </w:p>
    <w:p>
      <w:pPr>
        <w:spacing w:after="0" w:line="184" w:lineRule="exact"/>
        <w:rPr>
          <w:sz w:val="20"/>
          <w:szCs w:val="20"/>
          <w:color w:val="auto"/>
        </w:rPr>
      </w:pPr>
    </w:p>
    <w:p>
      <w:pPr>
        <w:jc w:val="both"/>
        <w:ind w:right="60" w:firstLine="324"/>
        <w:spacing w:after="0" w:line="259" w:lineRule="auto"/>
        <w:rPr>
          <w:sz w:val="20"/>
          <w:szCs w:val="20"/>
          <w:color w:val="auto"/>
        </w:rPr>
      </w:pPr>
      <w:r>
        <w:rPr>
          <w:rFonts w:ascii="Arial" w:cs="Arial" w:eastAsia="Arial" w:hAnsi="Arial"/>
          <w:sz w:val="18"/>
          <w:szCs w:val="18"/>
          <w:color w:val="auto"/>
        </w:rPr>
        <w:t>Adjusted free cash flow is a non-U.S. GAAP measure. This non-U.S. GAAP measure is not defined in the same manner by all companies and may not be comparable to other similarly titled measures of other companies. Non-U.S. GAAP measures should be considered in addition to, and not as a substitute for, the U.S. GAAP information contained within our financial statements. Reconciliation of the cash provided by operating activities to adjusted free cash flow is as follows:</w:t>
      </w:r>
    </w:p>
    <w:p>
      <w:pPr>
        <w:spacing w:after="0" w:line="268" w:lineRule="exact"/>
        <w:rPr>
          <w:sz w:val="20"/>
          <w:szCs w:val="20"/>
          <w:color w:val="auto"/>
        </w:rPr>
      </w:pPr>
    </w:p>
    <w:tbl>
      <w:tblPr>
        <w:tblLayout w:type="fixed"/>
        <w:tblInd w:w="240" w:type="dxa"/>
        <w:tblCellMar>
          <w:top w:w="0" w:type="dxa"/>
          <w:left w:w="0" w:type="dxa"/>
          <w:bottom w:w="0" w:type="dxa"/>
          <w:right w:w="0" w:type="dxa"/>
        </w:tblCellMar>
      </w:tblPr>
      <w:tr>
        <w:trPr>
          <w:trHeight w:val="210"/>
        </w:trPr>
        <w:tc>
          <w:tcPr>
            <w:tcW w:w="6200" w:type="dxa"/>
            <w:vAlign w:val="bottom"/>
          </w:tcPr>
          <w:p>
            <w:pPr>
              <w:spacing w:after="0"/>
              <w:rPr>
                <w:sz w:val="18"/>
                <w:szCs w:val="18"/>
                <w:color w:val="auto"/>
              </w:rPr>
            </w:pPr>
          </w:p>
        </w:tc>
        <w:tc>
          <w:tcPr>
            <w:tcW w:w="2680" w:type="dxa"/>
            <w:vAlign w:val="bottom"/>
            <w:gridSpan w:val="4"/>
          </w:tcPr>
          <w:p>
            <w:pPr>
              <w:jc w:val="right"/>
              <w:ind w:right="97"/>
              <w:spacing w:after="0"/>
              <w:rPr>
                <w:sz w:val="20"/>
                <w:szCs w:val="20"/>
                <w:color w:val="auto"/>
              </w:rPr>
            </w:pPr>
            <w:r>
              <w:rPr>
                <w:rFonts w:ascii="Arial" w:cs="Arial" w:eastAsia="Arial" w:hAnsi="Arial"/>
                <w:sz w:val="16"/>
                <w:szCs w:val="16"/>
                <w:b w:val="1"/>
                <w:bCs w:val="1"/>
                <w:color w:val="auto"/>
              </w:rPr>
              <w:t>Six months ended June 30,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3"/>
        </w:trPr>
        <w:tc>
          <w:tcPr>
            <w:tcW w:w="62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4"/>
        </w:trPr>
        <w:tc>
          <w:tcPr>
            <w:tcW w:w="620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6"/>
                <w:szCs w:val="16"/>
                <w:b w:val="1"/>
                <w:bCs w:val="1"/>
                <w:color w:val="auto"/>
              </w:rPr>
              <w:t>2019</w:t>
            </w:r>
          </w:p>
        </w:tc>
        <w:tc>
          <w:tcPr>
            <w:tcW w:w="4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Variance</w:t>
            </w:r>
          </w:p>
        </w:tc>
      </w:tr>
      <w:tr>
        <w:trPr>
          <w:trHeight w:val="196"/>
        </w:trPr>
        <w:tc>
          <w:tcPr>
            <w:tcW w:w="6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6"/>
        </w:trPr>
        <w:tc>
          <w:tcPr>
            <w:tcW w:w="6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(used in) provided by operating activities</w:t>
            </w:r>
          </w:p>
        </w:tc>
        <w:tc>
          <w:tcPr>
            <w:tcW w:w="960" w:type="dxa"/>
            <w:vAlign w:val="bottom"/>
            <w:tcBorders>
              <w:bottom w:val="single" w:sz="8" w:color="CCEEFF"/>
            </w:tcBorders>
            <w:shd w:val="clear" w:color="auto" w:fill="CCEEFF"/>
          </w:tcPr>
          <w:p>
            <w:pPr>
              <w:jc w:val="right"/>
              <w:ind w:right="775"/>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(10.5)</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57"/>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1"/>
              </w:rPr>
              <w:t>69.3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(79.8)</w:t>
            </w: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Receipts from notes and equipment contracts receivable</w:t>
            </w:r>
          </w:p>
        </w:tc>
        <w:tc>
          <w:tcPr>
            <w:tcW w:w="960" w:type="dxa"/>
            <w:vAlign w:val="bottom"/>
          </w:tcPr>
          <w:p>
            <w:pPr>
              <w:spacing w:after="0"/>
              <w:rPr>
                <w:sz w:val="23"/>
                <w:szCs w:val="23"/>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(0.4)</w:t>
            </w:r>
          </w:p>
        </w:tc>
      </w:tr>
      <w:tr>
        <w:trPr>
          <w:trHeight w:val="270"/>
        </w:trPr>
        <w:tc>
          <w:tcPr>
            <w:tcW w:w="6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Additions to property and equipment</w:t>
            </w:r>
          </w:p>
        </w:tc>
        <w:tc>
          <w:tcPr>
            <w:tcW w:w="9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(9.2)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1.8</w:t>
            </w:r>
          </w:p>
        </w:tc>
      </w:tr>
      <w:tr>
        <w:trPr>
          <w:trHeight w:val="264"/>
        </w:trPr>
        <w:tc>
          <w:tcPr>
            <w:tcW w:w="6200" w:type="dxa"/>
            <w:vAlign w:val="bottom"/>
          </w:tcPr>
          <w:p>
            <w:pPr>
              <w:spacing w:after="0"/>
              <w:rPr>
                <w:sz w:val="20"/>
                <w:szCs w:val="20"/>
                <w:color w:val="auto"/>
              </w:rPr>
            </w:pPr>
            <w:r>
              <w:rPr>
                <w:rFonts w:ascii="Arial" w:cs="Arial" w:eastAsia="Arial" w:hAnsi="Arial"/>
                <w:sz w:val="18"/>
                <w:szCs w:val="18"/>
                <w:b w:val="1"/>
                <w:bCs w:val="1"/>
                <w:color w:val="auto"/>
              </w:rPr>
              <w:t>Adjusted free cash flow</w:t>
            </w:r>
          </w:p>
        </w:tc>
        <w:tc>
          <w:tcPr>
            <w:tcW w:w="960" w:type="dxa"/>
            <w:vAlign w:val="bottom"/>
            <w:tcBorders>
              <w:top w:val="single" w:sz="8" w:color="auto"/>
              <w:bottom w:val="single" w:sz="8" w:color="auto"/>
            </w:tcBorders>
          </w:tcPr>
          <w:p>
            <w:pPr>
              <w:jc w:val="right"/>
              <w:ind w:right="775"/>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(12.4)</w:t>
            </w:r>
          </w:p>
        </w:tc>
        <w:tc>
          <w:tcPr>
            <w:tcW w:w="10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ind w:right="857"/>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1"/>
              </w:rPr>
              <w:t>66.0</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(78.4)</w:t>
            </w:r>
          </w:p>
        </w:tc>
      </w:tr>
      <w:tr>
        <w:trPr>
          <w:trHeight w:val="20"/>
        </w:trPr>
        <w:tc>
          <w:tcPr>
            <w:tcW w:w="6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expects to generate positive adjusted free cash flow during the remaining six months of 2020.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We have obligations for guarantees on certain franchisee lease agreements, as disclosed in Note 14 - Commitments and Contingencies, of Notes to Consolidated Financial Statements of Part I, Item 1 of this Form 10-Q. Other than such guarantees, we did not have any off-balance sheet arrangements, as defined in Item 303(a)(4) of SEC Regulation S-K as of June 30,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right="540" w:firstLine="324"/>
        <w:spacing w:after="0" w:line="308" w:lineRule="auto"/>
        <w:rPr>
          <w:sz w:val="20"/>
          <w:szCs w:val="20"/>
          <w:color w:val="auto"/>
        </w:rPr>
      </w:pPr>
      <w:r>
        <w:rPr>
          <w:rFonts w:ascii="Arial" w:cs="Arial" w:eastAsia="Arial" w:hAnsi="Arial"/>
          <w:sz w:val="17"/>
          <w:szCs w:val="17"/>
          <w:color w:val="auto"/>
        </w:rPr>
        <w:t>As discussed above, in March 2020, we drew down a total of $220 million from the Revolver. Other than this borrowing, there were no material changes to the contractual obligations table as disclosed in our Annual Report on Form 10-K for the year ended December 31, 2019.</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preparation of financial statements in accordance with U.S. GAAP requires us to make estimates and assumptions affecting the reported amounts of assets and liabilities at the date of the financial statements and the reported amounts of net revenues and expenses in the reporting period. We base our estimates and assumptions on current facts, historical experience and various other factors that we believe to be reasonable under the circumstances, the results of which form the basis for</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3" w:name="page54"/>
    <w:bookmarkEnd w:id="5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making judgments about the carrying values of assets and liabilities and the accrual of costs and expenses that are not readily apparent from other sources. We continually review the estimates and underlying assumptions to ensure they are appropriate for the circumstances. Accounting assumptions and estimates are inherently uncertain and actual results may differ materially from our estimates.</w:t>
      </w:r>
    </w:p>
    <w:p>
      <w:pPr>
        <w:spacing w:after="0" w:line="184"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A summary of our critical accounting estimates is included in Management’s Discussion and Analysis of Financial Condition and Results of Operations contained in our Annual Report on Form 10-K for the year ended December 31, 2019. During the six months ended June 30, 2020, there were no significant changes in our critical accounting policies, other than our accounting policy for current expected credit losses, which changed because of the adoption of the accounting guidance discussed in Note 3 - Accounting Standards Adopted and Newly Issued Accounting Standards Not Yet Adopted, in the Notes to Consolidated Financial Statements and in our critical accounting estimates, other than those related to the valuation of goodwill, intangibles and long-lived assets discussed in Note 4 - Impairment and Closure Charges, in the Notes to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following change from the information contained in the Company’s Annual Report on Form 10-K for the year ended December 31, 2019 took place during the six months ended June 30, 2020:</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52"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We are only exposed to interest rate risk on borrowings we make under our 2019 Class A-1 Notes, a revolving credit facility (the “Revolver”), borrowings from which are subject to variable interest rates. In March 2020, we drew down $220.0 million from the Revolver, all of which was outstanding at June 30, 2020. A 1% increase or decrease in interest rates would increase or decrease our annual interest expense by $2.2 million.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such evaluation, the Company’s Chief Executive Officer and Chief Financial Officer have concluded that, as of the end of such period, the Company’s disclosure controls and procedures are effective at the reasonable assurance level.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There have been no changes in the Company’s internal control over financial reporting (as such term is defined in Rules 13a-15(f) and 15d-15(f) under the Exchange Act) during the fiscal quarter to which this report relates that have materially affected, or are reasonably likely to materially affect, the Company’s internal control over financial reporting.</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are subject to various lawsuits, administrative proceedings, audits and claims arising in the ordinary course of business. Some of these lawsuits purport to be class actions and/or seek substantial damages. We are required to record an accrual for litigation loss contingencies that are both probable and reasonably estimable. Legal fees and expenses associated with the defense of all of our litigation are expensed as such fees and expenses are incurred. Management regularly assesses our insurance deductibles, analyzes litigation information with our attorneys and evaluates our loss experience in connection with pending legal proceedings. While we do not presently believe that any of the legal proceedings to which we are currently a party will ultimately have a material adverse impact on us, there can be no assurance that we will prevail in all the proceedings we are party to, or that we will not incur material losses from them.</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Please refer to our risk factors disclosed in Part I, Item 1A “Risk Factors” of our Annual Report on Form 10-K for the fiscal year ended December 31, 2019 and in Part II, Item 1A of our Quarterly Report on Form 10-Q for the quarterly period ended March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Purchases of Equity Securities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9803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tcPr>
          <w:p>
            <w:pPr>
              <w:spacing w:after="0"/>
              <w:rPr>
                <w:sz w:val="14"/>
                <w:szCs w:val="14"/>
                <w:color w:val="auto"/>
              </w:rPr>
            </w:pPr>
          </w:p>
        </w:tc>
        <w:tc>
          <w:tcPr>
            <w:tcW w:w="19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Total number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Average price</w:t>
            </w: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shares purchased as</w:t>
            </w:r>
          </w:p>
        </w:tc>
        <w:tc>
          <w:tcPr>
            <w:tcW w:w="10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part of publicly</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1"/>
              </w:rPr>
              <w:t>shares that may yet be</w:t>
            </w:r>
          </w:p>
        </w:tc>
        <w:tc>
          <w:tcPr>
            <w:tcW w:w="0" w:type="dxa"/>
            <w:vAlign w:val="bottom"/>
          </w:tcPr>
          <w:p>
            <w:pPr>
              <w:spacing w:after="0"/>
              <w:rPr>
                <w:sz w:val="1"/>
                <w:szCs w:val="1"/>
                <w:color w:val="auto"/>
              </w:rPr>
            </w:pPr>
          </w:p>
        </w:tc>
      </w:tr>
      <w:tr>
        <w:trPr>
          <w:trHeight w:val="148"/>
        </w:trPr>
        <w:tc>
          <w:tcPr>
            <w:tcW w:w="4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paid per</w:t>
            </w: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 plans or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0"/>
              </w:rPr>
              <w:t>purchased under the</w:t>
            </w:r>
          </w:p>
        </w:tc>
        <w:tc>
          <w:tcPr>
            <w:tcW w:w="0" w:type="dxa"/>
            <w:vAlign w:val="bottom"/>
          </w:tcPr>
          <w:p>
            <w:pPr>
              <w:spacing w:after="0"/>
              <w:rPr>
                <w:sz w:val="1"/>
                <w:szCs w:val="1"/>
                <w:color w:val="auto"/>
              </w:rPr>
            </w:pPr>
          </w:p>
        </w:tc>
      </w:tr>
      <w:tr>
        <w:trPr>
          <w:trHeight w:val="192"/>
        </w:trPr>
        <w:tc>
          <w:tcPr>
            <w:tcW w:w="44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purchased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0"/>
              </w:rPr>
              <w:t>share</w:t>
            </w:r>
          </w:p>
        </w:tc>
        <w:tc>
          <w:tcPr>
            <w:tcW w:w="100" w:type="dxa"/>
            <w:vAlign w:val="bottom"/>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programs (b)</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2"/>
              </w:rPr>
              <w:t>plans or programs (b)</w:t>
            </w:r>
          </w:p>
        </w:tc>
        <w:tc>
          <w:tcPr>
            <w:tcW w:w="0" w:type="dxa"/>
            <w:vAlign w:val="bottom"/>
          </w:tcPr>
          <w:p>
            <w:pPr>
              <w:spacing w:after="0"/>
              <w:rPr>
                <w:sz w:val="1"/>
                <w:szCs w:val="1"/>
                <w:color w:val="auto"/>
              </w:rPr>
            </w:pPr>
          </w:p>
        </w:tc>
      </w:tr>
      <w:tr>
        <w:trPr>
          <w:trHeight w:val="311"/>
        </w:trPr>
        <w:tc>
          <w:tcPr>
            <w:tcW w:w="4400" w:type="dxa"/>
            <w:vAlign w:val="bottom"/>
          </w:tcPr>
          <w:p>
            <w:pPr>
              <w:ind w:left="20"/>
              <w:spacing w:after="0"/>
              <w:rPr>
                <w:sz w:val="20"/>
                <w:szCs w:val="20"/>
                <w:color w:val="auto"/>
              </w:rPr>
            </w:pPr>
            <w:r>
              <w:rPr>
                <w:rFonts w:ascii="Arial" w:cs="Arial" w:eastAsia="Arial" w:hAnsi="Arial"/>
                <w:sz w:val="18"/>
                <w:szCs w:val="18"/>
                <w:color w:val="auto"/>
              </w:rPr>
              <w:t>March 30, 2020 - April 26, 2020</w:t>
            </w:r>
            <w:r>
              <w:rPr>
                <w:rFonts w:ascii="Arial" w:cs="Arial" w:eastAsia="Arial" w:hAnsi="Arial"/>
                <w:sz w:val="23"/>
                <w:szCs w:val="23"/>
                <w:color w:val="auto"/>
                <w:vertAlign w:val="superscript"/>
              </w:rPr>
              <w:t>(a)</w:t>
            </w:r>
          </w:p>
        </w:tc>
        <w:tc>
          <w:tcPr>
            <w:tcW w:w="120" w:type="dxa"/>
            <w:vAlign w:val="bottom"/>
          </w:tcPr>
          <w:p>
            <w:pPr>
              <w:spacing w:after="0"/>
              <w:rPr>
                <w:sz w:val="24"/>
                <w:szCs w:val="24"/>
                <w:color w:val="auto"/>
              </w:rPr>
            </w:pPr>
          </w:p>
        </w:tc>
        <w:tc>
          <w:tcPr>
            <w:tcW w:w="1500" w:type="dxa"/>
            <w:vAlign w:val="bottom"/>
            <w:vMerge w:val="restart"/>
          </w:tcPr>
          <w:p>
            <w:pPr>
              <w:jc w:val="right"/>
              <w:ind w:right="78"/>
              <w:spacing w:after="0"/>
              <w:rPr>
                <w:sz w:val="20"/>
                <w:szCs w:val="20"/>
                <w:color w:val="auto"/>
              </w:rPr>
            </w:pPr>
            <w:r>
              <w:rPr>
                <w:rFonts w:ascii="Arial" w:cs="Arial" w:eastAsia="Arial" w:hAnsi="Arial"/>
                <w:sz w:val="18"/>
                <w:szCs w:val="18"/>
                <w:color w:val="auto"/>
              </w:rPr>
              <w:t>487</w:t>
            </w:r>
          </w:p>
        </w:tc>
        <w:tc>
          <w:tcPr>
            <w:tcW w:w="2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vMerge w:val="restart"/>
          </w:tcPr>
          <w:p>
            <w:pPr>
              <w:jc w:val="right"/>
              <w:ind w:right="78"/>
              <w:spacing w:after="0"/>
              <w:rPr>
                <w:sz w:val="20"/>
                <w:szCs w:val="20"/>
                <w:color w:val="auto"/>
              </w:rPr>
            </w:pPr>
            <w:r>
              <w:rPr>
                <w:rFonts w:ascii="Arial" w:cs="Arial" w:eastAsia="Arial" w:hAnsi="Arial"/>
                <w:sz w:val="18"/>
                <w:szCs w:val="18"/>
                <w:color w:val="auto"/>
              </w:rPr>
              <w:t>33.90</w:t>
            </w:r>
          </w:p>
        </w:tc>
        <w:tc>
          <w:tcPr>
            <w:tcW w:w="100" w:type="dxa"/>
            <w:vAlign w:val="bottom"/>
          </w:tcPr>
          <w:p>
            <w:pPr>
              <w:spacing w:after="0"/>
              <w:rPr>
                <w:sz w:val="24"/>
                <w:szCs w:val="24"/>
                <w:color w:val="auto"/>
              </w:rPr>
            </w:pPr>
          </w:p>
        </w:tc>
        <w:tc>
          <w:tcPr>
            <w:tcW w:w="1640" w:type="dxa"/>
            <w:vAlign w:val="bottom"/>
            <w:vMerge w:val="restart"/>
          </w:tcPr>
          <w:p>
            <w:pPr>
              <w:ind w:left="1300"/>
              <w:spacing w:after="0"/>
              <w:rPr>
                <w:sz w:val="20"/>
                <w:szCs w:val="20"/>
                <w:color w:val="auto"/>
              </w:rPr>
            </w:pPr>
            <w:r>
              <w:rPr>
                <w:rFonts w:ascii="Arial" w:cs="Arial" w:eastAsia="Arial" w:hAnsi="Arial"/>
                <w:sz w:val="18"/>
                <w:szCs w:val="18"/>
                <w:color w:val="auto"/>
              </w:rPr>
              <w:t>—</w:t>
            </w:r>
          </w:p>
        </w:tc>
        <w:tc>
          <w:tcPr>
            <w:tcW w:w="300" w:type="dxa"/>
            <w:vAlign w:val="bottom"/>
            <w:gridSpan w:val="2"/>
            <w:vMerge w:val="restart"/>
          </w:tcPr>
          <w:p>
            <w:pPr>
              <w:jc w:val="right"/>
              <w:ind w:right="8"/>
              <w:spacing w:after="0"/>
              <w:rPr>
                <w:sz w:val="20"/>
                <w:szCs w:val="20"/>
                <w:color w:val="auto"/>
              </w:rPr>
            </w:pPr>
            <w:r>
              <w:rPr>
                <w:rFonts w:ascii="Arial" w:cs="Arial" w:eastAsia="Arial" w:hAnsi="Arial"/>
                <w:sz w:val="18"/>
                <w:szCs w:val="18"/>
                <w:color w:val="auto"/>
              </w:rPr>
              <w:t>$</w:t>
            </w:r>
          </w:p>
        </w:tc>
        <w:tc>
          <w:tcPr>
            <w:tcW w:w="1720" w:type="dxa"/>
            <w:vAlign w:val="bottom"/>
            <w:vMerge w:val="restart"/>
          </w:tcPr>
          <w:p>
            <w:pPr>
              <w:jc w:val="right"/>
              <w:ind w:right="58"/>
              <w:spacing w:after="0"/>
              <w:rPr>
                <w:sz w:val="20"/>
                <w:szCs w:val="20"/>
                <w:color w:val="auto"/>
              </w:rPr>
            </w:pPr>
            <w:r>
              <w:rPr>
                <w:rFonts w:ascii="Arial" w:cs="Arial" w:eastAsia="Arial" w:hAnsi="Arial"/>
                <w:sz w:val="18"/>
                <w:szCs w:val="18"/>
                <w:color w:val="auto"/>
              </w:rPr>
              <w:t>70,200,000</w:t>
            </w:r>
          </w:p>
        </w:tc>
        <w:tc>
          <w:tcPr>
            <w:tcW w:w="0" w:type="dxa"/>
            <w:vAlign w:val="bottom"/>
          </w:tcPr>
          <w:p>
            <w:pPr>
              <w:spacing w:after="0"/>
              <w:rPr>
                <w:sz w:val="1"/>
                <w:szCs w:val="1"/>
                <w:color w:val="auto"/>
              </w:rPr>
            </w:pPr>
          </w:p>
        </w:tc>
      </w:tr>
      <w:tr>
        <w:trPr>
          <w:trHeight w:val="134"/>
        </w:trPr>
        <w:tc>
          <w:tcPr>
            <w:tcW w:w="4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26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300" w:type="dxa"/>
            <w:vAlign w:val="bottom"/>
            <w:gridSpan w:val="2"/>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10"/>
        </w:trPr>
        <w:tc>
          <w:tcPr>
            <w:tcW w:w="4520" w:type="dxa"/>
            <w:vAlign w:val="bottom"/>
            <w:gridSpan w:val="2"/>
          </w:tcPr>
          <w:p>
            <w:pPr>
              <w:ind w:left="20"/>
              <w:spacing w:after="0"/>
              <w:rPr>
                <w:sz w:val="20"/>
                <w:szCs w:val="20"/>
                <w:color w:val="auto"/>
              </w:rPr>
            </w:pPr>
            <w:r>
              <w:rPr>
                <w:rFonts w:ascii="Arial" w:cs="Arial" w:eastAsia="Arial" w:hAnsi="Arial"/>
                <w:sz w:val="18"/>
                <w:szCs w:val="18"/>
                <w:color w:val="auto"/>
              </w:rPr>
              <w:t>April 27, 2020 - May 24, 2020</w:t>
            </w:r>
            <w:r>
              <w:rPr>
                <w:rFonts w:ascii="Arial" w:cs="Arial" w:eastAsia="Arial" w:hAnsi="Arial"/>
                <w:sz w:val="23"/>
                <w:szCs w:val="23"/>
                <w:color w:val="auto"/>
                <w:vertAlign w:val="superscript"/>
              </w:rPr>
              <w:t>(a)</w:t>
            </w:r>
          </w:p>
        </w:tc>
        <w:tc>
          <w:tcPr>
            <w:tcW w:w="1500" w:type="dxa"/>
            <w:vAlign w:val="bottom"/>
          </w:tcPr>
          <w:p>
            <w:pPr>
              <w:jc w:val="right"/>
              <w:ind w:right="78"/>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ind w:right="78"/>
              <w:spacing w:after="0"/>
              <w:rPr>
                <w:sz w:val="20"/>
                <w:szCs w:val="20"/>
                <w:color w:val="auto"/>
              </w:rPr>
            </w:pPr>
            <w:r>
              <w:rPr>
                <w:rFonts w:ascii="Arial" w:cs="Arial" w:eastAsia="Arial" w:hAnsi="Arial"/>
                <w:sz w:val="18"/>
                <w:szCs w:val="18"/>
                <w:color w:val="auto"/>
              </w:rPr>
              <w:t>36.51</w:t>
            </w:r>
          </w:p>
        </w:tc>
        <w:tc>
          <w:tcPr>
            <w:tcW w:w="100" w:type="dxa"/>
            <w:vAlign w:val="bottom"/>
          </w:tcPr>
          <w:p>
            <w:pPr>
              <w:spacing w:after="0"/>
              <w:rPr>
                <w:sz w:val="24"/>
                <w:szCs w:val="24"/>
                <w:color w:val="auto"/>
              </w:rPr>
            </w:pPr>
          </w:p>
        </w:tc>
        <w:tc>
          <w:tcPr>
            <w:tcW w:w="1640" w:type="dxa"/>
            <w:vAlign w:val="bottom"/>
          </w:tcPr>
          <w:p>
            <w:pPr>
              <w:ind w:left="13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58"/>
              <w:spacing w:after="0"/>
              <w:rPr>
                <w:sz w:val="20"/>
                <w:szCs w:val="20"/>
                <w:color w:val="auto"/>
              </w:rPr>
            </w:pPr>
            <w:r>
              <w:rPr>
                <w:rFonts w:ascii="Arial" w:cs="Arial" w:eastAsia="Arial" w:hAnsi="Arial"/>
                <w:sz w:val="18"/>
                <w:szCs w:val="18"/>
                <w:color w:val="auto"/>
              </w:rPr>
              <w:t>70,200,000</w:t>
            </w:r>
          </w:p>
        </w:tc>
        <w:tc>
          <w:tcPr>
            <w:tcW w:w="0" w:type="dxa"/>
            <w:vAlign w:val="bottom"/>
          </w:tcPr>
          <w:p>
            <w:pPr>
              <w:spacing w:after="0"/>
              <w:rPr>
                <w:sz w:val="1"/>
                <w:szCs w:val="1"/>
                <w:color w:val="auto"/>
              </w:rPr>
            </w:pPr>
          </w:p>
        </w:tc>
      </w:tr>
      <w:tr>
        <w:trPr>
          <w:trHeight w:val="257"/>
        </w:trPr>
        <w:tc>
          <w:tcPr>
            <w:tcW w:w="4520" w:type="dxa"/>
            <w:vAlign w:val="bottom"/>
            <w:gridSpan w:val="2"/>
          </w:tcPr>
          <w:p>
            <w:pPr>
              <w:ind w:left="20"/>
              <w:spacing w:after="0" w:line="257" w:lineRule="exact"/>
              <w:rPr>
                <w:sz w:val="20"/>
                <w:szCs w:val="20"/>
                <w:color w:val="auto"/>
              </w:rPr>
            </w:pPr>
            <w:r>
              <w:rPr>
                <w:rFonts w:ascii="Arial" w:cs="Arial" w:eastAsia="Arial" w:hAnsi="Arial"/>
                <w:sz w:val="18"/>
                <w:szCs w:val="18"/>
                <w:color w:val="auto"/>
              </w:rPr>
              <w:t>May 25, 2020 - June 28, 2020</w:t>
            </w:r>
            <w:r>
              <w:rPr>
                <w:rFonts w:ascii="Arial" w:cs="Arial" w:eastAsia="Arial" w:hAnsi="Arial"/>
                <w:sz w:val="23"/>
                <w:szCs w:val="23"/>
                <w:color w:val="auto"/>
                <w:vertAlign w:val="superscript"/>
              </w:rPr>
              <w:t>(a)</w:t>
            </w:r>
          </w:p>
        </w:tc>
        <w:tc>
          <w:tcPr>
            <w:tcW w:w="1500" w:type="dxa"/>
            <w:vAlign w:val="bottom"/>
            <w:tcBorders>
              <w:bottom w:val="single" w:sz="8" w:color="auto"/>
            </w:tcBorders>
          </w:tcPr>
          <w:p>
            <w:pPr>
              <w:jc w:val="right"/>
              <w:ind w:right="78"/>
              <w:spacing w:after="0"/>
              <w:rPr>
                <w:sz w:val="20"/>
                <w:szCs w:val="20"/>
                <w:color w:val="auto"/>
              </w:rPr>
            </w:pPr>
            <w:r>
              <w:rPr>
                <w:rFonts w:ascii="Arial" w:cs="Arial" w:eastAsia="Arial" w:hAnsi="Arial"/>
                <w:sz w:val="18"/>
                <w:szCs w:val="18"/>
                <w:color w:val="auto"/>
              </w:rPr>
              <w:t>2,222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ind w:right="78"/>
              <w:spacing w:after="0"/>
              <w:rPr>
                <w:sz w:val="20"/>
                <w:szCs w:val="20"/>
                <w:color w:val="auto"/>
              </w:rPr>
            </w:pPr>
            <w:r>
              <w:rPr>
                <w:rFonts w:ascii="Arial" w:cs="Arial" w:eastAsia="Arial" w:hAnsi="Arial"/>
                <w:sz w:val="18"/>
                <w:szCs w:val="18"/>
                <w:color w:val="auto"/>
              </w:rPr>
              <w:t>48.36</w:t>
            </w:r>
          </w:p>
        </w:tc>
        <w:tc>
          <w:tcPr>
            <w:tcW w:w="100" w:type="dxa"/>
            <w:vAlign w:val="bottom"/>
          </w:tcPr>
          <w:p>
            <w:pPr>
              <w:spacing w:after="0"/>
              <w:rPr>
                <w:sz w:val="22"/>
                <w:szCs w:val="22"/>
                <w:color w:val="auto"/>
              </w:rPr>
            </w:pPr>
          </w:p>
        </w:tc>
        <w:tc>
          <w:tcPr>
            <w:tcW w:w="1640" w:type="dxa"/>
            <w:vAlign w:val="bottom"/>
            <w:tcBorders>
              <w:bottom w:val="single" w:sz="8" w:color="auto"/>
            </w:tcBorders>
          </w:tcPr>
          <w:p>
            <w:pPr>
              <w:ind w:left="13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58"/>
              <w:spacing w:after="0"/>
              <w:rPr>
                <w:sz w:val="20"/>
                <w:szCs w:val="20"/>
                <w:color w:val="auto"/>
              </w:rPr>
            </w:pPr>
            <w:r>
              <w:rPr>
                <w:rFonts w:ascii="Arial" w:cs="Arial" w:eastAsia="Arial" w:hAnsi="Arial"/>
                <w:sz w:val="18"/>
                <w:szCs w:val="18"/>
                <w:color w:val="auto"/>
              </w:rPr>
              <w:t>70,200,000</w:t>
            </w:r>
          </w:p>
        </w:tc>
        <w:tc>
          <w:tcPr>
            <w:tcW w:w="0" w:type="dxa"/>
            <w:vAlign w:val="bottom"/>
          </w:tcPr>
          <w:p>
            <w:pPr>
              <w:spacing w:after="0"/>
              <w:rPr>
                <w:sz w:val="1"/>
                <w:szCs w:val="1"/>
                <w:color w:val="auto"/>
              </w:rPr>
            </w:pPr>
          </w:p>
        </w:tc>
      </w:tr>
      <w:tr>
        <w:trPr>
          <w:trHeight w:val="263"/>
        </w:trPr>
        <w:tc>
          <w:tcPr>
            <w:tcW w:w="4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tcBorders>
              <w:bottom w:val="single" w:sz="8" w:color="auto"/>
            </w:tcBorders>
          </w:tcPr>
          <w:p>
            <w:pPr>
              <w:jc w:val="right"/>
              <w:ind w:right="78"/>
              <w:spacing w:after="0"/>
              <w:rPr>
                <w:sz w:val="20"/>
                <w:szCs w:val="20"/>
                <w:color w:val="auto"/>
              </w:rPr>
            </w:pPr>
            <w:r>
              <w:rPr>
                <w:rFonts w:ascii="Arial" w:cs="Arial" w:eastAsia="Arial" w:hAnsi="Arial"/>
                <w:sz w:val="18"/>
                <w:szCs w:val="18"/>
                <w:color w:val="auto"/>
              </w:rPr>
              <w:t>2,856</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8"/>
              <w:spacing w:after="0"/>
              <w:rPr>
                <w:sz w:val="20"/>
                <w:szCs w:val="20"/>
                <w:color w:val="auto"/>
              </w:rPr>
            </w:pPr>
            <w:r>
              <w:rPr>
                <w:rFonts w:ascii="Arial" w:cs="Arial" w:eastAsia="Arial" w:hAnsi="Arial"/>
                <w:sz w:val="18"/>
                <w:szCs w:val="18"/>
                <w:color w:val="auto"/>
              </w:rPr>
              <w:t>45.29</w:t>
            </w:r>
          </w:p>
        </w:tc>
        <w:tc>
          <w:tcPr>
            <w:tcW w:w="100" w:type="dxa"/>
            <w:vAlign w:val="bottom"/>
          </w:tcPr>
          <w:p>
            <w:pPr>
              <w:spacing w:after="0"/>
              <w:rPr>
                <w:sz w:val="22"/>
                <w:szCs w:val="22"/>
                <w:color w:val="auto"/>
              </w:rPr>
            </w:pPr>
          </w:p>
        </w:tc>
        <w:tc>
          <w:tcPr>
            <w:tcW w:w="1640" w:type="dxa"/>
            <w:vAlign w:val="bottom"/>
            <w:tcBorders>
              <w:bottom w:val="single" w:sz="8" w:color="auto"/>
            </w:tcBorders>
          </w:tcPr>
          <w:p>
            <w:pPr>
              <w:ind w:left="13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58"/>
              <w:spacing w:after="0"/>
              <w:rPr>
                <w:sz w:val="20"/>
                <w:szCs w:val="20"/>
                <w:color w:val="auto"/>
              </w:rPr>
            </w:pPr>
            <w:r>
              <w:rPr>
                <w:rFonts w:ascii="Arial" w:cs="Arial" w:eastAsia="Arial" w:hAnsi="Arial"/>
                <w:sz w:val="18"/>
                <w:szCs w:val="18"/>
                <w:color w:val="auto"/>
              </w:rPr>
              <w:t>70,200,000</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260" w:right="480" w:hanging="252"/>
        <w:spacing w:after="0" w:line="252" w:lineRule="auto"/>
        <w:tabs>
          <w:tab w:leader="none" w:pos="176" w:val="left"/>
        </w:tabs>
        <w:numPr>
          <w:ilvl w:val="0"/>
          <w:numId w:val="23"/>
        </w:numPr>
        <w:rPr>
          <w:rFonts w:ascii="Arial" w:cs="Arial" w:eastAsia="Arial" w:hAnsi="Arial"/>
          <w:sz w:val="20"/>
          <w:szCs w:val="20"/>
          <w:color w:val="auto"/>
          <w:vertAlign w:val="superscript"/>
        </w:rPr>
      </w:pPr>
      <w:r>
        <w:rPr>
          <w:rFonts w:ascii="Arial" w:cs="Arial" w:eastAsia="Arial" w:hAnsi="Arial"/>
          <w:sz w:val="14"/>
          <w:szCs w:val="14"/>
          <w:color w:val="auto"/>
        </w:rPr>
        <w:t>These amounts represent shares owned and tendered by employees to satisfy tax withholding obligations arising upon vesting of restricted stock awards. Shares so surrendered by the participants are repurchased by us pursuant to the terms of the plan under which the shares were issued and the applicable individual award agreements and not pursuant to publicly announced repurchase authorizations.</w:t>
      </w:r>
    </w:p>
    <w:p>
      <w:pPr>
        <w:spacing w:after="0" w:line="1" w:lineRule="exact"/>
        <w:rPr>
          <w:rFonts w:ascii="Arial" w:cs="Arial" w:eastAsia="Arial" w:hAnsi="Arial"/>
          <w:sz w:val="20"/>
          <w:szCs w:val="20"/>
          <w:color w:val="auto"/>
          <w:vertAlign w:val="superscript"/>
        </w:rPr>
      </w:pPr>
    </w:p>
    <w:p>
      <w:pPr>
        <w:ind w:left="260" w:right="200" w:hanging="252"/>
        <w:spacing w:after="0" w:line="216" w:lineRule="auto"/>
        <w:tabs>
          <w:tab w:leader="none" w:pos="275" w:val="left"/>
        </w:tabs>
        <w:numPr>
          <w:ilvl w:val="0"/>
          <w:numId w:val="23"/>
        </w:numPr>
        <w:rPr>
          <w:rFonts w:ascii="Arial" w:cs="Arial" w:eastAsia="Arial" w:hAnsi="Arial"/>
          <w:sz w:val="23"/>
          <w:szCs w:val="23"/>
          <w:color w:val="auto"/>
          <w:vertAlign w:val="superscript"/>
        </w:rPr>
      </w:pPr>
      <w:r>
        <w:rPr>
          <w:rFonts w:ascii="Arial" w:cs="Arial" w:eastAsia="Arial" w:hAnsi="Arial"/>
          <w:sz w:val="16"/>
          <w:szCs w:val="16"/>
          <w:color w:val="auto"/>
        </w:rPr>
        <w:t>In February 2019, the Company’s Board of Directors approved the 2019 Repurchase Program authorizing the Company to repurchase up to $200 million of the Company's common stock. The 2019 Repurchase Program, as approved by the Board of Directors, does not require the repurchase of a specific number of shares and can be terminated at any time.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180"/>
          </w:cols>
          <w:pgMar w:left="320" w:top="122"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type w:val="continuous"/>
        </w:sectPr>
      </w:pPr>
    </w:p>
    <w:bookmarkStart w:id="55" w:name="page56"/>
    <w:bookmarkEnd w:id="5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8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Item 6. Exhibits.</w:t>
            </w:r>
          </w:p>
        </w:tc>
        <w:tc>
          <w:tcPr>
            <w:tcW w:w="1080" w:type="dxa"/>
            <w:vAlign w:val="bottom"/>
          </w:tcPr>
          <w:p>
            <w:pPr>
              <w:spacing w:after="0"/>
              <w:rPr>
                <w:sz w:val="20"/>
                <w:szCs w:val="20"/>
                <w:color w:val="auto"/>
              </w:rPr>
            </w:pPr>
          </w:p>
        </w:tc>
        <w:tc>
          <w:tcPr>
            <w:tcW w:w="86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86"/>
        </w:trPr>
        <w:tc>
          <w:tcPr>
            <w:tcW w:w="1480" w:type="dxa"/>
            <w:vAlign w:val="bottom"/>
          </w:tcPr>
          <w:p>
            <w:pPr>
              <w:jc w:val="right"/>
              <w:ind w:right="270"/>
              <w:spacing w:after="0"/>
              <w:rPr>
                <w:sz w:val="20"/>
                <w:szCs w:val="20"/>
                <w:color w:val="auto"/>
              </w:rPr>
            </w:pPr>
            <w:r>
              <w:rPr>
                <w:rFonts w:ascii="Arial" w:cs="Arial" w:eastAsia="Arial" w:hAnsi="Arial"/>
                <w:sz w:val="18"/>
                <w:szCs w:val="18"/>
                <w:color w:val="auto"/>
              </w:rPr>
              <w:t>*4.1</w:t>
            </w:r>
          </w:p>
        </w:tc>
        <w:tc>
          <w:tcPr>
            <w:tcW w:w="9720" w:type="dxa"/>
            <w:vAlign w:val="bottom"/>
            <w:gridSpan w:val="3"/>
          </w:tcPr>
          <w:p>
            <w:pPr>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Omnibus Supplement to Series 2019-1 Base Indenture and Series 2019-1 Supplement</w:t>
              </w:r>
            </w:hyperlink>
          </w:p>
        </w:tc>
      </w:tr>
      <w:tr>
        <w:trPr>
          <w:trHeight w:val="270"/>
        </w:trPr>
        <w:tc>
          <w:tcPr>
            <w:tcW w:w="1480" w:type="dxa"/>
            <w:vAlign w:val="bottom"/>
          </w:tcPr>
          <w:p>
            <w:pPr>
              <w:jc w:val="right"/>
              <w:ind w:right="270"/>
              <w:spacing w:after="0"/>
              <w:rPr>
                <w:sz w:val="20"/>
                <w:szCs w:val="20"/>
                <w:color w:val="auto"/>
              </w:rPr>
            </w:pPr>
            <w:r>
              <w:rPr>
                <w:rFonts w:ascii="Arial" w:cs="Arial" w:eastAsia="Arial" w:hAnsi="Arial"/>
                <w:sz w:val="18"/>
                <w:szCs w:val="18"/>
                <w:color w:val="auto"/>
              </w:rPr>
              <w:t>*31.1</w:t>
            </w:r>
          </w:p>
        </w:tc>
        <w:tc>
          <w:tcPr>
            <w:tcW w:w="9720" w:type="dxa"/>
            <w:vAlign w:val="bottom"/>
            <w:gridSpan w:val="3"/>
          </w:tcPr>
          <w:p>
            <w:pPr>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Certification of Chief Executive Officer pursuant to Rule 13a-14(a) of the Securities Exchange Act of 1934, as amended.</w:t>
              </w:r>
            </w:hyperlink>
          </w:p>
        </w:tc>
      </w:tr>
      <w:tr>
        <w:trPr>
          <w:trHeight w:val="270"/>
        </w:trPr>
        <w:tc>
          <w:tcPr>
            <w:tcW w:w="1480" w:type="dxa"/>
            <w:vAlign w:val="bottom"/>
          </w:tcPr>
          <w:p>
            <w:pPr>
              <w:jc w:val="right"/>
              <w:ind w:right="270"/>
              <w:spacing w:after="0"/>
              <w:rPr>
                <w:sz w:val="20"/>
                <w:szCs w:val="20"/>
                <w:color w:val="auto"/>
              </w:rPr>
            </w:pPr>
            <w:r>
              <w:rPr>
                <w:rFonts w:ascii="Arial" w:cs="Arial" w:eastAsia="Arial" w:hAnsi="Arial"/>
                <w:sz w:val="18"/>
                <w:szCs w:val="18"/>
                <w:color w:val="auto"/>
              </w:rPr>
              <w:t>*31.2</w:t>
            </w:r>
          </w:p>
        </w:tc>
        <w:tc>
          <w:tcPr>
            <w:tcW w:w="9720" w:type="dxa"/>
            <w:vAlign w:val="bottom"/>
            <w:gridSpan w:val="3"/>
          </w:tcPr>
          <w:p>
            <w:pPr>
              <w:spacing w:after="0"/>
              <w:rPr>
                <w:rFonts w:ascii="Arial" w:cs="Arial" w:eastAsia="Arial" w:hAnsi="Arial"/>
                <w:sz w:val="18"/>
                <w:szCs w:val="18"/>
                <w:color w:val="0000FF"/>
              </w:rPr>
            </w:pPr>
            <w:hyperlink w:anchor="page66">
              <w:r>
                <w:rPr>
                  <w:rFonts w:ascii="Arial" w:cs="Arial" w:eastAsia="Arial" w:hAnsi="Arial"/>
                  <w:sz w:val="18"/>
                  <w:szCs w:val="18"/>
                  <w:u w:val="single" w:color="auto"/>
                  <w:color w:val="0000FF"/>
                </w:rPr>
                <w:t>Certification of Chief Financial Officer pursuant to Rule 13a-14(a) of the Securities Exchange Act of 1934, as amended</w:t>
              </w:r>
              <w:r>
                <w:rPr>
                  <w:rFonts w:ascii="Arial" w:cs="Arial" w:eastAsia="Arial" w:hAnsi="Arial"/>
                  <w:sz w:val="18"/>
                  <w:szCs w:val="18"/>
                  <w:color w:val="0000FF"/>
                </w:rPr>
                <w:t>.</w:t>
              </w:r>
            </w:hyperlink>
          </w:p>
        </w:tc>
      </w:tr>
      <w:tr>
        <w:trPr>
          <w:trHeight w:val="216"/>
        </w:trPr>
        <w:tc>
          <w:tcPr>
            <w:tcW w:w="148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*32.1</w:t>
            </w:r>
          </w:p>
        </w:tc>
        <w:tc>
          <w:tcPr>
            <w:tcW w:w="972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w:anchor="page67">
              <w:r>
                <w:rPr>
                  <w:rFonts w:ascii="Arial" w:cs="Arial" w:eastAsia="Arial" w:hAnsi="Arial"/>
                  <w:sz w:val="18"/>
                  <w:szCs w:val="18"/>
                  <w:color w:val="0000FF"/>
                  <w:w w:val="90"/>
                </w:rPr>
                <w:t>Certification of Chief Executive Officer pursuant to 18 U.S.C. Section 1350, as adopted pursuant to Section 906 of the Sarbanes-Oxley</w:t>
              </w:r>
            </w:hyperlink>
          </w:p>
        </w:tc>
      </w:tr>
      <w:tr>
        <w:trPr>
          <w:trHeight w:val="155"/>
        </w:trPr>
        <w:tc>
          <w:tcPr>
            <w:tcW w:w="1480" w:type="dxa"/>
            <w:vAlign w:val="bottom"/>
          </w:tcPr>
          <w:p>
            <w:pPr>
              <w:spacing w:after="0"/>
              <w:rPr>
                <w:sz w:val="13"/>
                <w:szCs w:val="13"/>
                <w:color w:val="auto"/>
              </w:rPr>
            </w:pPr>
          </w:p>
        </w:tc>
        <w:tc>
          <w:tcPr>
            <w:tcW w:w="9720" w:type="dxa"/>
            <w:vAlign w:val="bottom"/>
            <w:gridSpan w:val="3"/>
          </w:tcPr>
          <w:p>
            <w:pPr>
              <w:spacing w:after="0" w:line="156" w:lineRule="exact"/>
              <w:rPr>
                <w:rFonts w:ascii="Arial" w:cs="Arial" w:eastAsia="Arial" w:hAnsi="Arial"/>
                <w:sz w:val="18"/>
                <w:szCs w:val="18"/>
                <w:color w:val="0000FF"/>
              </w:rPr>
            </w:pPr>
            <w:hyperlink w:anchor="page67">
              <w:r>
                <w:rPr>
                  <w:rFonts w:ascii="Arial" w:cs="Arial" w:eastAsia="Arial" w:hAnsi="Arial"/>
                  <w:sz w:val="18"/>
                  <w:szCs w:val="18"/>
                  <w:color w:val="0000FF"/>
                </w:rPr>
                <w:t>Act of 2002.**</w:t>
              </w:r>
            </w:hyperlink>
          </w:p>
        </w:tc>
      </w:tr>
      <w:tr>
        <w:trPr>
          <w:trHeight w:val="20"/>
        </w:trPr>
        <w:tc>
          <w:tcPr>
            <w:tcW w:w="148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148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*32.2</w:t>
            </w:r>
          </w:p>
        </w:tc>
        <w:tc>
          <w:tcPr>
            <w:tcW w:w="9720" w:type="dxa"/>
            <w:vAlign w:val="bottom"/>
            <w:gridSpan w:val="3"/>
          </w:tcPr>
          <w:p>
            <w:pPr>
              <w:spacing w:after="0" w:line="196" w:lineRule="exact"/>
              <w:rPr>
                <w:rFonts w:ascii="Arial" w:cs="Arial" w:eastAsia="Arial" w:hAnsi="Arial"/>
                <w:sz w:val="18"/>
                <w:szCs w:val="18"/>
                <w:color w:val="0000FF"/>
                <w:w w:val="91"/>
              </w:rPr>
            </w:pPr>
            <w:hyperlink w:anchor="page68">
              <w:r>
                <w:rPr>
                  <w:rFonts w:ascii="Arial" w:cs="Arial" w:eastAsia="Arial" w:hAnsi="Arial"/>
                  <w:sz w:val="18"/>
                  <w:szCs w:val="18"/>
                  <w:color w:val="0000FF"/>
                  <w:w w:val="91"/>
                </w:rPr>
                <w:t>Certification of Chief Financial Officer pursuant to 18 U.S.C. Section 1350, as adopted pursuant to Section 906 of the Sarbanes-Oxley</w:t>
              </w:r>
            </w:hyperlink>
          </w:p>
        </w:tc>
      </w:tr>
      <w:tr>
        <w:trPr>
          <w:trHeight w:val="155"/>
        </w:trPr>
        <w:tc>
          <w:tcPr>
            <w:tcW w:w="1480" w:type="dxa"/>
            <w:vAlign w:val="bottom"/>
          </w:tcPr>
          <w:p>
            <w:pPr>
              <w:spacing w:after="0"/>
              <w:rPr>
                <w:sz w:val="13"/>
                <w:szCs w:val="13"/>
                <w:color w:val="auto"/>
              </w:rPr>
            </w:pPr>
          </w:p>
        </w:tc>
        <w:tc>
          <w:tcPr>
            <w:tcW w:w="9680" w:type="dxa"/>
            <w:vAlign w:val="bottom"/>
            <w:tcBorders>
              <w:top w:val="single" w:sz="8" w:color="0000FF"/>
            </w:tcBorders>
            <w:gridSpan w:val="2"/>
          </w:tcPr>
          <w:p>
            <w:pPr>
              <w:spacing w:after="0" w:line="156" w:lineRule="exact"/>
              <w:rPr>
                <w:rFonts w:ascii="Arial" w:cs="Arial" w:eastAsia="Arial" w:hAnsi="Arial"/>
                <w:sz w:val="18"/>
                <w:szCs w:val="18"/>
                <w:color w:val="0000FF"/>
              </w:rPr>
            </w:pPr>
            <w:hyperlink w:anchor="page68">
              <w:r>
                <w:rPr>
                  <w:rFonts w:ascii="Arial" w:cs="Arial" w:eastAsia="Arial" w:hAnsi="Arial"/>
                  <w:sz w:val="18"/>
                  <w:szCs w:val="18"/>
                  <w:color w:val="0000FF"/>
                </w:rPr>
                <w:t>Act of 2002.**</w:t>
              </w:r>
            </w:hyperlink>
          </w:p>
        </w:tc>
        <w:tc>
          <w:tcPr>
            <w:tcW w:w="40" w:type="dxa"/>
            <w:vAlign w:val="bottom"/>
          </w:tcPr>
          <w:p>
            <w:pPr>
              <w:spacing w:after="0"/>
              <w:rPr>
                <w:sz w:val="13"/>
                <w:szCs w:val="13"/>
                <w:color w:val="auto"/>
              </w:rPr>
            </w:pPr>
          </w:p>
        </w:tc>
      </w:tr>
      <w:tr>
        <w:trPr>
          <w:trHeight w:val="20"/>
        </w:trPr>
        <w:tc>
          <w:tcPr>
            <w:tcW w:w="148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8640" w:type="dxa"/>
            <w:vAlign w:val="bottom"/>
            <w:gridSpan w:val="2"/>
          </w:tcPr>
          <w:p>
            <w:pPr>
              <w:spacing w:after="0" w:line="20" w:lineRule="exact"/>
              <w:rPr>
                <w:sz w:val="1"/>
                <w:szCs w:val="1"/>
                <w:color w:val="auto"/>
              </w:rPr>
            </w:pPr>
          </w:p>
        </w:tc>
      </w:tr>
      <w:tr>
        <w:trPr>
          <w:trHeight w:val="210"/>
        </w:trPr>
        <w:tc>
          <w:tcPr>
            <w:tcW w:w="1480" w:type="dxa"/>
            <w:vAlign w:val="bottom"/>
          </w:tcPr>
          <w:p>
            <w:pPr>
              <w:jc w:val="right"/>
              <w:ind w:right="270"/>
              <w:spacing w:after="0"/>
              <w:rPr>
                <w:sz w:val="20"/>
                <w:szCs w:val="20"/>
                <w:color w:val="auto"/>
              </w:rPr>
            </w:pPr>
            <w:r>
              <w:rPr>
                <w:rFonts w:ascii="Arial" w:cs="Arial" w:eastAsia="Arial" w:hAnsi="Arial"/>
                <w:sz w:val="18"/>
                <w:szCs w:val="18"/>
                <w:color w:val="auto"/>
              </w:rPr>
              <w:t>101.INS</w:t>
            </w:r>
          </w:p>
        </w:tc>
        <w:tc>
          <w:tcPr>
            <w:tcW w:w="9720" w:type="dxa"/>
            <w:vAlign w:val="bottom"/>
            <w:gridSpan w:val="3"/>
          </w:tcPr>
          <w:p>
            <w:pPr>
              <w:spacing w:after="0"/>
              <w:rPr>
                <w:sz w:val="20"/>
                <w:szCs w:val="20"/>
                <w:color w:val="auto"/>
              </w:rPr>
            </w:pPr>
            <w:r>
              <w:rPr>
                <w:rFonts w:ascii="Arial" w:cs="Arial" w:eastAsia="Arial" w:hAnsi="Arial"/>
                <w:sz w:val="18"/>
                <w:szCs w:val="18"/>
                <w:color w:val="auto"/>
                <w:w w:val="91"/>
              </w:rPr>
              <w:t>XBRL Instance Document - the instance document does not appear in the Interactive Data File because its XBRL tags are embedded</w:t>
            </w:r>
          </w:p>
        </w:tc>
      </w:tr>
      <w:tr>
        <w:trPr>
          <w:trHeight w:val="229"/>
        </w:trPr>
        <w:tc>
          <w:tcPr>
            <w:tcW w:w="1480" w:type="dxa"/>
            <w:vAlign w:val="bottom"/>
          </w:tcPr>
          <w:p>
            <w:pPr>
              <w:spacing w:after="0"/>
              <w:rPr>
                <w:sz w:val="19"/>
                <w:szCs w:val="19"/>
                <w:color w:val="auto"/>
              </w:rPr>
            </w:pPr>
          </w:p>
        </w:tc>
        <w:tc>
          <w:tcPr>
            <w:tcW w:w="9720" w:type="dxa"/>
            <w:vAlign w:val="bottom"/>
            <w:gridSpan w:val="3"/>
          </w:tcPr>
          <w:p>
            <w:pPr>
              <w:ind w:left="240"/>
              <w:spacing w:after="0"/>
              <w:rPr>
                <w:sz w:val="20"/>
                <w:szCs w:val="20"/>
                <w:color w:val="auto"/>
              </w:rPr>
            </w:pPr>
            <w:r>
              <w:rPr>
                <w:rFonts w:ascii="Arial" w:cs="Arial" w:eastAsia="Arial" w:hAnsi="Arial"/>
                <w:sz w:val="18"/>
                <w:szCs w:val="18"/>
                <w:color w:val="auto"/>
              </w:rPr>
              <w:t>within the Inline XBRL document.</w:t>
            </w:r>
          </w:p>
        </w:tc>
      </w:tr>
      <w:tr>
        <w:trPr>
          <w:trHeight w:val="230"/>
        </w:trPr>
        <w:tc>
          <w:tcPr>
            <w:tcW w:w="1480" w:type="dxa"/>
            <w:vAlign w:val="bottom"/>
          </w:tcPr>
          <w:p>
            <w:pPr>
              <w:jc w:val="right"/>
              <w:ind w:right="270"/>
              <w:spacing w:after="0"/>
              <w:rPr>
                <w:sz w:val="20"/>
                <w:szCs w:val="20"/>
                <w:color w:val="auto"/>
              </w:rPr>
            </w:pPr>
            <w:r>
              <w:rPr>
                <w:rFonts w:ascii="Arial" w:cs="Arial" w:eastAsia="Arial" w:hAnsi="Arial"/>
                <w:sz w:val="18"/>
                <w:szCs w:val="18"/>
                <w:color w:val="auto"/>
              </w:rPr>
              <w:t>101.SCH</w:t>
            </w:r>
          </w:p>
        </w:tc>
        <w:tc>
          <w:tcPr>
            <w:tcW w:w="9720" w:type="dxa"/>
            <w:vAlign w:val="bottom"/>
            <w:gridSpan w:val="3"/>
          </w:tcPr>
          <w:p>
            <w:pPr>
              <w:spacing w:after="0"/>
              <w:rPr>
                <w:sz w:val="20"/>
                <w:szCs w:val="20"/>
                <w:color w:val="auto"/>
              </w:rPr>
            </w:pPr>
            <w:r>
              <w:rPr>
                <w:rFonts w:ascii="Arial" w:cs="Arial" w:eastAsia="Arial" w:hAnsi="Arial"/>
                <w:sz w:val="18"/>
                <w:szCs w:val="18"/>
                <w:color w:val="auto"/>
              </w:rPr>
              <w:t>Inline XBRL Schema Document.***</w:t>
            </w:r>
          </w:p>
        </w:tc>
      </w:tr>
      <w:tr>
        <w:trPr>
          <w:trHeight w:val="270"/>
        </w:trPr>
        <w:tc>
          <w:tcPr>
            <w:tcW w:w="1480" w:type="dxa"/>
            <w:vAlign w:val="bottom"/>
          </w:tcPr>
          <w:p>
            <w:pPr>
              <w:jc w:val="right"/>
              <w:ind w:right="270"/>
              <w:spacing w:after="0"/>
              <w:rPr>
                <w:sz w:val="20"/>
                <w:szCs w:val="20"/>
                <w:color w:val="auto"/>
              </w:rPr>
            </w:pPr>
            <w:r>
              <w:rPr>
                <w:rFonts w:ascii="Arial" w:cs="Arial" w:eastAsia="Arial" w:hAnsi="Arial"/>
                <w:sz w:val="18"/>
                <w:szCs w:val="18"/>
                <w:color w:val="auto"/>
              </w:rPr>
              <w:t>101.CAL</w:t>
            </w:r>
          </w:p>
        </w:tc>
        <w:tc>
          <w:tcPr>
            <w:tcW w:w="9720" w:type="dxa"/>
            <w:vAlign w:val="bottom"/>
            <w:gridSpan w:val="3"/>
          </w:tcPr>
          <w:p>
            <w:pPr>
              <w:spacing w:after="0"/>
              <w:rPr>
                <w:sz w:val="20"/>
                <w:szCs w:val="20"/>
                <w:color w:val="auto"/>
              </w:rPr>
            </w:pPr>
            <w:r>
              <w:rPr>
                <w:rFonts w:ascii="Arial" w:cs="Arial" w:eastAsia="Arial" w:hAnsi="Arial"/>
                <w:sz w:val="18"/>
                <w:szCs w:val="18"/>
                <w:color w:val="auto"/>
              </w:rPr>
              <w:t>Inline XBRL Calculation Linkbase Document.***</w:t>
            </w:r>
          </w:p>
        </w:tc>
      </w:tr>
      <w:tr>
        <w:trPr>
          <w:trHeight w:val="270"/>
        </w:trPr>
        <w:tc>
          <w:tcPr>
            <w:tcW w:w="1480" w:type="dxa"/>
            <w:vAlign w:val="bottom"/>
          </w:tcPr>
          <w:p>
            <w:pPr>
              <w:jc w:val="right"/>
              <w:ind w:right="270"/>
              <w:spacing w:after="0"/>
              <w:rPr>
                <w:sz w:val="20"/>
                <w:szCs w:val="20"/>
                <w:color w:val="auto"/>
              </w:rPr>
            </w:pPr>
            <w:r>
              <w:rPr>
                <w:rFonts w:ascii="Arial" w:cs="Arial" w:eastAsia="Arial" w:hAnsi="Arial"/>
                <w:sz w:val="18"/>
                <w:szCs w:val="18"/>
                <w:color w:val="auto"/>
              </w:rPr>
              <w:t>101.DEF</w:t>
            </w:r>
          </w:p>
        </w:tc>
        <w:tc>
          <w:tcPr>
            <w:tcW w:w="9720" w:type="dxa"/>
            <w:vAlign w:val="bottom"/>
            <w:gridSpan w:val="3"/>
          </w:tcPr>
          <w:p>
            <w:pPr>
              <w:spacing w:after="0"/>
              <w:rPr>
                <w:sz w:val="20"/>
                <w:szCs w:val="20"/>
                <w:color w:val="auto"/>
              </w:rPr>
            </w:pPr>
            <w:r>
              <w:rPr>
                <w:rFonts w:ascii="Arial" w:cs="Arial" w:eastAsia="Arial" w:hAnsi="Arial"/>
                <w:sz w:val="18"/>
                <w:szCs w:val="18"/>
                <w:color w:val="auto"/>
              </w:rPr>
              <w:t>Inline XBRL Definition Linkbase Document.***</w:t>
            </w:r>
          </w:p>
        </w:tc>
      </w:tr>
      <w:tr>
        <w:trPr>
          <w:trHeight w:val="270"/>
        </w:trPr>
        <w:tc>
          <w:tcPr>
            <w:tcW w:w="1480" w:type="dxa"/>
            <w:vAlign w:val="bottom"/>
          </w:tcPr>
          <w:p>
            <w:pPr>
              <w:jc w:val="right"/>
              <w:ind w:right="270"/>
              <w:spacing w:after="0"/>
              <w:rPr>
                <w:sz w:val="20"/>
                <w:szCs w:val="20"/>
                <w:color w:val="auto"/>
              </w:rPr>
            </w:pPr>
            <w:r>
              <w:rPr>
                <w:rFonts w:ascii="Arial" w:cs="Arial" w:eastAsia="Arial" w:hAnsi="Arial"/>
                <w:sz w:val="18"/>
                <w:szCs w:val="18"/>
                <w:color w:val="auto"/>
              </w:rPr>
              <w:t>101.LAB</w:t>
            </w:r>
          </w:p>
        </w:tc>
        <w:tc>
          <w:tcPr>
            <w:tcW w:w="9720" w:type="dxa"/>
            <w:vAlign w:val="bottom"/>
            <w:gridSpan w:val="3"/>
          </w:tcPr>
          <w:p>
            <w:pPr>
              <w:spacing w:after="0"/>
              <w:rPr>
                <w:sz w:val="20"/>
                <w:szCs w:val="20"/>
                <w:color w:val="auto"/>
              </w:rPr>
            </w:pPr>
            <w:r>
              <w:rPr>
                <w:rFonts w:ascii="Arial" w:cs="Arial" w:eastAsia="Arial" w:hAnsi="Arial"/>
                <w:sz w:val="18"/>
                <w:szCs w:val="18"/>
                <w:color w:val="auto"/>
              </w:rPr>
              <w:t>Inline XBRL Label Linkbase Document.***</w:t>
            </w:r>
          </w:p>
        </w:tc>
      </w:tr>
      <w:tr>
        <w:trPr>
          <w:trHeight w:val="270"/>
        </w:trPr>
        <w:tc>
          <w:tcPr>
            <w:tcW w:w="1480" w:type="dxa"/>
            <w:vAlign w:val="bottom"/>
          </w:tcPr>
          <w:p>
            <w:pPr>
              <w:jc w:val="right"/>
              <w:ind w:right="270"/>
              <w:spacing w:after="0"/>
              <w:rPr>
                <w:sz w:val="20"/>
                <w:szCs w:val="20"/>
                <w:color w:val="auto"/>
              </w:rPr>
            </w:pPr>
            <w:r>
              <w:rPr>
                <w:rFonts w:ascii="Arial" w:cs="Arial" w:eastAsia="Arial" w:hAnsi="Arial"/>
                <w:sz w:val="18"/>
                <w:szCs w:val="18"/>
                <w:color w:val="auto"/>
              </w:rPr>
              <w:t>101.PRE</w:t>
            </w:r>
          </w:p>
        </w:tc>
        <w:tc>
          <w:tcPr>
            <w:tcW w:w="9720" w:type="dxa"/>
            <w:vAlign w:val="bottom"/>
            <w:gridSpan w:val="3"/>
          </w:tcPr>
          <w:p>
            <w:pPr>
              <w:spacing w:after="0"/>
              <w:rPr>
                <w:sz w:val="20"/>
                <w:szCs w:val="20"/>
                <w:color w:val="auto"/>
              </w:rPr>
            </w:pPr>
            <w:r>
              <w:rPr>
                <w:rFonts w:ascii="Arial" w:cs="Arial" w:eastAsia="Arial" w:hAnsi="Arial"/>
                <w:sz w:val="18"/>
                <w:szCs w:val="18"/>
                <w:color w:val="auto"/>
              </w:rPr>
              <w:t>Inline XBRL Presentation Linkbase Document.***</w:t>
            </w:r>
          </w:p>
        </w:tc>
      </w:tr>
    </w:tbl>
    <w:p>
      <w:pPr>
        <w:spacing w:after="0" w:line="40" w:lineRule="exact"/>
        <w:rPr>
          <w:sz w:val="20"/>
          <w:szCs w:val="20"/>
          <w:color w:val="auto"/>
        </w:rPr>
      </w:pPr>
    </w:p>
    <w:p>
      <w:pPr>
        <w:ind w:left="1480" w:hanging="788"/>
        <w:spacing w:after="0"/>
        <w:tabs>
          <w:tab w:leader="none" w:pos="14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14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3" w:lineRule="exact"/>
        <w:rPr>
          <w:rFonts w:ascii="Arial" w:cs="Arial" w:eastAsia="Arial" w:hAnsi="Arial"/>
          <w:sz w:val="18"/>
          <w:szCs w:val="18"/>
          <w:color w:val="auto"/>
        </w:rPr>
      </w:pPr>
    </w:p>
    <w:p>
      <w:pPr>
        <w:ind w:left="500" w:right="140" w:hanging="492"/>
        <w:spacing w:after="0" w:line="250" w:lineRule="auto"/>
        <w:tabs>
          <w:tab w:leader="none" w:pos="236"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certifications attached as Exhibits 32.1 and 32.2 accompany this Quarterly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1" w:lineRule="exact"/>
        <w:rPr>
          <w:rFonts w:ascii="Arial" w:cs="Arial" w:eastAsia="Arial" w:hAnsi="Arial"/>
          <w:sz w:val="18"/>
          <w:szCs w:val="18"/>
          <w:color w:val="auto"/>
        </w:rPr>
      </w:pPr>
    </w:p>
    <w:p>
      <w:pPr>
        <w:ind w:left="500" w:right="80" w:hanging="492"/>
        <w:spacing w:after="0" w:line="277" w:lineRule="auto"/>
        <w:tabs>
          <w:tab w:leader="none" w:pos="338" w:val="left"/>
        </w:tabs>
        <w:numPr>
          <w:ilvl w:val="0"/>
          <w:numId w:val="26"/>
        </w:numPr>
        <w:rPr>
          <w:rFonts w:ascii="Arial" w:cs="Arial" w:eastAsia="Arial" w:hAnsi="Arial"/>
          <w:sz w:val="17"/>
          <w:szCs w:val="17"/>
          <w:color w:val="auto"/>
        </w:rPr>
      </w:pPr>
      <w:r>
        <w:rPr>
          <w:rFonts w:ascii="Arial" w:cs="Arial" w:eastAsia="Arial" w:hAnsi="Arial"/>
          <w:sz w:val="17"/>
          <w:szCs w:val="17"/>
          <w:color w:val="auto"/>
        </w:rPr>
        <w:t>Pursuant to Rule 406T of Regulation S-T, the interactive data files on Exhibit 101 and 104 hereto are deemed not filed or part of a registration statement or prospectus for purposes of Section 11 or 12 of the Securities Act of 1933, as amended, are deemed not filed for purposes of Section 18 of the Securities and Exchange Act of 1934, as amended, and otherwise are not subject to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6" w:name="page57"/>
    <w:bookmarkEnd w:id="5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Dine Brands Global, Inc.</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89" w:lineRule="exact"/>
        <w:rPr>
          <w:sz w:val="20"/>
          <w:szCs w:val="20"/>
          <w:color w:val="auto"/>
        </w:rPr>
      </w:pPr>
    </w:p>
    <w:p>
      <w:pPr>
        <w:ind w:left="840"/>
        <w:spacing w:after="0"/>
        <w:tabs>
          <w:tab w:leader="none" w:pos="5820" w:val="left"/>
          <w:tab w:leader="none" w:pos="7400" w:val="left"/>
        </w:tabs>
        <w:rPr>
          <w:sz w:val="20"/>
          <w:szCs w:val="20"/>
          <w:color w:val="auto"/>
        </w:rPr>
      </w:pPr>
      <w:r>
        <w:rPr>
          <w:rFonts w:ascii="Arial" w:cs="Arial" w:eastAsia="Arial" w:hAnsi="Arial"/>
          <w:sz w:val="18"/>
          <w:szCs w:val="18"/>
          <w:color w:val="auto"/>
        </w:rPr>
        <w:t>Dated: 29th day of July,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Stephen P. Joyce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31750</wp:posOffset>
            </wp:positionV>
            <wp:extent cx="25628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8" w:lineRule="exact"/>
        <w:rPr>
          <w:sz w:val="20"/>
          <w:szCs w:val="20"/>
          <w:color w:val="auto"/>
        </w:rPr>
      </w:pPr>
    </w:p>
    <w:p>
      <w:pPr>
        <w:jc w:val="center"/>
        <w:ind w:left="4980"/>
        <w:spacing w:after="0"/>
        <w:rPr>
          <w:sz w:val="20"/>
          <w:szCs w:val="20"/>
          <w:color w:val="auto"/>
        </w:rPr>
      </w:pPr>
      <w:r>
        <w:rPr>
          <w:rFonts w:ascii="Arial" w:cs="Arial" w:eastAsia="Arial" w:hAnsi="Arial"/>
          <w:sz w:val="18"/>
          <w:szCs w:val="18"/>
          <w:color w:val="auto"/>
        </w:rPr>
        <w:t>Stephen P. Joyce</w:t>
      </w:r>
    </w:p>
    <w:p>
      <w:pPr>
        <w:jc w:val="center"/>
        <w:ind w:left="4980"/>
        <w:spacing w:after="0" w:line="203" w:lineRule="auto"/>
        <w:rPr>
          <w:sz w:val="20"/>
          <w:szCs w:val="20"/>
          <w:color w:val="auto"/>
        </w:rPr>
      </w:pPr>
      <w:r>
        <w:rPr>
          <w:rFonts w:ascii="Arial" w:cs="Arial" w:eastAsia="Arial" w:hAnsi="Arial"/>
          <w:sz w:val="18"/>
          <w:szCs w:val="18"/>
          <w:i w:val="1"/>
          <w:iCs w:val="1"/>
          <w:color w:val="auto"/>
        </w:rPr>
        <w:t>Chief Executive Officer</w:t>
      </w:r>
    </w:p>
    <w:p>
      <w:pPr>
        <w:jc w:val="center"/>
        <w:ind w:left="498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360" w:lineRule="exact"/>
        <w:rPr>
          <w:sz w:val="20"/>
          <w:szCs w:val="20"/>
          <w:color w:val="auto"/>
        </w:rPr>
      </w:pPr>
    </w:p>
    <w:p>
      <w:pPr>
        <w:ind w:left="840"/>
        <w:spacing w:after="0"/>
        <w:tabs>
          <w:tab w:leader="none" w:pos="5820" w:val="left"/>
          <w:tab w:leader="none" w:pos="7400" w:val="left"/>
        </w:tabs>
        <w:rPr>
          <w:sz w:val="20"/>
          <w:szCs w:val="20"/>
          <w:color w:val="auto"/>
        </w:rPr>
      </w:pPr>
      <w:r>
        <w:rPr>
          <w:rFonts w:ascii="Arial" w:cs="Arial" w:eastAsia="Arial" w:hAnsi="Arial"/>
          <w:sz w:val="18"/>
          <w:szCs w:val="18"/>
          <w:color w:val="auto"/>
        </w:rPr>
        <w:t>Dated: 29th day of July,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H. Song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31750</wp:posOffset>
            </wp:positionV>
            <wp:extent cx="25628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8" w:lineRule="exact"/>
        <w:rPr>
          <w:sz w:val="20"/>
          <w:szCs w:val="20"/>
          <w:color w:val="auto"/>
        </w:rPr>
      </w:pPr>
    </w:p>
    <w:p>
      <w:pPr>
        <w:jc w:val="center"/>
        <w:ind w:left="4980"/>
        <w:spacing w:after="0"/>
        <w:rPr>
          <w:sz w:val="20"/>
          <w:szCs w:val="20"/>
          <w:color w:val="auto"/>
        </w:rPr>
      </w:pPr>
      <w:r>
        <w:rPr>
          <w:rFonts w:ascii="Arial" w:cs="Arial" w:eastAsia="Arial" w:hAnsi="Arial"/>
          <w:sz w:val="18"/>
          <w:szCs w:val="18"/>
          <w:color w:val="auto"/>
        </w:rPr>
        <w:t>Thomas H. Song</w:t>
      </w:r>
    </w:p>
    <w:p>
      <w:pPr>
        <w:jc w:val="center"/>
        <w:ind w:left="4980"/>
        <w:spacing w:after="0" w:line="203" w:lineRule="auto"/>
        <w:rPr>
          <w:sz w:val="20"/>
          <w:szCs w:val="20"/>
          <w:color w:val="auto"/>
        </w:rPr>
      </w:pPr>
      <w:r>
        <w:rPr>
          <w:rFonts w:ascii="Arial" w:cs="Arial" w:eastAsia="Arial" w:hAnsi="Arial"/>
          <w:sz w:val="18"/>
          <w:szCs w:val="18"/>
          <w:i w:val="1"/>
          <w:iCs w:val="1"/>
          <w:color w:val="auto"/>
        </w:rPr>
        <w:t>Chief Financial Officer</w:t>
      </w:r>
    </w:p>
    <w:p>
      <w:pPr>
        <w:jc w:val="center"/>
        <w:ind w:left="4980"/>
        <w:spacing w:after="0" w:line="203" w:lineRule="auto"/>
        <w:rPr>
          <w:sz w:val="20"/>
          <w:szCs w:val="20"/>
          <w:color w:val="auto"/>
        </w:rPr>
      </w:pPr>
      <w:r>
        <w:rPr>
          <w:rFonts w:ascii="Arial" w:cs="Arial" w:eastAsia="Arial" w:hAnsi="Arial"/>
          <w:sz w:val="18"/>
          <w:szCs w:val="18"/>
          <w:i w:val="1"/>
          <w:iCs w:val="1"/>
          <w:color w:val="auto"/>
        </w:rPr>
        <w:t>(Principal Financial Officer and Principal Accounting</w:t>
      </w:r>
    </w:p>
    <w:p>
      <w:pPr>
        <w:spacing w:after="0" w:line="1" w:lineRule="exact"/>
        <w:rPr>
          <w:sz w:val="20"/>
          <w:szCs w:val="20"/>
          <w:color w:val="auto"/>
        </w:rPr>
      </w:pPr>
    </w:p>
    <w:p>
      <w:pPr>
        <w:jc w:val="center"/>
        <w:ind w:left="4980"/>
        <w:spacing w:after="0"/>
        <w:rPr>
          <w:sz w:val="20"/>
          <w:szCs w:val="20"/>
          <w:color w:val="auto"/>
        </w:rPr>
      </w:pPr>
      <w:r>
        <w:rPr>
          <w:rFonts w:ascii="Arial" w:cs="Arial" w:eastAsia="Arial" w:hAnsi="Arial"/>
          <w:sz w:val="18"/>
          <w:szCs w:val="18"/>
          <w:i w:val="1"/>
          <w:iCs w:val="1"/>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920"/>
          </w:cols>
          <w:pgMar w:left="320" w:top="122" w:right="65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OMNIBUS SUPPLEMENT TO SERIES 2019-1 BASE INDENTURE AND SERIES 2019-1 SUPPLEMENT</w:t>
      </w:r>
    </w:p>
    <w:p>
      <w:pPr>
        <w:spacing w:after="0" w:line="200" w:lineRule="exact"/>
        <w:rPr>
          <w:sz w:val="20"/>
          <w:szCs w:val="20"/>
          <w:color w:val="auto"/>
        </w:rPr>
      </w:pPr>
    </w:p>
    <w:p>
      <w:pPr>
        <w:spacing w:after="0" w:line="242"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21"/>
          <w:szCs w:val="21"/>
          <w:color w:val="auto"/>
        </w:rPr>
        <w:t>This First Amendment to the Amended and Restated Base Indenture and Series 2019-1 Supplement is dated as of May 12, 2020 (this “</w:t>
      </w:r>
      <w:r>
        <w:rPr>
          <w:rFonts w:ascii="Arial" w:cs="Arial" w:eastAsia="Arial" w:hAnsi="Arial"/>
          <w:sz w:val="21"/>
          <w:szCs w:val="21"/>
          <w:u w:val="single" w:color="auto"/>
          <w:color w:val="auto"/>
        </w:rPr>
        <w:t>Supplement</w:t>
      </w:r>
      <w:r>
        <w:rPr>
          <w:rFonts w:ascii="Arial" w:cs="Arial" w:eastAsia="Arial" w:hAnsi="Arial"/>
          <w:sz w:val="21"/>
          <w:szCs w:val="21"/>
          <w:color w:val="auto"/>
        </w:rPr>
        <w:t>”) and shall become effective as of May 22, 2020 (the “</w:t>
      </w:r>
      <w:r>
        <w:rPr>
          <w:rFonts w:ascii="Arial" w:cs="Arial" w:eastAsia="Arial" w:hAnsi="Arial"/>
          <w:sz w:val="21"/>
          <w:szCs w:val="21"/>
          <w:u w:val="single" w:color="auto"/>
          <w:color w:val="auto"/>
        </w:rPr>
        <w:t>May 2020 Amendment Effective Date</w:t>
      </w:r>
      <w:r>
        <w:rPr>
          <w:rFonts w:ascii="Arial" w:cs="Arial" w:eastAsia="Arial" w:hAnsi="Arial"/>
          <w:sz w:val="21"/>
          <w:szCs w:val="21"/>
          <w:color w:val="auto"/>
        </w:rPr>
        <w:t>”), and is by and among APPLEBEE’S FUNDING LLC, a Delaware limited liability company (the “</w:t>
      </w:r>
      <w:r>
        <w:rPr>
          <w:rFonts w:ascii="Arial" w:cs="Arial" w:eastAsia="Arial" w:hAnsi="Arial"/>
          <w:sz w:val="21"/>
          <w:szCs w:val="21"/>
          <w:u w:val="single" w:color="auto"/>
          <w:color w:val="auto"/>
        </w:rPr>
        <w:t>Applebee’s Issuer</w:t>
      </w:r>
      <w:r>
        <w:rPr>
          <w:rFonts w:ascii="Arial" w:cs="Arial" w:eastAsia="Arial" w:hAnsi="Arial"/>
          <w:sz w:val="21"/>
          <w:szCs w:val="21"/>
          <w:color w:val="auto"/>
        </w:rPr>
        <w:t>”), IHOP FUNDING LLC, a Delaware limited liability company (the “</w:t>
      </w:r>
      <w:r>
        <w:rPr>
          <w:rFonts w:ascii="Arial" w:cs="Arial" w:eastAsia="Arial" w:hAnsi="Arial"/>
          <w:sz w:val="21"/>
          <w:szCs w:val="21"/>
          <w:u w:val="single" w:color="auto"/>
          <w:color w:val="auto"/>
        </w:rPr>
        <w:t>IHOP Issuer</w:t>
      </w:r>
      <w:r>
        <w:rPr>
          <w:rFonts w:ascii="Arial" w:cs="Arial" w:eastAsia="Arial" w:hAnsi="Arial"/>
          <w:sz w:val="21"/>
          <w:szCs w:val="21"/>
          <w:color w:val="auto"/>
        </w:rPr>
        <w:t>” and together with the Applebee’s Issuer, the “</w:t>
      </w:r>
      <w:r>
        <w:rPr>
          <w:rFonts w:ascii="Arial" w:cs="Arial" w:eastAsia="Arial" w:hAnsi="Arial"/>
          <w:sz w:val="21"/>
          <w:szCs w:val="21"/>
          <w:u w:val="single" w:color="auto"/>
          <w:color w:val="auto"/>
        </w:rPr>
        <w:t>Co-Issuers</w:t>
      </w:r>
      <w:r>
        <w:rPr>
          <w:rFonts w:ascii="Arial" w:cs="Arial" w:eastAsia="Arial" w:hAnsi="Arial"/>
          <w:sz w:val="21"/>
          <w:szCs w:val="21"/>
          <w:color w:val="auto"/>
        </w:rPr>
        <w:t>” and each, a “</w:t>
      </w:r>
      <w:r>
        <w:rPr>
          <w:rFonts w:ascii="Arial" w:cs="Arial" w:eastAsia="Arial" w:hAnsi="Arial"/>
          <w:sz w:val="21"/>
          <w:szCs w:val="21"/>
          <w:u w:val="single" w:color="auto"/>
          <w:color w:val="auto"/>
        </w:rPr>
        <w:t>Co-Issuer</w:t>
      </w:r>
      <w:r>
        <w:rPr>
          <w:rFonts w:ascii="Arial" w:cs="Arial" w:eastAsia="Arial" w:hAnsi="Arial"/>
          <w:sz w:val="21"/>
          <w:szCs w:val="21"/>
          <w:color w:val="auto"/>
        </w:rPr>
        <w:t>”), CITIBANK, N.A., a national banking association, as trustee (in such capacity, the “</w:t>
      </w:r>
      <w:r>
        <w:rPr>
          <w:rFonts w:ascii="Arial" w:cs="Arial" w:eastAsia="Arial" w:hAnsi="Arial"/>
          <w:sz w:val="21"/>
          <w:szCs w:val="21"/>
          <w:u w:val="single" w:color="auto"/>
          <w:color w:val="auto"/>
        </w:rPr>
        <w:t>Trustee</w:t>
      </w:r>
      <w:r>
        <w:rPr>
          <w:rFonts w:ascii="Arial" w:cs="Arial" w:eastAsia="Arial" w:hAnsi="Arial"/>
          <w:sz w:val="21"/>
          <w:szCs w:val="21"/>
          <w:color w:val="auto"/>
        </w:rPr>
        <w:t>”) and as securities intermediary (in such capacity, the “</w:t>
      </w:r>
      <w:r>
        <w:rPr>
          <w:rFonts w:ascii="Arial" w:cs="Arial" w:eastAsia="Arial" w:hAnsi="Arial"/>
          <w:sz w:val="21"/>
          <w:szCs w:val="21"/>
          <w:u w:val="single" w:color="auto"/>
          <w:color w:val="auto"/>
        </w:rPr>
        <w:t>Securities Intermediary</w:t>
      </w:r>
      <w:r>
        <w:rPr>
          <w:rFonts w:ascii="Arial" w:cs="Arial" w:eastAsia="Arial" w:hAnsi="Arial"/>
          <w:sz w:val="21"/>
          <w:szCs w:val="21"/>
          <w:color w:val="auto"/>
        </w:rPr>
        <w:t>”), and consented to by MIDLAND LOAN SERVICES, a Division of PNC Bank, National Association, as Control Party under the Base Indenture, pursuant to (i) the Amended and Restated Base Indenture, dated as of June 5, 2019, by and among the Co-Issuers and Citibank, N.A., as Trustee and as Securities Intermediary (as amended, modified or supplemented from time to time prior to the date hereof, the “</w:t>
      </w:r>
      <w:r>
        <w:rPr>
          <w:rFonts w:ascii="Arial" w:cs="Arial" w:eastAsia="Arial" w:hAnsi="Arial"/>
          <w:sz w:val="21"/>
          <w:szCs w:val="21"/>
          <w:u w:val="single" w:color="auto"/>
          <w:color w:val="auto"/>
        </w:rPr>
        <w:t>Base Indenture</w:t>
      </w:r>
      <w:r>
        <w:rPr>
          <w:rFonts w:ascii="Arial" w:cs="Arial" w:eastAsia="Arial" w:hAnsi="Arial"/>
          <w:sz w:val="21"/>
          <w:szCs w:val="21"/>
          <w:color w:val="auto"/>
        </w:rPr>
        <w:t>”) and (ii) the Series 2019-1 Supplement, dated as of June 5, 2019, by and among the Co-Issuers and Citibank as Trustee and series 2019-1 Securities Intermediary (as amended, modified or supplemented from time to time prior to the date hereof, the “</w:t>
      </w:r>
      <w:r>
        <w:rPr>
          <w:rFonts w:ascii="Arial" w:cs="Arial" w:eastAsia="Arial" w:hAnsi="Arial"/>
          <w:sz w:val="21"/>
          <w:szCs w:val="21"/>
          <w:u w:val="single" w:color="auto"/>
          <w:color w:val="auto"/>
        </w:rPr>
        <w:t>Series 2019-1</w:t>
      </w:r>
      <w:r>
        <w:rPr>
          <w:rFonts w:ascii="Arial" w:cs="Arial" w:eastAsia="Arial" w:hAnsi="Arial"/>
          <w:sz w:val="21"/>
          <w:szCs w:val="21"/>
          <w:color w:val="auto"/>
        </w:rPr>
        <w:t xml:space="preserve"> </w:t>
      </w:r>
      <w:r>
        <w:rPr>
          <w:rFonts w:ascii="Arial" w:cs="Arial" w:eastAsia="Arial" w:hAnsi="Arial"/>
          <w:sz w:val="21"/>
          <w:szCs w:val="21"/>
          <w:u w:val="single" w:color="auto"/>
          <w:color w:val="auto"/>
        </w:rPr>
        <w:t>Supplement</w:t>
      </w:r>
      <w:r>
        <w:rPr>
          <w:rFonts w:ascii="Arial" w:cs="Arial" w:eastAsia="Arial" w:hAnsi="Arial"/>
          <w:sz w:val="21"/>
          <w:szCs w:val="21"/>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18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WHEREAS, Section 13.2(a) of the Base Indenture provides, among other things, that the Co-Issuers and the Trustee, with the consent of the Control Party (acting at the direction of the Controlling Class Representative), may at any time, and from time to time, make certain amendments, waivers and other modifications to the Base Indenture and any Supplement, including the types of amendments set forth in this Supplement;</w:t>
      </w:r>
    </w:p>
    <w:p>
      <w:pPr>
        <w:spacing w:after="0" w:line="161"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WHEREAS, the Co-Issuers (at the direction of the Manager) wish to amend the Base Indenture and the Series 2019-1 Supplement, each as set forth herein; and</w:t>
      </w:r>
    </w:p>
    <w:p>
      <w:pPr>
        <w:spacing w:after="0" w:line="15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WHEREAS, a Controlling Class Representative has not been elected under the Base Indenture, and thus, pursuant to Section 11.1(c) of the Base Indenture, at any time when no Person is servicing as the Controlling Class Representative, the Control Party shall exercise the rights of the Controlling Class Representative in accordance with the Servicing Standard.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w:t>
      </w:r>
    </w:p>
    <w:p>
      <w:pPr>
        <w:spacing w:after="0" w:line="226"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NOW, THEREFORE, in consideration of the premises and mutual covenants herein contained and intending to be legally bound, the parties to this Supplement hereby agree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36825536</w:t>
      </w:r>
    </w:p>
    <w:p>
      <w:pPr>
        <w:sectPr>
          <w:pgSz w:w="11900" w:h="16838" w:orient="portrait"/>
          <w:cols w:equalWidth="0" w:num="1">
            <w:col w:w="11240"/>
          </w:cols>
          <w:pgMar w:left="320" w:top="121" w:right="339" w:bottom="1440" w:gutter="0" w:footer="0" w:header="0"/>
        </w:sectPr>
      </w:pPr>
    </w:p>
    <w:bookmarkStart w:id="58" w:name="page59"/>
    <w:bookmarkEnd w:id="58"/>
    <w:p>
      <w:pPr>
        <w:ind w:left="1940" w:hanging="636"/>
        <w:spacing w:after="0"/>
        <w:tabs>
          <w:tab w:leader="none" w:pos="1940"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Amendments to the Base Indenture</w:t>
      </w:r>
      <w:r>
        <w:rPr>
          <w:rFonts w:ascii="Arial" w:cs="Arial" w:eastAsia="Arial" w:hAnsi="Arial"/>
          <w:sz w:val="22"/>
          <w:szCs w:val="22"/>
          <w:color w:val="auto"/>
        </w:rPr>
        <w:t>.</w:t>
      </w:r>
    </w:p>
    <w:p>
      <w:pPr>
        <w:spacing w:after="0" w:line="220" w:lineRule="exact"/>
        <w:rPr>
          <w:sz w:val="20"/>
          <w:szCs w:val="20"/>
          <w:color w:val="auto"/>
        </w:rPr>
      </w:pPr>
    </w:p>
    <w:p>
      <w:pPr>
        <w:ind w:firstLine="1192"/>
        <w:spacing w:after="0" w:line="287" w:lineRule="auto"/>
        <w:rPr>
          <w:sz w:val="20"/>
          <w:szCs w:val="20"/>
          <w:color w:val="auto"/>
        </w:rPr>
      </w:pPr>
      <w:r>
        <w:rPr>
          <w:rFonts w:ascii="Arial" w:cs="Arial" w:eastAsia="Arial" w:hAnsi="Arial"/>
          <w:sz w:val="20"/>
          <w:szCs w:val="20"/>
          <w:color w:val="auto"/>
        </w:rPr>
        <w:t>i.</w:t>
      </w:r>
      <w:r>
        <w:rPr>
          <w:rFonts w:ascii="Arial" w:cs="Arial" w:eastAsia="Arial" w:hAnsi="Arial"/>
          <w:sz w:val="21"/>
          <w:szCs w:val="21"/>
          <w:color w:val="auto"/>
        </w:rPr>
        <w:t>The definition of “Interest Reserve Release Event” in the Base Indenture Definitions List is hereby amended to</w:t>
      </w:r>
      <w:r>
        <w:rPr>
          <w:rFonts w:ascii="Arial" w:cs="Arial" w:eastAsia="Arial" w:hAnsi="Arial"/>
          <w:sz w:val="20"/>
          <w:szCs w:val="20"/>
          <w:color w:val="auto"/>
        </w:rPr>
        <w:t xml:space="preserve"> </w:t>
      </w:r>
      <w:r>
        <w:rPr>
          <w:rFonts w:ascii="Arial" w:cs="Arial" w:eastAsia="Arial" w:hAnsi="Arial"/>
          <w:sz w:val="21"/>
          <w:szCs w:val="21"/>
          <w:color w:val="auto"/>
        </w:rPr>
        <w:t>delete such definition in its entirety and replace it with the following:</w:t>
      </w:r>
    </w:p>
    <w:p>
      <w:pPr>
        <w:spacing w:after="0" w:line="151" w:lineRule="exact"/>
        <w:rPr>
          <w:sz w:val="20"/>
          <w:szCs w:val="20"/>
          <w:color w:val="auto"/>
        </w:rPr>
      </w:pPr>
    </w:p>
    <w:p>
      <w:pPr>
        <w:jc w:val="both"/>
        <w:ind w:left="660" w:right="640"/>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Reserve Release Event</w:t>
      </w:r>
      <w:r>
        <w:rPr>
          <w:rFonts w:ascii="Arial" w:cs="Arial" w:eastAsia="Arial" w:hAnsi="Arial"/>
          <w:sz w:val="19"/>
          <w:szCs w:val="19"/>
          <w:color w:val="auto"/>
        </w:rPr>
        <w:t>” means, as of any Quarterly Calculation Date or the date of any optional prepayment of Notes, and with respect to the Senior Notes or Senior Subordinated Notes Outstanding, as applicable, the determination by the Manager, in accordance with the Managing Standard, that as of the immediately following Quarterly Payment Date or such date of optional prepayment, as the case may be (A) the amount on deposit in the Senior Notes Interest Reserve Account or the Senior Subordinated Notes Interest Reserve Account, as applicable will be greater than (B) the excess of (i) the Senior Notes Interest Reserve Amount or the Senior Subordinated Notes Interest Reserve Amount, as applicable over (ii) the amount available under any Interest Reserve Letter of Credit relating to the Senior Notes or the Senior Subordinated Notes, as applicable.</w:t>
      </w:r>
    </w:p>
    <w:p>
      <w:pPr>
        <w:spacing w:after="0" w:line="156" w:lineRule="exact"/>
        <w:rPr>
          <w:sz w:val="20"/>
          <w:szCs w:val="20"/>
          <w:color w:val="auto"/>
        </w:rPr>
      </w:pPr>
    </w:p>
    <w:p>
      <w:pPr>
        <w:ind w:right="720" w:firstLine="1137"/>
        <w:spacing w:after="0" w:line="287" w:lineRule="auto"/>
        <w:rPr>
          <w:sz w:val="20"/>
          <w:szCs w:val="20"/>
          <w:color w:val="auto"/>
        </w:rPr>
      </w:pPr>
      <w:r>
        <w:rPr>
          <w:rFonts w:ascii="Arial" w:cs="Arial" w:eastAsia="Arial" w:hAnsi="Arial"/>
          <w:sz w:val="20"/>
          <w:szCs w:val="20"/>
          <w:color w:val="auto"/>
        </w:rPr>
        <w:t>ii.</w:t>
      </w:r>
      <w:r>
        <w:rPr>
          <w:rFonts w:ascii="Arial" w:cs="Arial" w:eastAsia="Arial" w:hAnsi="Arial"/>
          <w:sz w:val="21"/>
          <w:szCs w:val="21"/>
          <w:color w:val="auto"/>
        </w:rPr>
        <w:t>The following definition of “May 2020 Amendment Effective Date” is hereby added to the Base Indenture</w:t>
      </w:r>
      <w:r>
        <w:rPr>
          <w:rFonts w:ascii="Arial" w:cs="Arial" w:eastAsia="Arial" w:hAnsi="Arial"/>
          <w:sz w:val="20"/>
          <w:szCs w:val="20"/>
          <w:color w:val="auto"/>
        </w:rPr>
        <w:t xml:space="preserve"> </w:t>
      </w:r>
      <w:r>
        <w:rPr>
          <w:rFonts w:ascii="Arial" w:cs="Arial" w:eastAsia="Arial" w:hAnsi="Arial"/>
          <w:sz w:val="21"/>
          <w:szCs w:val="21"/>
          <w:color w:val="auto"/>
        </w:rPr>
        <w:t>Definitions List in the appropriate alphabetical order:</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“May 2020 Amendment Effective Date” means May 22, 2020.</w:t>
      </w:r>
    </w:p>
    <w:p>
      <w:pPr>
        <w:spacing w:after="0" w:line="247" w:lineRule="exact"/>
        <w:rPr>
          <w:sz w:val="20"/>
          <w:szCs w:val="20"/>
          <w:color w:val="auto"/>
        </w:rPr>
      </w:pPr>
    </w:p>
    <w:p>
      <w:pPr>
        <w:jc w:val="both"/>
        <w:ind w:firstLine="1082"/>
        <w:spacing w:after="0" w:line="271" w:lineRule="auto"/>
        <w:rPr>
          <w:sz w:val="20"/>
          <w:szCs w:val="20"/>
          <w:color w:val="auto"/>
        </w:rPr>
      </w:pPr>
      <w:r>
        <w:rPr>
          <w:rFonts w:ascii="Arial" w:cs="Arial" w:eastAsia="Arial" w:hAnsi="Arial"/>
          <w:sz w:val="20"/>
          <w:szCs w:val="20"/>
          <w:color w:val="auto"/>
        </w:rPr>
        <w:t>iii.</w:t>
      </w:r>
      <w:r>
        <w:rPr>
          <w:rFonts w:ascii="Arial" w:cs="Arial" w:eastAsia="Arial" w:hAnsi="Arial"/>
          <w:sz w:val="21"/>
          <w:szCs w:val="21"/>
          <w:color w:val="auto"/>
        </w:rPr>
        <w:t>The definition of “Senior Notes Interest Reserve Amount” in the Base Indenture Definitions List is hereby</w:t>
      </w:r>
      <w:r>
        <w:rPr>
          <w:rFonts w:ascii="Arial" w:cs="Arial" w:eastAsia="Arial" w:hAnsi="Arial"/>
          <w:sz w:val="20"/>
          <w:szCs w:val="20"/>
          <w:color w:val="auto"/>
        </w:rPr>
        <w:t xml:space="preserve"> </w:t>
      </w:r>
      <w:r>
        <w:rPr>
          <w:rFonts w:ascii="Arial" w:cs="Arial" w:eastAsia="Arial" w:hAnsi="Arial"/>
          <w:sz w:val="21"/>
          <w:szCs w:val="21"/>
          <w:color w:val="auto"/>
        </w:rPr>
        <w:t xml:space="preserve">amended to delete the stricken text (indicated textually in the same manner as the following example: </w:t>
      </w:r>
      <w:r>
        <w:rPr>
          <w:rFonts w:ascii="Arial" w:cs="Arial" w:eastAsia="Arial" w:hAnsi="Arial"/>
          <w:sz w:val="21"/>
          <w:szCs w:val="21"/>
          <w:color w:val="auto"/>
          <w:strike w:val="1"/>
        </w:rPr>
        <w:t>stricken text</w:t>
      </w:r>
      <w:r>
        <w:rPr>
          <w:rFonts w:ascii="Arial" w:cs="Arial" w:eastAsia="Arial" w:hAnsi="Arial"/>
          <w:sz w:val="21"/>
          <w:szCs w:val="21"/>
          <w:color w:val="auto"/>
        </w:rPr>
        <w:t xml:space="preserve">) and to add the underlined text (indicated textually in the same manner as the following example: </w:t>
      </w:r>
      <w:r>
        <w:rPr>
          <w:rFonts w:ascii="Arial" w:cs="Arial" w:eastAsia="Arial" w:hAnsi="Arial"/>
          <w:sz w:val="21"/>
          <w:szCs w:val="21"/>
          <w:b w:val="1"/>
          <w:bCs w:val="1"/>
          <w:u w:val="single" w:color="auto"/>
          <w:color w:val="auto"/>
        </w:rPr>
        <w:t>underlined text</w:t>
      </w:r>
      <w:r>
        <w:rPr>
          <w:rFonts w:ascii="Arial" w:cs="Arial" w:eastAsia="Arial" w:hAnsi="Arial"/>
          <w:sz w:val="21"/>
          <w:szCs w:val="21"/>
          <w:color w:val="auto"/>
        </w:rPr>
        <w:t>) as follows:</w:t>
      </w:r>
    </w:p>
    <w:p>
      <w:pPr>
        <w:spacing w:after="0" w:line="167" w:lineRule="exact"/>
        <w:rPr>
          <w:sz w:val="20"/>
          <w:szCs w:val="20"/>
          <w:color w:val="auto"/>
        </w:rPr>
      </w:pPr>
    </w:p>
    <w:p>
      <w:pPr>
        <w:jc w:val="both"/>
        <w:ind w:left="660" w:right="640"/>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Senior Notes Interest Reserve Amount</w:t>
      </w:r>
      <w:r>
        <w:rPr>
          <w:rFonts w:ascii="Arial" w:cs="Arial" w:eastAsia="Arial" w:hAnsi="Arial"/>
          <w:sz w:val="19"/>
          <w:szCs w:val="19"/>
          <w:color w:val="auto"/>
        </w:rPr>
        <w:t xml:space="preserve">” means with respect to any Quarterly Payment Date (and any Weekly Allocation Date related thereto and any drawing date in respect of any Class A-1 Notes), an amount equal to </w:t>
      </w:r>
      <w:r>
        <w:rPr>
          <w:rFonts w:ascii="Arial" w:cs="Arial" w:eastAsia="Arial" w:hAnsi="Arial"/>
          <w:sz w:val="19"/>
          <w:szCs w:val="19"/>
          <w:b w:val="1"/>
          <w:bCs w:val="1"/>
          <w:u w:val="single" w:color="auto"/>
          <w:color w:val="auto"/>
        </w:rPr>
        <w:t>(a)</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from and after the Closing Date to and excluding the May 2020 Amendment Effective Date and on and subsequent to the occurrence of any Senior Notes Interest Reserve Reversion Event,</w:t>
      </w:r>
      <w:r>
        <w:rPr>
          <w:rFonts w:ascii="Arial" w:cs="Arial" w:eastAsia="Arial" w:hAnsi="Arial"/>
          <w:sz w:val="19"/>
          <w:szCs w:val="19"/>
          <w:b w:val="1"/>
          <w:bCs w:val="1"/>
          <w:color w:val="auto"/>
        </w:rPr>
        <w:t xml:space="preserve"> </w:t>
      </w:r>
      <w:r>
        <w:rPr>
          <w:rFonts w:ascii="Arial" w:cs="Arial" w:eastAsia="Arial" w:hAnsi="Arial"/>
          <w:sz w:val="19"/>
          <w:szCs w:val="19"/>
          <w:color w:val="auto"/>
        </w:rPr>
        <w:t>the Senior Notes</w:t>
      </w:r>
      <w:r>
        <w:rPr>
          <w:rFonts w:ascii="Arial" w:cs="Arial" w:eastAsia="Arial" w:hAnsi="Arial"/>
          <w:sz w:val="19"/>
          <w:szCs w:val="19"/>
          <w:b w:val="1"/>
          <w:bCs w:val="1"/>
          <w:color w:val="auto"/>
        </w:rPr>
        <w:t xml:space="preserve"> </w:t>
      </w:r>
      <w:r>
        <w:rPr>
          <w:rFonts w:ascii="Arial" w:cs="Arial" w:eastAsia="Arial" w:hAnsi="Arial"/>
          <w:sz w:val="19"/>
          <w:szCs w:val="19"/>
          <w:color w:val="auto"/>
        </w:rPr>
        <w:t>Quarterly Interest Amount and the Class A-1 Notes Quarterly Commitment Fees Amount due on such Quarterly Payment Date (with the interest and Class A-1 Notes Quarterly Commitment Fees Amount payable with respect to the Class A-1 Notes on such Quarterly Payment Date being based on the good faith utilization estimate of the Manager as set forth in the applicable Weekly Manager’s Certificate), which amount will increase or decrease in accordance with any increase or reduction in the Outstanding Principal Amount of the Senior Notes or in accordance with the Manager’s good faith utilization estimate with respect to the Class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8" w:right="339" w:bottom="1440" w:gutter="0" w:footer="0" w:header="0"/>
        </w:sectPr>
      </w:pPr>
    </w:p>
    <w:bookmarkStart w:id="59" w:name="page60"/>
    <w:bookmarkEnd w:id="59"/>
    <w:p>
      <w:pPr>
        <w:jc w:val="both"/>
        <w:ind w:left="660" w:right="640"/>
        <w:spacing w:after="0" w:line="288" w:lineRule="auto"/>
        <w:rPr>
          <w:sz w:val="20"/>
          <w:szCs w:val="20"/>
          <w:color w:val="auto"/>
        </w:rPr>
      </w:pPr>
      <w:r>
        <w:rPr>
          <w:rFonts w:ascii="Arial" w:cs="Arial" w:eastAsia="Arial" w:hAnsi="Arial"/>
          <w:sz w:val="19"/>
          <w:szCs w:val="19"/>
          <w:color w:val="auto"/>
        </w:rPr>
        <w:t xml:space="preserve">A-1 Notes as set forth in the applicable Weekly Manager’s Certificate; provided, that, with respect to the first Interest Accrual Period following the Closing Date, the Senior Notes Interest Reserve Amount will be an amount equal to the Initial Senior Notes Interest Reserve Deposit </w:t>
      </w:r>
      <w:r>
        <w:rPr>
          <w:rFonts w:ascii="Arial" w:cs="Arial" w:eastAsia="Arial" w:hAnsi="Arial"/>
          <w:sz w:val="19"/>
          <w:szCs w:val="19"/>
          <w:b w:val="1"/>
          <w:bCs w:val="1"/>
          <w:u w:val="single" w:color="auto"/>
          <w:color w:val="auto"/>
        </w:rPr>
        <w:t>and (b) on and after the May 2020 Amendment</w:t>
      </w:r>
    </w:p>
    <w:p>
      <w:pPr>
        <w:spacing w:after="0" w:line="1" w:lineRule="exact"/>
        <w:rPr>
          <w:sz w:val="20"/>
          <w:szCs w:val="20"/>
          <w:color w:val="auto"/>
        </w:rPr>
      </w:pPr>
    </w:p>
    <w:p>
      <w:pPr>
        <w:jc w:val="both"/>
        <w:ind w:left="660" w:right="660"/>
        <w:spacing w:after="0" w:line="292" w:lineRule="auto"/>
        <w:rPr>
          <w:sz w:val="20"/>
          <w:szCs w:val="20"/>
          <w:color w:val="auto"/>
        </w:rPr>
      </w:pPr>
      <w:r>
        <w:rPr>
          <w:rFonts w:ascii="Arial" w:cs="Arial" w:eastAsia="Arial" w:hAnsi="Arial"/>
          <w:sz w:val="19"/>
          <w:szCs w:val="19"/>
          <w:b w:val="1"/>
          <w:bCs w:val="1"/>
          <w:u w:val="single" w:color="auto"/>
          <w:color w:val="auto"/>
        </w:rPr>
        <w:t>Effective Date, the Senior Notes Discretionary Interest Reserve Amount, if any, with it being understood that a portion of the initial contribution of such amount is occurring at the discretion of one or more Non-Securitization Entities and will constitute a portion of the Senior Notes Interest Reserve Amount for all purposes until the occurrence of a Senior Notes Interest Reserve Reversion Event</w:t>
      </w:r>
      <w:r>
        <w:rPr>
          <w:rFonts w:ascii="Arial" w:cs="Arial" w:eastAsia="Arial" w:hAnsi="Arial"/>
          <w:sz w:val="19"/>
          <w:szCs w:val="19"/>
          <w:color w:val="auto"/>
        </w:rPr>
        <w:t>. The Senior Notes Interest</w:t>
      </w:r>
      <w:r>
        <w:rPr>
          <w:rFonts w:ascii="Arial" w:cs="Arial" w:eastAsia="Arial" w:hAnsi="Arial"/>
          <w:sz w:val="19"/>
          <w:szCs w:val="19"/>
          <w:b w:val="1"/>
          <w:bCs w:val="1"/>
          <w:color w:val="auto"/>
        </w:rPr>
        <w:t xml:space="preserve"> </w:t>
      </w:r>
      <w:r>
        <w:rPr>
          <w:rFonts w:ascii="Arial" w:cs="Arial" w:eastAsia="Arial" w:hAnsi="Arial"/>
          <w:sz w:val="19"/>
          <w:szCs w:val="19"/>
          <w:color w:val="auto"/>
        </w:rPr>
        <w:t>Reserve Amount may be funded in whole or in part with the proceeds of a drawing under any Class A-1 Notes.</w:t>
      </w:r>
    </w:p>
    <w:p>
      <w:pPr>
        <w:spacing w:after="0" w:line="178" w:lineRule="exact"/>
        <w:rPr>
          <w:sz w:val="20"/>
          <w:szCs w:val="20"/>
          <w:color w:val="auto"/>
        </w:rPr>
      </w:pPr>
    </w:p>
    <w:p>
      <w:pPr>
        <w:ind w:firstLine="1092"/>
        <w:spacing w:after="0" w:line="287" w:lineRule="auto"/>
        <w:rPr>
          <w:sz w:val="20"/>
          <w:szCs w:val="20"/>
          <w:color w:val="auto"/>
        </w:rPr>
      </w:pPr>
      <w:r>
        <w:rPr>
          <w:rFonts w:ascii="Arial" w:cs="Arial" w:eastAsia="Arial" w:hAnsi="Arial"/>
          <w:sz w:val="20"/>
          <w:szCs w:val="20"/>
          <w:color w:val="auto"/>
        </w:rPr>
        <w:t>iv.</w:t>
      </w:r>
      <w:r>
        <w:rPr>
          <w:rFonts w:ascii="Arial" w:cs="Arial" w:eastAsia="Arial" w:hAnsi="Arial"/>
          <w:sz w:val="21"/>
          <w:szCs w:val="21"/>
          <w:color w:val="auto"/>
        </w:rPr>
        <w:t>The following definition of “Senior Notes Discretionary Interest Reserve Amount” is hereby added to the Base</w:t>
      </w:r>
      <w:r>
        <w:rPr>
          <w:rFonts w:ascii="Arial" w:cs="Arial" w:eastAsia="Arial" w:hAnsi="Arial"/>
          <w:sz w:val="20"/>
          <w:szCs w:val="20"/>
          <w:color w:val="auto"/>
        </w:rPr>
        <w:t xml:space="preserve"> </w:t>
      </w:r>
      <w:r>
        <w:rPr>
          <w:rFonts w:ascii="Arial" w:cs="Arial" w:eastAsia="Arial" w:hAnsi="Arial"/>
          <w:sz w:val="21"/>
          <w:szCs w:val="21"/>
          <w:color w:val="auto"/>
        </w:rPr>
        <w:t>Indenture Definitions List in the appropriate alphabetical order:</w:t>
      </w:r>
    </w:p>
    <w:p>
      <w:pPr>
        <w:spacing w:after="0" w:line="151" w:lineRule="exact"/>
        <w:rPr>
          <w:sz w:val="20"/>
          <w:szCs w:val="20"/>
          <w:color w:val="auto"/>
        </w:rPr>
      </w:pPr>
    </w:p>
    <w:p>
      <w:pPr>
        <w:jc w:val="both"/>
        <w:ind w:left="660" w:right="640"/>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Senior Notes Discretionary Interest Reserve Amount</w:t>
      </w:r>
      <w:r>
        <w:rPr>
          <w:rFonts w:ascii="Arial" w:cs="Arial" w:eastAsia="Arial" w:hAnsi="Arial"/>
          <w:sz w:val="22"/>
          <w:szCs w:val="22"/>
          <w:color w:val="auto"/>
        </w:rPr>
        <w:t>” means with respect to any Quarterly Payment Date an amount equal to the sum of (i) (x) on and after the May 2020 Amendment Effective Date and until the occurrence of any Senior Notes Interest Reserve Reversion Event, the amount calculated pursuant to clause (a) of the definition of “Senior Notes Interest Reserve Amount” for any applicable Quarterly Payment Date or (y) on any another date, zero and (ii) any additional amounts added at the discretion of the Manager, in each case as set forth in the applicable Weekly Manager’s Certificate.</w:t>
      </w:r>
    </w:p>
    <w:p>
      <w:pPr>
        <w:spacing w:after="0" w:line="220" w:lineRule="exact"/>
        <w:rPr>
          <w:sz w:val="20"/>
          <w:szCs w:val="20"/>
          <w:color w:val="auto"/>
        </w:rPr>
      </w:pPr>
    </w:p>
    <w:p>
      <w:pPr>
        <w:ind w:right="20" w:firstLine="1147"/>
        <w:spacing w:after="0" w:line="287" w:lineRule="auto"/>
        <w:rPr>
          <w:sz w:val="20"/>
          <w:szCs w:val="20"/>
          <w:color w:val="auto"/>
        </w:rPr>
      </w:pPr>
      <w:r>
        <w:rPr>
          <w:rFonts w:ascii="Arial" w:cs="Arial" w:eastAsia="Arial" w:hAnsi="Arial"/>
          <w:sz w:val="20"/>
          <w:szCs w:val="20"/>
          <w:color w:val="auto"/>
        </w:rPr>
        <w:t>v.</w:t>
      </w:r>
      <w:r>
        <w:rPr>
          <w:rFonts w:ascii="Arial" w:cs="Arial" w:eastAsia="Arial" w:hAnsi="Arial"/>
          <w:sz w:val="21"/>
          <w:szCs w:val="21"/>
          <w:color w:val="auto"/>
        </w:rPr>
        <w:t>The following definition of “Senior Notes Interest Reserve Reversion Event” is hereby added to the Base</w:t>
      </w:r>
      <w:r>
        <w:rPr>
          <w:rFonts w:ascii="Arial" w:cs="Arial" w:eastAsia="Arial" w:hAnsi="Arial"/>
          <w:sz w:val="20"/>
          <w:szCs w:val="20"/>
          <w:color w:val="auto"/>
        </w:rPr>
        <w:t xml:space="preserve"> </w:t>
      </w:r>
      <w:r>
        <w:rPr>
          <w:rFonts w:ascii="Arial" w:cs="Arial" w:eastAsia="Arial" w:hAnsi="Arial"/>
          <w:sz w:val="21"/>
          <w:szCs w:val="21"/>
          <w:color w:val="auto"/>
        </w:rPr>
        <w:t>Indenture Definitions List in the appropriate alphabetical order:</w:t>
      </w:r>
    </w:p>
    <w:p>
      <w:pPr>
        <w:spacing w:after="0" w:line="151" w:lineRule="exact"/>
        <w:rPr>
          <w:sz w:val="20"/>
          <w:szCs w:val="20"/>
          <w:color w:val="auto"/>
        </w:rPr>
      </w:pPr>
    </w:p>
    <w:p>
      <w:pPr>
        <w:jc w:val="both"/>
        <w:ind w:left="660" w:right="640"/>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Senior Notes Interest Reserve Reversion Event</w:t>
      </w:r>
      <w:r>
        <w:rPr>
          <w:rFonts w:ascii="Arial" w:cs="Arial" w:eastAsia="Arial" w:hAnsi="Arial"/>
          <w:sz w:val="22"/>
          <w:szCs w:val="22"/>
          <w:color w:val="auto"/>
        </w:rPr>
        <w:t>” means the first Weekly Allocation Date after the Quarterly Payment Date in September 2020 on which the DSCR, calculated as of the immediately preceding Quarterly Calculation Date, is at least 3.00x.”</w:t>
      </w:r>
    </w:p>
    <w:p>
      <w:pPr>
        <w:spacing w:after="0" w:line="212" w:lineRule="exact"/>
        <w:rPr>
          <w:sz w:val="20"/>
          <w:szCs w:val="20"/>
          <w:color w:val="auto"/>
        </w:rPr>
      </w:pPr>
    </w:p>
    <w:p>
      <w:pPr>
        <w:ind w:left="1960" w:hanging="656"/>
        <w:spacing w:after="0"/>
        <w:tabs>
          <w:tab w:leader="none" w:pos="1960"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Amendments to the Series 2019-1 Supplement</w:t>
      </w:r>
      <w:r>
        <w:rPr>
          <w:rFonts w:ascii="Arial" w:cs="Arial" w:eastAsia="Arial" w:hAnsi="Arial"/>
          <w:sz w:val="22"/>
          <w:szCs w:val="22"/>
          <w:color w:val="auto"/>
        </w:rPr>
        <w:t>.</w:t>
      </w:r>
    </w:p>
    <w:p>
      <w:pPr>
        <w:spacing w:after="0" w:line="220" w:lineRule="exact"/>
        <w:rPr>
          <w:sz w:val="20"/>
          <w:szCs w:val="20"/>
          <w:color w:val="auto"/>
        </w:rPr>
      </w:pPr>
    </w:p>
    <w:p>
      <w:pPr>
        <w:ind w:firstLine="1192"/>
        <w:spacing w:after="0" w:line="287" w:lineRule="auto"/>
        <w:rPr>
          <w:sz w:val="20"/>
          <w:szCs w:val="20"/>
          <w:color w:val="auto"/>
        </w:rPr>
      </w:pPr>
      <w:r>
        <w:rPr>
          <w:rFonts w:ascii="Arial" w:cs="Arial" w:eastAsia="Arial" w:hAnsi="Arial"/>
          <w:sz w:val="20"/>
          <w:szCs w:val="20"/>
          <w:color w:val="auto"/>
        </w:rPr>
        <w:t>i.</w:t>
      </w:r>
      <w:r>
        <w:rPr>
          <w:rFonts w:ascii="Arial" w:cs="Arial" w:eastAsia="Arial" w:hAnsi="Arial"/>
          <w:sz w:val="21"/>
          <w:szCs w:val="21"/>
          <w:color w:val="auto"/>
        </w:rPr>
        <w:t>The definition of “Series 2019-1 Interest Reserve Release Event” in the Series 2019-1 Supplement Supplemental</w:t>
      </w:r>
      <w:r>
        <w:rPr>
          <w:rFonts w:ascii="Arial" w:cs="Arial" w:eastAsia="Arial" w:hAnsi="Arial"/>
          <w:sz w:val="20"/>
          <w:szCs w:val="20"/>
          <w:color w:val="auto"/>
        </w:rPr>
        <w:t xml:space="preserve"> </w:t>
      </w:r>
      <w:r>
        <w:rPr>
          <w:rFonts w:ascii="Arial" w:cs="Arial" w:eastAsia="Arial" w:hAnsi="Arial"/>
          <w:sz w:val="21"/>
          <w:szCs w:val="21"/>
          <w:color w:val="auto"/>
        </w:rPr>
        <w:t>Definitions List is hereby amended to delete such definition in its entirety.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8" w:right="339" w:bottom="1440" w:gutter="0" w:footer="0" w:header="0"/>
        </w:sectPr>
      </w:pPr>
    </w:p>
    <w:bookmarkStart w:id="60" w:name="page61"/>
    <w:bookmarkEnd w:id="60"/>
    <w:p>
      <w:pPr>
        <w:ind w:firstLine="1304"/>
        <w:spacing w:after="0" w:line="263" w:lineRule="auto"/>
        <w:tabs>
          <w:tab w:leader="none" w:pos="1932"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Capitalized Terms</w:t>
      </w:r>
      <w:r>
        <w:rPr>
          <w:rFonts w:ascii="Arial" w:cs="Arial" w:eastAsia="Arial" w:hAnsi="Arial"/>
          <w:sz w:val="22"/>
          <w:szCs w:val="22"/>
          <w:color w:val="auto"/>
        </w:rPr>
        <w:t>. Capitalized terms used herein and not otherwise defined herein are used as defined in the Base Indenture and/or the Series Supplement, as applicable.</w:t>
      </w:r>
    </w:p>
    <w:p>
      <w:pPr>
        <w:spacing w:after="0" w:line="174" w:lineRule="exact"/>
        <w:rPr>
          <w:rFonts w:ascii="Arial" w:cs="Arial" w:eastAsia="Arial" w:hAnsi="Arial"/>
          <w:sz w:val="22"/>
          <w:szCs w:val="22"/>
          <w:color w:val="auto"/>
        </w:rPr>
      </w:pPr>
    </w:p>
    <w:p>
      <w:pPr>
        <w:jc w:val="both"/>
        <w:ind w:firstLine="1304"/>
        <w:spacing w:after="0" w:line="246" w:lineRule="auto"/>
        <w:tabs>
          <w:tab w:leader="none" w:pos="1944"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Matters relating to the Trustee</w:t>
      </w:r>
      <w:r>
        <w:rPr>
          <w:rFonts w:ascii="Arial" w:cs="Arial" w:eastAsia="Arial" w:hAnsi="Arial"/>
          <w:sz w:val="22"/>
          <w:szCs w:val="22"/>
          <w:color w:val="auto"/>
        </w:rPr>
        <w:t>. The Trustee makes no representations or warranties as to the correctness of the recitals contained herein, which shall be taken as statements of the Co-Issuers, or the validity or sufficiency of this Supplement and the Trustee shall not be accountable for, or with respect to, nor shall the Trustee have any responsibility for, the provisions thereof. In entering into this Supplement, the Trustee shall have all of the rights, powers, duties and obligations of the Trustee under the Base Indenture and any other Transaction Document to which the Trustee is party and, for the avoidance of doubt, shall be entitled to the benefit of every provision thereunder relating to the conduct of or affecting the liability of or affording protection to the Trustee.</w:t>
      </w:r>
    </w:p>
    <w:p>
      <w:pPr>
        <w:spacing w:after="0" w:line="196" w:lineRule="exact"/>
        <w:rPr>
          <w:rFonts w:ascii="Arial" w:cs="Arial" w:eastAsia="Arial" w:hAnsi="Arial"/>
          <w:sz w:val="22"/>
          <w:szCs w:val="22"/>
          <w:color w:val="auto"/>
        </w:rPr>
      </w:pPr>
    </w:p>
    <w:p>
      <w:pPr>
        <w:jc w:val="both"/>
        <w:ind w:firstLine="1304"/>
        <w:spacing w:after="0" w:line="246" w:lineRule="auto"/>
        <w:tabs>
          <w:tab w:leader="none" w:pos="1932"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 Except as expressly modified hereby, all other provisions of the Base Indenture shall remain in full force and effect. This Supplement is governed by and shall be construed in accordance with the laws of the State of New York. This Supplement may be executed (by facsimile or otherwise) in any number of counterparts, all of which when so executed shall be deemed to be an original and all of which taken together shall constitute one and the same agreement. If any one or more of the covenants, agreements, provisions or terms of this Supplement shall be for any reason whatsoever held invalid, then such covenants, agreements, provisions or terms shall be deemed severable from the remaining covenants, agreements, provisions or terms of this Supplement and shall in no way affect the validity or enforceability of the other provisions of this Supplement.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8" w:right="339" w:bottom="1440" w:gutter="0" w:footer="0" w:header="0"/>
        </w:sectPr>
      </w:pPr>
    </w:p>
    <w:bookmarkStart w:id="61" w:name="page62"/>
    <w:bookmarkEnd w:id="61"/>
    <w:p>
      <w:pPr>
        <w:ind w:firstLine="1296"/>
        <w:spacing w:after="0" w:line="247" w:lineRule="auto"/>
        <w:rPr>
          <w:sz w:val="20"/>
          <w:szCs w:val="20"/>
          <w:color w:val="auto"/>
        </w:rPr>
      </w:pPr>
      <w:r>
        <w:rPr>
          <w:rFonts w:ascii="Arial" w:cs="Arial" w:eastAsia="Arial" w:hAnsi="Arial"/>
          <w:sz w:val="21"/>
          <w:szCs w:val="21"/>
          <w:color w:val="auto"/>
        </w:rPr>
        <w:t>IN WITNESS WHEREOF, each of the Co-Issuers and the Trustee have caused this Supplement to be duly executed by its respective duly authorized officer as of the day and year first written above.</w:t>
      </w:r>
    </w:p>
    <w:p>
      <w:pPr>
        <w:spacing w:after="0" w:line="15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APPLEBEE’S FUNDING LLC,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as a Co-Issuer</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/s/Thomas Song</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Name: Thomas Song</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Title: CFO</w:t>
      </w:r>
    </w:p>
    <w:p>
      <w:pPr>
        <w:spacing w:after="0" w:line="200" w:lineRule="exact"/>
        <w:rPr>
          <w:sz w:val="20"/>
          <w:szCs w:val="20"/>
          <w:color w:val="auto"/>
        </w:rPr>
      </w:pPr>
    </w:p>
    <w:p>
      <w:pPr>
        <w:spacing w:after="0" w:line="21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IHOP FUNDING LLC,</w:t>
      </w:r>
    </w:p>
    <w:p>
      <w:pPr>
        <w:spacing w:after="0" w:line="206" w:lineRule="exact"/>
        <w:rPr>
          <w:sz w:val="20"/>
          <w:szCs w:val="20"/>
          <w:color w:val="auto"/>
        </w:rPr>
      </w:pPr>
    </w:p>
    <w:p>
      <w:pPr>
        <w:ind w:left="60"/>
        <w:spacing w:after="0"/>
        <w:rPr>
          <w:sz w:val="20"/>
          <w:szCs w:val="20"/>
          <w:color w:val="auto"/>
        </w:rPr>
      </w:pPr>
      <w:r>
        <w:rPr>
          <w:rFonts w:ascii="Arial" w:cs="Arial" w:eastAsia="Arial" w:hAnsi="Arial"/>
          <w:sz w:val="22"/>
          <w:szCs w:val="22"/>
          <w:color w:val="auto"/>
        </w:rPr>
        <w:t>as a Co-Issuer</w:t>
      </w:r>
    </w:p>
    <w:p>
      <w:pPr>
        <w:spacing w:after="0" w:line="200" w:lineRule="exact"/>
        <w:rPr>
          <w:sz w:val="20"/>
          <w:szCs w:val="20"/>
          <w:color w:val="auto"/>
        </w:rPr>
      </w:pPr>
    </w:p>
    <w:p>
      <w:pPr>
        <w:spacing w:after="0" w:line="263" w:lineRule="exact"/>
        <w:rPr>
          <w:sz w:val="20"/>
          <w:szCs w:val="20"/>
          <w:color w:val="auto"/>
        </w:rPr>
      </w:pPr>
    </w:p>
    <w:p>
      <w:pPr>
        <w:ind w:left="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Thomas Song</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22"/>
          <w:szCs w:val="22"/>
          <w:color w:val="auto"/>
        </w:rPr>
        <w:t>Name: Thomas Song</w:t>
      </w:r>
    </w:p>
    <w:p>
      <w:pPr>
        <w:spacing w:after="0" w:line="4" w:lineRule="exact"/>
        <w:rPr>
          <w:sz w:val="20"/>
          <w:szCs w:val="20"/>
          <w:color w:val="auto"/>
        </w:rPr>
      </w:pPr>
    </w:p>
    <w:p>
      <w:pPr>
        <w:ind w:left="60"/>
        <w:spacing w:after="0"/>
        <w:rPr>
          <w:sz w:val="20"/>
          <w:szCs w:val="20"/>
          <w:color w:val="auto"/>
        </w:rPr>
      </w:pPr>
      <w:r>
        <w:rPr>
          <w:rFonts w:ascii="Arial" w:cs="Arial" w:eastAsia="Arial" w:hAnsi="Arial"/>
          <w:sz w:val="22"/>
          <w:szCs w:val="22"/>
          <w:color w:val="auto"/>
        </w:rPr>
        <w:t>Title: CFO</w:t>
      </w:r>
    </w:p>
    <w:p>
      <w:pPr>
        <w:sectPr>
          <w:pgSz w:w="11900" w:h="16838" w:orient="portrait"/>
          <w:cols w:equalWidth="0" w:num="1">
            <w:col w:w="10480"/>
          </w:cols>
          <w:pgMar w:left="320" w:top="1401" w:right="1099" w:bottom="1440" w:gutter="0" w:footer="0" w:header="0"/>
        </w:sectPr>
      </w:pPr>
    </w:p>
    <w:bookmarkStart w:id="62" w:name="page63"/>
    <w:bookmarkEnd w:id="62"/>
    <w:p>
      <w:pPr>
        <w:ind w:left="4480"/>
        <w:spacing w:after="0" w:line="232" w:lineRule="auto"/>
        <w:rPr>
          <w:sz w:val="20"/>
          <w:szCs w:val="20"/>
          <w:color w:val="auto"/>
        </w:rPr>
      </w:pPr>
      <w:r>
        <w:rPr>
          <w:rFonts w:ascii="Arial" w:cs="Arial" w:eastAsia="Arial" w:hAnsi="Arial"/>
          <w:sz w:val="22"/>
          <w:szCs w:val="22"/>
          <w:color w:val="auto"/>
        </w:rPr>
        <w:t>CITIBANK, N.A., not in its individual capacity but solely in its capacity as Trustee</w:t>
      </w:r>
    </w:p>
    <w:p>
      <w:pPr>
        <w:spacing w:after="0" w:line="200" w:lineRule="exact"/>
        <w:rPr>
          <w:sz w:val="20"/>
          <w:szCs w:val="20"/>
          <w:color w:val="auto"/>
        </w:rPr>
      </w:pPr>
    </w:p>
    <w:p>
      <w:pPr>
        <w:spacing w:after="0" w:line="202"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Jacqueline Suarez</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Name: Jacqueline Suarez</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Title: Senior Trust Officer</w:t>
      </w:r>
    </w:p>
    <w:p>
      <w:pPr>
        <w:sectPr>
          <w:pgSz w:w="11900" w:h="16838" w:orient="portrait"/>
          <w:cols w:equalWidth="0" w:num="1">
            <w:col w:w="11000"/>
          </w:cols>
          <w:pgMar w:left="380" w:top="1401" w:right="519" w:bottom="1440" w:gutter="0" w:footer="0" w:header="0"/>
        </w:sectPr>
      </w:pPr>
    </w:p>
    <w:bookmarkStart w:id="63" w:name="page64"/>
    <w:bookmarkEnd w:id="63"/>
    <w:p>
      <w:pPr>
        <w:spacing w:after="0"/>
        <w:rPr>
          <w:sz w:val="20"/>
          <w:szCs w:val="20"/>
          <w:color w:val="auto"/>
        </w:rPr>
      </w:pPr>
      <w:r>
        <w:rPr>
          <w:rFonts w:ascii="Arial" w:cs="Arial" w:eastAsia="Arial" w:hAnsi="Arial"/>
          <w:sz w:val="22"/>
          <w:szCs w:val="22"/>
          <w:b w:val="1"/>
          <w:bCs w:val="1"/>
          <w:color w:val="auto"/>
        </w:rPr>
        <w:t>Consented to:</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Midland Loan Services, a division of</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PNC Bank, National Association, as Control Party</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Dugger Schwartz</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Name: Dugger Schwartz</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Title: Sr. Vice President</w:t>
      </w:r>
    </w:p>
    <w:p>
      <w:pPr>
        <w:sectPr>
          <w:pgSz w:w="11900" w:h="16838" w:orient="portrait"/>
          <w:cols w:equalWidth="0" w:num="1">
            <w:col w:w="9479"/>
          </w:cols>
          <w:pgMar w:left="980" w:top="1395" w:right="1440"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Stephen P. Joyce, certify that:</w:t>
      </w:r>
    </w:p>
    <w:p>
      <w:pPr>
        <w:spacing w:after="0" w:line="225" w:lineRule="exact"/>
        <w:rPr>
          <w:sz w:val="20"/>
          <w:szCs w:val="20"/>
          <w:color w:val="auto"/>
        </w:rPr>
      </w:pPr>
    </w:p>
    <w:p>
      <w:pPr>
        <w:ind w:left="680" w:hanging="672"/>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Dine Brands Global, Inc.;</w:t>
      </w:r>
    </w:p>
    <w:p>
      <w:pPr>
        <w:spacing w:after="0" w:line="225" w:lineRule="exact"/>
        <w:rPr>
          <w:rFonts w:ascii="Arial" w:cs="Arial" w:eastAsia="Arial" w:hAnsi="Arial"/>
          <w:sz w:val="18"/>
          <w:szCs w:val="18"/>
          <w:color w:val="auto"/>
        </w:rPr>
      </w:pPr>
    </w:p>
    <w:p>
      <w:pPr>
        <w:ind w:right="100" w:firstLine="8"/>
        <w:spacing w:after="0" w:line="342" w:lineRule="auto"/>
        <w:tabs>
          <w:tab w:leader="none" w:pos="666"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666"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8"/>
        <w:spacing w:after="0" w:line="263" w:lineRule="auto"/>
        <w:tabs>
          <w:tab w:leader="none" w:pos="666"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firstLine="656"/>
        <w:spacing w:after="0" w:line="263" w:lineRule="auto"/>
        <w:tabs>
          <w:tab w:leader="none" w:pos="1311"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right="40" w:firstLine="656"/>
        <w:spacing w:after="0" w:line="263" w:lineRule="auto"/>
        <w:tabs>
          <w:tab w:leader="none" w:pos="1321"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200" w:firstLine="656"/>
        <w:spacing w:after="0" w:line="308" w:lineRule="auto"/>
        <w:tabs>
          <w:tab w:leader="none" w:pos="1325" w:val="left"/>
        </w:tabs>
        <w:numPr>
          <w:ilvl w:val="1"/>
          <w:numId w:val="3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180" w:firstLine="656"/>
        <w:spacing w:after="0" w:line="263" w:lineRule="auto"/>
        <w:tabs>
          <w:tab w:leader="none" w:pos="1321"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60" w:firstLine="8"/>
        <w:spacing w:after="0" w:line="342" w:lineRule="auto"/>
        <w:tabs>
          <w:tab w:leader="none" w:pos="666"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right="440" w:firstLine="656"/>
        <w:spacing w:after="0" w:line="308" w:lineRule="auto"/>
        <w:tabs>
          <w:tab w:leader="none" w:pos="1311" w:val="left"/>
        </w:tabs>
        <w:numPr>
          <w:ilvl w:val="1"/>
          <w:numId w:val="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120" w:firstLine="656"/>
        <w:spacing w:after="0" w:line="277" w:lineRule="auto"/>
        <w:tabs>
          <w:tab w:leader="none" w:pos="1321"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840"/>
        <w:spacing w:after="0"/>
        <w:tabs>
          <w:tab w:leader="none" w:pos="8340" w:val="left"/>
        </w:tabs>
        <w:rPr>
          <w:sz w:val="20"/>
          <w:szCs w:val="20"/>
          <w:color w:val="auto"/>
        </w:rPr>
      </w:pPr>
      <w:r>
        <w:rPr>
          <w:rFonts w:ascii="Arial" w:cs="Arial" w:eastAsia="Arial" w:hAnsi="Arial"/>
          <w:sz w:val="18"/>
          <w:szCs w:val="18"/>
          <w:color w:val="auto"/>
        </w:rPr>
        <w:t>Dated: 29th day of July, 2020</w:t>
      </w:r>
      <w:r>
        <w:rPr>
          <w:sz w:val="20"/>
          <w:szCs w:val="20"/>
          <w:color w:val="auto"/>
        </w:rPr>
        <w:tab/>
      </w:r>
      <w:r>
        <w:rPr>
          <w:rFonts w:ascii="Arial" w:cs="Arial" w:eastAsia="Arial" w:hAnsi="Arial"/>
          <w:sz w:val="15"/>
          <w:szCs w:val="15"/>
          <w:color w:val="auto"/>
        </w:rPr>
        <w:t>/s/ Stephen P. Joyce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31750</wp:posOffset>
            </wp:positionV>
            <wp:extent cx="231457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28" w:lineRule="exact"/>
        <w:rPr>
          <w:sz w:val="20"/>
          <w:szCs w:val="20"/>
          <w:color w:val="auto"/>
        </w:rPr>
      </w:pPr>
    </w:p>
    <w:p>
      <w:pPr>
        <w:jc w:val="center"/>
        <w:ind w:left="6880"/>
        <w:spacing w:after="0"/>
        <w:rPr>
          <w:sz w:val="20"/>
          <w:szCs w:val="20"/>
          <w:color w:val="auto"/>
        </w:rPr>
      </w:pPr>
      <w:r>
        <w:rPr>
          <w:rFonts w:ascii="Arial" w:cs="Arial" w:eastAsia="Arial" w:hAnsi="Arial"/>
          <w:sz w:val="18"/>
          <w:szCs w:val="18"/>
          <w:color w:val="auto"/>
        </w:rPr>
        <w:t>Stephen P. Joyce</w:t>
      </w:r>
    </w:p>
    <w:p>
      <w:pPr>
        <w:jc w:val="center"/>
        <w:ind w:left="6880"/>
        <w:spacing w:after="0" w:line="203" w:lineRule="auto"/>
        <w:rPr>
          <w:sz w:val="20"/>
          <w:szCs w:val="20"/>
          <w:color w:val="auto"/>
        </w:rPr>
      </w:pPr>
      <w:r>
        <w:rPr>
          <w:rFonts w:ascii="Arial" w:cs="Arial" w:eastAsia="Arial" w:hAnsi="Arial"/>
          <w:sz w:val="18"/>
          <w:szCs w:val="18"/>
          <w:i w:val="1"/>
          <w:iCs w:val="1"/>
          <w:color w:val="auto"/>
        </w:rPr>
        <w:t>Chief Executive Officer</w:t>
      </w:r>
    </w:p>
    <w:p>
      <w:pPr>
        <w:jc w:val="center"/>
        <w:ind w:left="68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891"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Thomas H. Song, certify that:</w:t>
      </w:r>
    </w:p>
    <w:p>
      <w:pPr>
        <w:spacing w:after="0" w:line="225" w:lineRule="exact"/>
        <w:rPr>
          <w:sz w:val="20"/>
          <w:szCs w:val="20"/>
          <w:color w:val="auto"/>
        </w:rPr>
      </w:pPr>
    </w:p>
    <w:p>
      <w:pPr>
        <w:ind w:left="680" w:hanging="672"/>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Dine Brands Global, Inc.;</w:t>
      </w:r>
    </w:p>
    <w:p>
      <w:pPr>
        <w:spacing w:after="0" w:line="225" w:lineRule="exact"/>
        <w:rPr>
          <w:rFonts w:ascii="Arial" w:cs="Arial" w:eastAsia="Arial" w:hAnsi="Arial"/>
          <w:sz w:val="18"/>
          <w:szCs w:val="18"/>
          <w:color w:val="auto"/>
        </w:rPr>
      </w:pPr>
    </w:p>
    <w:p>
      <w:pPr>
        <w:ind w:right="100" w:firstLine="8"/>
        <w:spacing w:after="0" w:line="342" w:lineRule="auto"/>
        <w:tabs>
          <w:tab w:leader="none" w:pos="666"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666"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8"/>
        <w:spacing w:after="0" w:line="263" w:lineRule="auto"/>
        <w:tabs>
          <w:tab w:leader="none" w:pos="666"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firstLine="656"/>
        <w:spacing w:after="0" w:line="263" w:lineRule="auto"/>
        <w:tabs>
          <w:tab w:leader="none" w:pos="1311"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right="40" w:firstLine="656"/>
        <w:spacing w:after="0" w:line="263" w:lineRule="auto"/>
        <w:tabs>
          <w:tab w:leader="none" w:pos="1321"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200" w:firstLine="656"/>
        <w:spacing w:after="0" w:line="308" w:lineRule="auto"/>
        <w:tabs>
          <w:tab w:leader="none" w:pos="1325" w:val="left"/>
        </w:tabs>
        <w:numPr>
          <w:ilvl w:val="1"/>
          <w:numId w:val="3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180" w:firstLine="656"/>
        <w:spacing w:after="0" w:line="263" w:lineRule="auto"/>
        <w:tabs>
          <w:tab w:leader="none" w:pos="1321"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60" w:firstLine="8"/>
        <w:spacing w:after="0" w:line="342" w:lineRule="auto"/>
        <w:tabs>
          <w:tab w:leader="none" w:pos="666"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right="440" w:firstLine="656"/>
        <w:spacing w:after="0" w:line="308" w:lineRule="auto"/>
        <w:tabs>
          <w:tab w:leader="none" w:pos="1311" w:val="left"/>
        </w:tabs>
        <w:numPr>
          <w:ilvl w:val="1"/>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120" w:firstLine="656"/>
        <w:spacing w:after="0" w:line="277" w:lineRule="auto"/>
        <w:tabs>
          <w:tab w:leader="none" w:pos="1321"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840"/>
        <w:spacing w:after="0"/>
        <w:tabs>
          <w:tab w:leader="none" w:pos="8300" w:val="left"/>
        </w:tabs>
        <w:rPr>
          <w:sz w:val="20"/>
          <w:szCs w:val="20"/>
          <w:color w:val="auto"/>
        </w:rPr>
      </w:pPr>
      <w:r>
        <w:rPr>
          <w:rFonts w:ascii="Arial" w:cs="Arial" w:eastAsia="Arial" w:hAnsi="Arial"/>
          <w:sz w:val="18"/>
          <w:szCs w:val="18"/>
          <w:color w:val="auto"/>
        </w:rPr>
        <w:t>Dated: 29th day of July, 2020</w:t>
      </w:r>
      <w:r>
        <w:rPr>
          <w:sz w:val="20"/>
          <w:szCs w:val="20"/>
          <w:color w:val="auto"/>
        </w:rPr>
        <w:tab/>
      </w:r>
      <w:r>
        <w:rPr>
          <w:rFonts w:ascii="Arial" w:cs="Arial" w:eastAsia="Arial" w:hAnsi="Arial"/>
          <w:sz w:val="16"/>
          <w:szCs w:val="16"/>
          <w:color w:val="auto"/>
        </w:rPr>
        <w:t>/s/ Thomas H. Song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31750</wp:posOffset>
            </wp:positionV>
            <wp:extent cx="228854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28" w:lineRule="exact"/>
        <w:rPr>
          <w:sz w:val="20"/>
          <w:szCs w:val="20"/>
          <w:color w:val="auto"/>
        </w:rPr>
      </w:pPr>
    </w:p>
    <w:p>
      <w:pPr>
        <w:jc w:val="center"/>
        <w:ind w:left="6800"/>
        <w:spacing w:after="0"/>
        <w:rPr>
          <w:sz w:val="20"/>
          <w:szCs w:val="20"/>
          <w:color w:val="auto"/>
        </w:rPr>
      </w:pPr>
      <w:r>
        <w:rPr>
          <w:rFonts w:ascii="Arial" w:cs="Arial" w:eastAsia="Arial" w:hAnsi="Arial"/>
          <w:sz w:val="18"/>
          <w:szCs w:val="18"/>
          <w:color w:val="auto"/>
        </w:rPr>
        <w:t>Thomas H. Song</w:t>
      </w:r>
    </w:p>
    <w:p>
      <w:pPr>
        <w:jc w:val="center"/>
        <w:ind w:left="6800"/>
        <w:spacing w:after="0" w:line="203" w:lineRule="auto"/>
        <w:rPr>
          <w:sz w:val="20"/>
          <w:szCs w:val="20"/>
          <w:color w:val="auto"/>
        </w:rPr>
      </w:pPr>
      <w:r>
        <w:rPr>
          <w:rFonts w:ascii="Arial" w:cs="Arial" w:eastAsia="Arial" w:hAnsi="Arial"/>
          <w:sz w:val="18"/>
          <w:szCs w:val="18"/>
          <w:i w:val="1"/>
          <w:iCs w:val="1"/>
          <w:color w:val="auto"/>
        </w:rPr>
        <w:t>Chief Financial Officer</w:t>
      </w:r>
    </w:p>
    <w:p>
      <w:pPr>
        <w:jc w:val="center"/>
        <w:ind w:left="6800"/>
        <w:spacing w:after="0" w:line="203" w:lineRule="auto"/>
        <w:rPr>
          <w:sz w:val="20"/>
          <w:szCs w:val="20"/>
          <w:color w:val="auto"/>
        </w:rPr>
      </w:pPr>
      <w:r>
        <w:rPr>
          <w:rFonts w:ascii="Arial" w:cs="Arial" w:eastAsia="Arial" w:hAnsi="Arial"/>
          <w:sz w:val="18"/>
          <w:szCs w:val="18"/>
          <w:i w:val="1"/>
          <w:iCs w:val="1"/>
          <w:color w:val="auto"/>
        </w:rPr>
        <w:t>(Principal Financial Officer and Principal</w:t>
      </w:r>
    </w:p>
    <w:p>
      <w:pPr>
        <w:spacing w:after="0" w:line="1" w:lineRule="exact"/>
        <w:rPr>
          <w:sz w:val="20"/>
          <w:szCs w:val="20"/>
          <w:color w:val="auto"/>
        </w:rPr>
      </w:pPr>
    </w:p>
    <w:p>
      <w:pPr>
        <w:jc w:val="center"/>
        <w:ind w:left="6800"/>
        <w:spacing w:after="0"/>
        <w:rPr>
          <w:sz w:val="20"/>
          <w:szCs w:val="20"/>
          <w:color w:val="auto"/>
        </w:rPr>
      </w:pPr>
      <w:r>
        <w:rPr>
          <w:rFonts w:ascii="Arial" w:cs="Arial" w:eastAsia="Arial" w:hAnsi="Arial"/>
          <w:sz w:val="18"/>
          <w:szCs w:val="18"/>
          <w:i w:val="1"/>
          <w:iCs w:val="1"/>
          <w:color w:val="auto"/>
        </w:rPr>
        <w:t>Accounting Officer)</w:t>
      </w:r>
    </w:p>
    <w:p>
      <w:pPr>
        <w:sectPr>
          <w:pgSz w:w="11900" w:h="16838" w:orient="portrait"/>
          <w:cols w:equalWidth="0" w:num="1">
            <w:col w:w="11240"/>
          </w:cols>
          <w:pgMar w:left="320" w:top="891"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In connection with the Quarterly Report on Form 10-Q of Dine Brands Global, Inc. (the “Company”) for the quarter ended June 30, 2020, as filed with the Securities and Exchange Commission on the 29th day of July, 2020 (the “Report”), Stephen P. Joyce, as Chief Executive Officer of the Company, hereby certifies, pursuant to 18 U.S.C. Section 1350, as adopted pursuant to Section 906 of the Sarbanes-Oxley Act of 2002, to the best of his knowledge, that:</w:t>
      </w:r>
    </w:p>
    <w:p>
      <w:pPr>
        <w:spacing w:after="0" w:line="187" w:lineRule="exact"/>
        <w:rPr>
          <w:sz w:val="20"/>
          <w:szCs w:val="20"/>
          <w:color w:val="auto"/>
        </w:rPr>
      </w:pPr>
    </w:p>
    <w:p>
      <w:pPr>
        <w:ind w:left="1660" w:hanging="518"/>
        <w:spacing w:after="0"/>
        <w:tabs>
          <w:tab w:leader="none" w:pos="1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48" w:lineRule="exact"/>
        <w:rPr>
          <w:rFonts w:ascii="Arial" w:cs="Arial" w:eastAsia="Arial" w:hAnsi="Arial"/>
          <w:sz w:val="16"/>
          <w:szCs w:val="16"/>
          <w:color w:val="auto"/>
        </w:rPr>
      </w:pPr>
    </w:p>
    <w:p>
      <w:pPr>
        <w:ind w:left="1660" w:hanging="518"/>
        <w:spacing w:after="0"/>
        <w:tabs>
          <w:tab w:leader="none" w:pos="1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w:t>
      </w:r>
    </w:p>
    <w:p>
      <w:pPr>
        <w:spacing w:after="0" w:line="265" w:lineRule="exact"/>
        <w:rPr>
          <w:sz w:val="20"/>
          <w:szCs w:val="20"/>
          <w:color w:val="auto"/>
        </w:rPr>
      </w:pPr>
    </w:p>
    <w:p>
      <w:pPr>
        <w:ind w:left="20"/>
        <w:spacing w:after="0"/>
        <w:tabs>
          <w:tab w:leader="none" w:pos="800" w:val="left"/>
          <w:tab w:leader="none" w:pos="84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29th day of July, 2020</w:t>
      </w:r>
      <w:r>
        <w:rPr>
          <w:sz w:val="20"/>
          <w:szCs w:val="20"/>
          <w:color w:val="auto"/>
        </w:rPr>
        <w:tab/>
      </w:r>
      <w:r>
        <w:rPr>
          <w:rFonts w:ascii="Arial" w:cs="Arial" w:eastAsia="Arial" w:hAnsi="Arial"/>
          <w:sz w:val="15"/>
          <w:szCs w:val="15"/>
          <w:color w:val="auto"/>
        </w:rPr>
        <w:t>/s/ Stephen P. Joyce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31750</wp:posOffset>
            </wp:positionV>
            <wp:extent cx="223710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28" w:lineRule="exact"/>
        <w:rPr>
          <w:sz w:val="20"/>
          <w:szCs w:val="20"/>
          <w:color w:val="auto"/>
        </w:rPr>
      </w:pPr>
    </w:p>
    <w:p>
      <w:pPr>
        <w:jc w:val="center"/>
        <w:ind w:left="7160"/>
        <w:spacing w:after="0"/>
        <w:rPr>
          <w:sz w:val="20"/>
          <w:szCs w:val="20"/>
          <w:color w:val="auto"/>
        </w:rPr>
      </w:pPr>
      <w:r>
        <w:rPr>
          <w:rFonts w:ascii="Arial" w:cs="Arial" w:eastAsia="Arial" w:hAnsi="Arial"/>
          <w:sz w:val="18"/>
          <w:szCs w:val="18"/>
          <w:color w:val="auto"/>
        </w:rPr>
        <w:t>Stephen P. Joyce</w:t>
      </w:r>
    </w:p>
    <w:p>
      <w:pPr>
        <w:jc w:val="center"/>
        <w:ind w:left="7160"/>
        <w:spacing w:after="0" w:line="203" w:lineRule="auto"/>
        <w:rPr>
          <w:sz w:val="20"/>
          <w:szCs w:val="20"/>
          <w:color w:val="auto"/>
        </w:rPr>
      </w:pPr>
      <w:r>
        <w:rPr>
          <w:rFonts w:ascii="Arial" w:cs="Arial" w:eastAsia="Arial" w:hAnsi="Arial"/>
          <w:sz w:val="18"/>
          <w:szCs w:val="18"/>
          <w:i w:val="1"/>
          <w:iCs w:val="1"/>
          <w:color w:val="auto"/>
        </w:rPr>
        <w:t>Chief Executive Officer</w:t>
      </w:r>
    </w:p>
    <w:p>
      <w:pPr>
        <w:jc w:val="center"/>
        <w:ind w:left="7160"/>
        <w:spacing w:after="0"/>
        <w:rPr>
          <w:sz w:val="20"/>
          <w:szCs w:val="20"/>
          <w:color w:val="auto"/>
        </w:rPr>
      </w:pPr>
      <w:r>
        <w:rPr>
          <w:rFonts w:ascii="Arial" w:cs="Arial" w:eastAsia="Arial" w:hAnsi="Arial"/>
          <w:sz w:val="18"/>
          <w:szCs w:val="18"/>
          <w:i w:val="1"/>
          <w:iCs w:val="1"/>
          <w:color w:val="auto"/>
        </w:rPr>
        <w:t>(Principal Executive Officer)</w:t>
      </w:r>
    </w:p>
    <w:p>
      <w:pPr>
        <w:spacing w:after="0" w:line="31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 This certification shall not be deemed to be incorporated by reference into any filing under the Securities Act of 1933 or the Exchange Act except to the extent the Company expressly and specifically incorporates it by reference in such filing.</w:t>
      </w:r>
    </w:p>
    <w:p>
      <w:pPr>
        <w:sectPr>
          <w:pgSz w:w="11900" w:h="16838" w:orient="portrait"/>
          <w:cols w:equalWidth="0" w:num="1">
            <w:col w:w="11240"/>
          </w:cols>
          <w:pgMar w:left="320" w:top="891"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In connection with the Quarterly Report on Form 10-Q of Dine Brands Global, Inc. (the “Company”) for the quarter ended June 30, 2020, as filed with the Securities and Exchange Commission on the 29th day of July, 2020 (the “Report”), Thomas H. Song, as Chief Financial Officer of the Company, hereby certifies, pursuant to 18 U.S.C. Section 1350, as adopted pursuant to Section 906 of the Sarbanes-Oxley Act of 2002, to the best of his knowledge, that:</w:t>
      </w:r>
    </w:p>
    <w:p>
      <w:pPr>
        <w:spacing w:after="0" w:line="187" w:lineRule="exact"/>
        <w:rPr>
          <w:sz w:val="20"/>
          <w:szCs w:val="20"/>
          <w:color w:val="auto"/>
        </w:rPr>
      </w:pPr>
    </w:p>
    <w:p>
      <w:pPr>
        <w:ind w:left="1660" w:hanging="518"/>
        <w:spacing w:after="0"/>
        <w:tabs>
          <w:tab w:leader="none" w:pos="1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48" w:lineRule="exact"/>
        <w:rPr>
          <w:rFonts w:ascii="Arial" w:cs="Arial" w:eastAsia="Arial" w:hAnsi="Arial"/>
          <w:sz w:val="16"/>
          <w:szCs w:val="16"/>
          <w:color w:val="auto"/>
        </w:rPr>
      </w:pPr>
    </w:p>
    <w:p>
      <w:pPr>
        <w:ind w:left="1660" w:hanging="518"/>
        <w:spacing w:after="0"/>
        <w:tabs>
          <w:tab w:leader="none" w:pos="1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w:t>
      </w:r>
    </w:p>
    <w:p>
      <w:pPr>
        <w:spacing w:after="0" w:line="265" w:lineRule="exact"/>
        <w:rPr>
          <w:sz w:val="20"/>
          <w:szCs w:val="20"/>
          <w:color w:val="auto"/>
        </w:rPr>
      </w:pPr>
    </w:p>
    <w:p>
      <w:pPr>
        <w:ind w:left="20"/>
        <w:spacing w:after="0"/>
        <w:tabs>
          <w:tab w:leader="none" w:pos="820" w:val="left"/>
          <w:tab w:leader="none" w:pos="85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29th day of July, 2020</w:t>
      </w:r>
      <w:r>
        <w:rPr>
          <w:sz w:val="20"/>
          <w:szCs w:val="20"/>
          <w:color w:val="auto"/>
        </w:rPr>
        <w:tab/>
      </w:r>
      <w:r>
        <w:rPr>
          <w:rFonts w:ascii="Arial" w:cs="Arial" w:eastAsia="Arial" w:hAnsi="Arial"/>
          <w:sz w:val="16"/>
          <w:szCs w:val="16"/>
          <w:color w:val="auto"/>
        </w:rPr>
        <w:t>/s/ Thomas H. Song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31750</wp:posOffset>
            </wp:positionV>
            <wp:extent cx="221170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28" w:lineRule="exact"/>
        <w:rPr>
          <w:sz w:val="20"/>
          <w:szCs w:val="20"/>
          <w:color w:val="auto"/>
        </w:rPr>
      </w:pPr>
    </w:p>
    <w:p>
      <w:pPr>
        <w:jc w:val="center"/>
        <w:ind w:left="7220"/>
        <w:spacing w:after="0"/>
        <w:rPr>
          <w:sz w:val="20"/>
          <w:szCs w:val="20"/>
          <w:color w:val="auto"/>
        </w:rPr>
      </w:pPr>
      <w:r>
        <w:rPr>
          <w:rFonts w:ascii="Arial" w:cs="Arial" w:eastAsia="Arial" w:hAnsi="Arial"/>
          <w:sz w:val="18"/>
          <w:szCs w:val="18"/>
          <w:color w:val="auto"/>
        </w:rPr>
        <w:t>Thomas H. Song</w:t>
      </w:r>
    </w:p>
    <w:p>
      <w:pPr>
        <w:jc w:val="center"/>
        <w:ind w:left="7220"/>
        <w:spacing w:after="0" w:line="203" w:lineRule="auto"/>
        <w:rPr>
          <w:sz w:val="20"/>
          <w:szCs w:val="20"/>
          <w:color w:val="auto"/>
        </w:rPr>
      </w:pPr>
      <w:r>
        <w:rPr>
          <w:rFonts w:ascii="Arial" w:cs="Arial" w:eastAsia="Arial" w:hAnsi="Arial"/>
          <w:sz w:val="18"/>
          <w:szCs w:val="18"/>
          <w:i w:val="1"/>
          <w:iCs w:val="1"/>
          <w:color w:val="auto"/>
        </w:rPr>
        <w:t>Chief Financial Officer</w:t>
      </w:r>
    </w:p>
    <w:p>
      <w:pPr>
        <w:jc w:val="center"/>
        <w:ind w:left="7220"/>
        <w:spacing w:after="0" w:line="203" w:lineRule="auto"/>
        <w:rPr>
          <w:sz w:val="20"/>
          <w:szCs w:val="20"/>
          <w:color w:val="auto"/>
        </w:rPr>
      </w:pPr>
      <w:r>
        <w:rPr>
          <w:rFonts w:ascii="Arial" w:cs="Arial" w:eastAsia="Arial" w:hAnsi="Arial"/>
          <w:sz w:val="18"/>
          <w:szCs w:val="18"/>
          <w:i w:val="1"/>
          <w:iCs w:val="1"/>
          <w:color w:val="auto"/>
        </w:rPr>
        <w:t>(Principal Financial Officer and Principal</w:t>
      </w:r>
    </w:p>
    <w:p>
      <w:pPr>
        <w:spacing w:after="0" w:line="1" w:lineRule="exact"/>
        <w:rPr>
          <w:sz w:val="20"/>
          <w:szCs w:val="20"/>
          <w:color w:val="auto"/>
        </w:rPr>
      </w:pPr>
    </w:p>
    <w:p>
      <w:pPr>
        <w:jc w:val="center"/>
        <w:ind w:left="7220"/>
        <w:spacing w:after="0"/>
        <w:rPr>
          <w:sz w:val="20"/>
          <w:szCs w:val="20"/>
          <w:color w:val="auto"/>
        </w:rPr>
      </w:pPr>
      <w:r>
        <w:rPr>
          <w:rFonts w:ascii="Arial" w:cs="Arial" w:eastAsia="Arial" w:hAnsi="Arial"/>
          <w:sz w:val="18"/>
          <w:szCs w:val="18"/>
          <w:i w:val="1"/>
          <w:iCs w:val="1"/>
          <w:color w:val="auto"/>
        </w:rPr>
        <w:t>Accounting Officer)</w:t>
      </w:r>
    </w:p>
    <w:p>
      <w:pPr>
        <w:spacing w:after="0" w:line="31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 This certification shall not be deemed to be incorporated by reference into any filing under the Securities Act of 1933 or the Exchange Act except to the extent the Company expressly and specifically incorporates it by reference in such filing.</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lowerRoman"/>
      <w:start w:val="9"/>
    </w:lvl>
  </w:abstractNum>
  <w:abstractNum w:abstractNumId="3">
    <w:nsid w:val="3F2DBA31"/>
    <w:multiLevelType w:val="hybridMultilevel"/>
    <w:lvl w:ilvl="0">
      <w:lvlJc w:val="left"/>
      <w:lvlText w:val="%1."/>
      <w:numFmt w:val="decimal"/>
      <w:start w:val="3"/>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1."/>
      <w:numFmt w:val="decimal"/>
      <w:start w:val="6"/>
    </w:lvl>
  </w:abstractNum>
  <w:abstractNum w:abstractNumId="6">
    <w:nsid w:val="62BBD95A"/>
    <w:multiLevelType w:val="hybridMultilevel"/>
    <w:lvl w:ilvl="0">
      <w:lvlJc w:val="left"/>
      <w:lvlText w:val="%1."/>
      <w:numFmt w:val="decimal"/>
      <w:start w:val="6"/>
    </w:lvl>
  </w:abstractNum>
  <w:abstractNum w:abstractNumId="7">
    <w:nsid w:val="436C6125"/>
    <w:multiLevelType w:val="hybridMultilevel"/>
    <w:lvl w:ilvl="0">
      <w:lvlJc w:val="left"/>
      <w:lvlText w:val="(%1)"/>
      <w:numFmt w:val="decimal"/>
      <w:start w:val="1"/>
    </w:lvl>
  </w:abstractNum>
  <w:abstractNum w:abstractNumId="8">
    <w:nsid w:val="628C895D"/>
    <w:multiLevelType w:val="hybridMultilevel"/>
    <w:lvl w:ilvl="0">
      <w:lvlJc w:val="left"/>
      <w:lvlText w:val="(%1)"/>
      <w:numFmt w:val="decimal"/>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1)"/>
      <w:numFmt w:val="decimal"/>
      <w:start w:val="1"/>
    </w:lvl>
  </w:abstractNum>
  <w:abstractNum w:abstractNumId="14">
    <w:nsid w:val="75A2A8D4"/>
    <w:multiLevelType w:val="hybridMultilevel"/>
    <w:lvl w:ilvl="0">
      <w:lvlJc w:val="left"/>
      <w:lvlText w:val="%1"/>
      <w:numFmt w:val="lowerLetter"/>
      <w:start w:val="1"/>
    </w:lvl>
    <w:lvl w:ilvl="1">
      <w:lvlJc w:val="left"/>
      <w:lvlText w:val="(%2)"/>
      <w:numFmt w:val="lowerLetter"/>
      <w:start w:val="1"/>
    </w:lvl>
  </w:abstractNum>
  <w:abstractNum w:abstractNumId="15">
    <w:nsid w:val="8EDBDAB"/>
    <w:multiLevelType w:val="hybridMultilevel"/>
    <w:lvl w:ilvl="0">
      <w:lvlJc w:val="left"/>
      <w:lvlText w:val="(%1)"/>
      <w:numFmt w:val="lowerLetter"/>
      <w:start w:val="2"/>
    </w:lvl>
    <w:lvl w:ilvl="1">
      <w:lvlJc w:val="left"/>
      <w:lvlText w:val="%2"/>
      <w:numFmt w:val="lowerLetter"/>
      <w:start w:val="1"/>
    </w:lvl>
  </w:abstractNum>
  <w:abstractNum w:abstractNumId="16">
    <w:nsid w:val="79838CB2"/>
    <w:multiLevelType w:val="hybridMultilevel"/>
    <w:lvl w:ilvl="0">
      <w:lvlJc w:val="left"/>
      <w:lvlText w:val="(%1)"/>
      <w:numFmt w:val="lowerLetter"/>
      <w:start w:val="3"/>
    </w:lvl>
  </w:abstractNum>
  <w:abstractNum w:abstractNumId="17">
    <w:nsid w:val="4353D0CD"/>
    <w:multiLevelType w:val="hybridMultilevel"/>
    <w:lvl w:ilvl="0">
      <w:lvlJc w:val="left"/>
      <w:lvlText w:val="(%1)"/>
      <w:numFmt w:val="decimal"/>
      <w:start w:val="1"/>
    </w:lvl>
  </w:abstractNum>
  <w:abstractNum w:abstractNumId="18">
    <w:nsid w:val="B03E0C6"/>
    <w:multiLevelType w:val="hybridMultilevel"/>
    <w:lvl w:ilvl="0">
      <w:lvlJc w:val="left"/>
      <w:lvlText w:val="(%1)"/>
      <w:numFmt w:val="decimal"/>
      <w:start w:val="1"/>
    </w:lvl>
  </w:abstractNum>
  <w:abstractNum w:abstractNumId="19">
    <w:nsid w:val="189A769B"/>
    <w:multiLevelType w:val="hybridMultilevel"/>
    <w:lvl w:ilvl="0">
      <w:lvlJc w:val="left"/>
      <w:lvlText w:val="(%1)"/>
      <w:numFmt w:val="decimal"/>
      <w:start w:val="1"/>
    </w:lvl>
  </w:abstractNum>
  <w:abstractNum w:abstractNumId="20">
    <w:nsid w:val="54E49EB4"/>
    <w:multiLevelType w:val="hybridMultilevel"/>
    <w:lvl w:ilvl="0">
      <w:lvlJc w:val="left"/>
      <w:lvlText w:val="%1"/>
      <w:numFmt w:val="upperLetter"/>
      <w:start w:val="35"/>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1)"/>
      <w:numFmt w:val="lowerLetter"/>
      <w:start w:val="1"/>
    </w:lvl>
  </w:abstractNum>
  <w:abstractNum w:abstractNumId="23">
    <w:nsid w:val="836C40E"/>
    <w:multiLevelType w:val="hybridMultilevel"/>
    <w:lvl w:ilvl="0">
      <w:lvlJc w:val="left"/>
      <w:lvlText w:val="*"/>
      <w:numFmt w:val="bullet"/>
      <w:start w:val="1"/>
    </w:lvl>
    <w:lvl w:ilvl="1">
      <w:lvlJc w:val="left"/>
      <w:lvlText w:val="%2"/>
      <w:numFmt w:val="decimal"/>
      <w:start w:val="104"/>
    </w:lvl>
  </w:abstractNum>
  <w:abstractNum w:abstractNumId="24">
    <w:nsid w:val="2901D82"/>
    <w:multiLevelType w:val="hybridMultilevel"/>
    <w:lvl w:ilvl="0">
      <w:lvlJc w:val="left"/>
      <w:lvlText w:val="**"/>
      <w:numFmt w:val="bullet"/>
      <w:start w:val="1"/>
    </w:lvl>
    <w:lvl w:ilvl="1">
      <w:lvlJc w:val="left"/>
      <w:lvlText w:val="%2"/>
      <w:numFmt w:val="decimal"/>
      <w:start w:val="1"/>
    </w:lvl>
  </w:abstractNum>
  <w:abstractNum w:abstractNumId="25">
    <w:nsid w:val="3A95F874"/>
    <w:multiLevelType w:val="hybridMultilevel"/>
    <w:lvl w:ilvl="0">
      <w:lvlJc w:val="left"/>
      <w:lvlText w:val="***"/>
      <w:numFmt w:val="bullet"/>
      <w:start w:val="1"/>
    </w:lvl>
    <w:lvl w:ilvl="1">
      <w:lvlJc w:val="left"/>
      <w:lvlText w:val="%2"/>
      <w:numFmt w:val="decimal"/>
      <w:start w:val="1"/>
    </w:lvl>
  </w:abstractNum>
  <w:abstractNum w:abstractNumId="26">
    <w:nsid w:val="8138641"/>
    <w:multiLevelType w:val="hybridMultilevel"/>
    <w:lvl w:ilvl="0">
      <w:lvlJc w:val="left"/>
      <w:lvlText w:val="%1."/>
      <w:numFmt w:val="lowerLetter"/>
      <w:start w:val="1"/>
    </w:lvl>
  </w:abstractNum>
  <w:abstractNum w:abstractNumId="27">
    <w:nsid w:val="1E7FF521"/>
    <w:multiLevelType w:val="hybridMultilevel"/>
    <w:lvl w:ilvl="0">
      <w:lvlJc w:val="left"/>
      <w:lvlText w:val="%1."/>
      <w:numFmt w:val="lowerLetter"/>
      <w:start w:val="2"/>
    </w:lvl>
  </w:abstractNum>
  <w:abstractNum w:abstractNumId="28">
    <w:nsid w:val="7C3DBD3D"/>
    <w:multiLevelType w:val="hybridMultilevel"/>
    <w:lvl w:ilvl="0">
      <w:lvlJc w:val="left"/>
      <w:lvlText w:val="%1."/>
      <w:numFmt w:val="lowerLetter"/>
      <w:start w:val="3"/>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2020-07-29T07:30:23Z</dcterms:created>
  <dcterms:modified xsi:type="dcterms:W3CDTF">2020-07-29T07:30:23Z</dcterms:modified>
</cp:coreProperties>
</file>