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ind w:right="640" w:firstLine="8"/>
        <w:spacing w:after="0" w:line="230" w:lineRule="auto"/>
        <w:tabs>
          <w:tab w:leader="none" w:pos="432"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79"/>
        <w:spacing w:after="0" w:line="220" w:lineRule="auto"/>
        <w:rPr>
          <w:sz w:val="20"/>
          <w:szCs w:val="20"/>
          <w:color w:val="auto"/>
        </w:rPr>
      </w:pPr>
      <w:r>
        <w:rPr>
          <w:rFonts w:ascii="Arial" w:cs="Arial" w:eastAsia="Arial" w:hAnsi="Arial"/>
          <w:sz w:val="18"/>
          <w:szCs w:val="18"/>
          <w:b w:val="1"/>
          <w:bCs w:val="1"/>
          <w:color w:val="auto"/>
        </w:rPr>
        <w:t>For the quarterly period ended September 30, 2023</w:t>
      </w:r>
    </w:p>
    <w:p>
      <w:pPr>
        <w:jc w:val="center"/>
        <w:ind w:right="-79"/>
        <w:spacing w:after="0" w:line="219"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right="320" w:firstLine="8"/>
        <w:spacing w:after="0" w:line="211" w:lineRule="auto"/>
        <w:tabs>
          <w:tab w:leader="none" w:pos="391"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6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0</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0</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880"/>
        <w:spacing w:after="0"/>
        <w:rPr>
          <w:sz w:val="20"/>
          <w:szCs w:val="20"/>
          <w:color w:val="auto"/>
        </w:rPr>
      </w:pPr>
      <w:r>
        <w:rPr>
          <w:rFonts w:ascii="Arial" w:cs="Arial" w:eastAsia="Arial" w:hAnsi="Arial"/>
          <w:sz w:val="32"/>
          <w:szCs w:val="32"/>
          <w:b w:val="1"/>
          <w:bCs w:val="1"/>
          <w:color w:val="auto"/>
        </w:rPr>
        <w:t>Dine Brands Global, Inc.</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700" w:type="dxa"/>
            <w:vAlign w:val="bottom"/>
          </w:tcPr>
          <w:p>
            <w:pPr>
              <w:jc w:val="center"/>
              <w:ind w:right="73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719"/>
              <w:spacing w:after="0"/>
              <w:rPr>
                <w:sz w:val="20"/>
                <w:szCs w:val="20"/>
                <w:color w:val="auto"/>
              </w:rPr>
            </w:pPr>
            <w:r>
              <w:rPr>
                <w:rFonts w:ascii="Arial" w:cs="Arial" w:eastAsia="Arial" w:hAnsi="Arial"/>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760" w:type="dxa"/>
            <w:vAlign w:val="bottom"/>
          </w:tcPr>
          <w:p>
            <w:pPr>
              <w:jc w:val="center"/>
              <w:ind w:left="319"/>
              <w:spacing w:after="0"/>
              <w:rPr>
                <w:sz w:val="20"/>
                <w:szCs w:val="20"/>
                <w:color w:val="auto"/>
              </w:rPr>
            </w:pPr>
            <w:r>
              <w:rPr>
                <w:rFonts w:ascii="Arial" w:cs="Arial" w:eastAsia="Arial" w:hAnsi="Arial"/>
                <w:sz w:val="16"/>
                <w:szCs w:val="16"/>
                <w:color w:val="auto"/>
                <w:w w:val="95"/>
              </w:rPr>
              <w:t>(I.R.S. Employer Identification No.)</w:t>
            </w:r>
          </w:p>
        </w:tc>
      </w:tr>
      <w:tr>
        <w:trPr>
          <w:trHeight w:val="216"/>
        </w:trPr>
        <w:tc>
          <w:tcPr>
            <w:tcW w:w="4700" w:type="dxa"/>
            <w:vAlign w:val="bottom"/>
          </w:tcPr>
          <w:p>
            <w:pPr>
              <w:jc w:val="center"/>
              <w:ind w:right="739"/>
              <w:spacing w:after="0"/>
              <w:rPr>
                <w:sz w:val="20"/>
                <w:szCs w:val="20"/>
                <w:color w:val="auto"/>
              </w:rPr>
            </w:pPr>
            <w:r>
              <w:rPr>
                <w:rFonts w:ascii="Arial" w:cs="Arial" w:eastAsia="Arial" w:hAnsi="Arial"/>
                <w:sz w:val="16"/>
                <w:szCs w:val="16"/>
                <w:b w:val="1"/>
                <w:bCs w:val="1"/>
                <w:color w:val="auto"/>
                <w:w w:val="92"/>
              </w:rPr>
              <w:t>10 West Walnut Street, 5th Floor</w:t>
            </w:r>
          </w:p>
        </w:tc>
        <w:tc>
          <w:tcPr>
            <w:tcW w:w="2760" w:type="dxa"/>
            <w:vAlign w:val="bottom"/>
          </w:tcPr>
          <w:p>
            <w:pPr>
              <w:jc w:val="right"/>
              <w:ind w:right="899"/>
              <w:spacing w:after="0"/>
              <w:rPr>
                <w:sz w:val="20"/>
                <w:szCs w:val="20"/>
                <w:color w:val="auto"/>
              </w:rPr>
            </w:pPr>
            <w:r>
              <w:rPr>
                <w:rFonts w:ascii="Arial" w:cs="Arial" w:eastAsia="Arial" w:hAnsi="Arial"/>
                <w:sz w:val="16"/>
                <w:szCs w:val="16"/>
                <w:b w:val="1"/>
                <w:bCs w:val="1"/>
                <w:color w:val="auto"/>
              </w:rPr>
              <w:t>91103</w:t>
            </w:r>
          </w:p>
        </w:tc>
      </w:tr>
      <w:tr>
        <w:trPr>
          <w:trHeight w:val="216"/>
        </w:trPr>
        <w:tc>
          <w:tcPr>
            <w:tcW w:w="4700" w:type="dxa"/>
            <w:vAlign w:val="bottom"/>
          </w:tcPr>
          <w:p>
            <w:pPr>
              <w:jc w:val="right"/>
              <w:ind w:right="2279"/>
              <w:spacing w:after="0"/>
              <w:rPr>
                <w:sz w:val="20"/>
                <w:szCs w:val="20"/>
                <w:color w:val="auto"/>
              </w:rPr>
            </w:pPr>
            <w:r>
              <w:rPr>
                <w:rFonts w:ascii="Arial" w:cs="Arial" w:eastAsia="Arial" w:hAnsi="Arial"/>
                <w:sz w:val="16"/>
                <w:szCs w:val="16"/>
                <w:b w:val="1"/>
                <w:bCs w:val="1"/>
                <w:color w:val="auto"/>
              </w:rPr>
              <w:t>Pasadena CA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jc w:val="center"/>
              <w:ind w:left="319"/>
              <w:spacing w:after="0"/>
              <w:rPr>
                <w:sz w:val="20"/>
                <w:szCs w:val="20"/>
                <w:color w:val="auto"/>
              </w:rPr>
            </w:pPr>
            <w:r>
              <w:rPr>
                <w:rFonts w:ascii="Arial" w:cs="Arial" w:eastAsia="Arial" w:hAnsi="Arial"/>
                <w:sz w:val="16"/>
                <w:szCs w:val="16"/>
                <w:color w:val="auto"/>
                <w:w w:val="95"/>
              </w:rPr>
              <w:t>(Zip Code)</w:t>
            </w:r>
          </w:p>
        </w:tc>
      </w:tr>
      <w:tr>
        <w:trPr>
          <w:trHeight w:val="351"/>
        </w:trPr>
        <w:tc>
          <w:tcPr>
            <w:tcW w:w="4700" w:type="dxa"/>
            <w:vAlign w:val="bottom"/>
          </w:tcPr>
          <w:p>
            <w:pPr>
              <w:jc w:val="right"/>
              <w:ind w:right="319"/>
              <w:spacing w:after="0"/>
              <w:rPr>
                <w:sz w:val="20"/>
                <w:szCs w:val="20"/>
                <w:color w:val="auto"/>
              </w:rPr>
            </w:pPr>
            <w:r>
              <w:rPr>
                <w:rFonts w:ascii="Arial" w:cs="Arial" w:eastAsia="Arial" w:hAnsi="Arial"/>
                <w:sz w:val="16"/>
                <w:szCs w:val="16"/>
                <w:b w:val="1"/>
                <w:bCs w:val="1"/>
                <w:color w:val="auto"/>
              </w:rPr>
              <w:t>(818) 240-6055</w:t>
            </w:r>
          </w:p>
        </w:tc>
        <w:tc>
          <w:tcPr>
            <w:tcW w:w="2760" w:type="dxa"/>
            <w:vAlign w:val="bottom"/>
          </w:tcPr>
          <w:p>
            <w:pPr>
              <w:spacing w:after="0"/>
              <w:rPr>
                <w:sz w:val="24"/>
                <w:szCs w:val="24"/>
                <w:color w:val="auto"/>
              </w:rPr>
            </w:pPr>
          </w:p>
        </w:tc>
      </w:tr>
    </w:tbl>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1"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2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Common Stock, $0.01 par value</w:t>
            </w:r>
          </w:p>
        </w:tc>
        <w:tc>
          <w:tcPr>
            <w:tcW w:w="2780" w:type="dxa"/>
            <w:vAlign w:val="bottom"/>
          </w:tcPr>
          <w:p>
            <w:pPr>
              <w:jc w:val="center"/>
              <w:spacing w:after="0"/>
              <w:rPr>
                <w:sz w:val="20"/>
                <w:szCs w:val="20"/>
                <w:color w:val="auto"/>
              </w:rPr>
            </w:pPr>
            <w:r>
              <w:rPr>
                <w:rFonts w:ascii="Arial" w:cs="Arial" w:eastAsia="Arial" w:hAnsi="Arial"/>
                <w:sz w:val="16"/>
                <w:szCs w:val="16"/>
                <w:color w:val="auto"/>
              </w:rPr>
              <w:t>DIN</w:t>
            </w:r>
          </w:p>
        </w:tc>
        <w:tc>
          <w:tcPr>
            <w:tcW w:w="420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62" w:lineRule="exact"/>
        <w:rPr>
          <w:sz w:val="24"/>
          <w:szCs w:val="24"/>
          <w:color w:val="auto"/>
        </w:rPr>
      </w:pPr>
    </w:p>
    <w:p>
      <w:pPr>
        <w:ind w:right="28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right="300" w:firstLine="45"/>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20" w:firstLine="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124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2" w:lineRule="exact"/>
        <w:rPr>
          <w:sz w:val="24"/>
          <w:szCs w:val="24"/>
          <w:color w:val="auto"/>
        </w:rPr>
      </w:pPr>
    </w:p>
    <w:p>
      <w:pPr>
        <w:ind w:right="14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00" w:right="2520" w:hanging="89"/>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25, 2023, the Registrant had 15,443,006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Index</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2" w:lineRule="exact"/>
              <w:rPr>
                <w:sz w:val="20"/>
                <w:szCs w:val="20"/>
                <w:color w:val="auto"/>
              </w:rPr>
            </w:pPr>
            <w:r>
              <w:rPr>
                <w:rFonts w:ascii="Arial" w:cs="Arial" w:eastAsia="Arial" w:hAnsi="Arial"/>
                <w:sz w:val="18"/>
                <w:szCs w:val="18"/>
                <w:b w:val="1"/>
                <w:bCs w:val="1"/>
                <w:color w:val="0000FF"/>
              </w:rPr>
              <w:t>PART I.</w:t>
            </w:r>
          </w:p>
        </w:tc>
        <w:tc>
          <w:tcPr>
            <w:tcW w:w="8560" w:type="dxa"/>
            <w:vAlign w:val="bottom"/>
            <w:gridSpan w:val="21"/>
          </w:tcPr>
          <w:p>
            <w:pPr>
              <w:spacing w:after="0" w:line="182" w:lineRule="exact"/>
              <w:rPr>
                <w:sz w:val="20"/>
                <w:szCs w:val="20"/>
                <w:color w:val="auto"/>
              </w:rPr>
            </w:pPr>
            <w:r>
              <w:rPr>
                <w:rFonts w:ascii="Arial" w:cs="Arial" w:eastAsia="Arial" w:hAnsi="Arial"/>
                <w:sz w:val="18"/>
                <w:szCs w:val="18"/>
                <w:color w:val="0000FF"/>
              </w:rPr>
              <w:t>FINANCIAL INFORMATION</w:t>
            </w:r>
          </w:p>
        </w:tc>
        <w:tc>
          <w:tcPr>
            <w:tcW w:w="1020" w:type="dxa"/>
            <w:vAlign w:val="bottom"/>
            <w:gridSpan w:val="3"/>
          </w:tcPr>
          <w:p>
            <w:pPr>
              <w:jc w:val="right"/>
              <w:spacing w:after="0" w:line="182"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10"/>
        </w:trPr>
        <w:tc>
          <w:tcPr>
            <w:tcW w:w="6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1—Financial Statements</w:t>
            </w:r>
          </w:p>
        </w:tc>
        <w:tc>
          <w:tcPr>
            <w:tcW w:w="100" w:type="dxa"/>
            <w:vAlign w:val="bottom"/>
            <w:tcBorders>
              <w:top w:val="single" w:sz="8" w:color="0000FF"/>
            </w:tcBorders>
          </w:tcPr>
          <w:p>
            <w:pPr>
              <w:spacing w:after="0"/>
              <w:rPr>
                <w:sz w:val="18"/>
                <w:szCs w:val="18"/>
                <w:color w:val="auto"/>
              </w:rPr>
            </w:pPr>
          </w:p>
        </w:tc>
        <w:tc>
          <w:tcPr>
            <w:tcW w:w="6300" w:type="dxa"/>
            <w:vAlign w:val="bottom"/>
            <w:gridSpan w:val="10"/>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Consolidated Balance Sheets - September 30, 2023 (unaudited) and December 31, 2022</w:t>
            </w:r>
          </w:p>
        </w:tc>
        <w:tc>
          <w:tcPr>
            <w:tcW w:w="2060" w:type="dxa"/>
            <w:vAlign w:val="bottom"/>
            <w:gridSpan w:val="5"/>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20"/>
          </w:tcPr>
          <w:p>
            <w:pPr>
              <w:spacing w:after="0"/>
              <w:rPr>
                <w:sz w:val="20"/>
                <w:szCs w:val="20"/>
                <w:color w:val="auto"/>
              </w:rPr>
            </w:pPr>
            <w:r>
              <w:rPr>
                <w:rFonts w:ascii="Arial" w:cs="Arial" w:eastAsia="Arial" w:hAnsi="Arial"/>
                <w:sz w:val="18"/>
                <w:szCs w:val="18"/>
                <w:color w:val="0000FF"/>
                <w:w w:val="93"/>
              </w:rPr>
              <w:t>Consolidated Statements of Comprehensive Income (unaudited) - Three and Nine Months Ended September 30,</w:t>
            </w:r>
          </w:p>
        </w:tc>
        <w:tc>
          <w:tcPr>
            <w:tcW w:w="102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82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2023 and 2022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80" w:type="dxa"/>
            <w:vAlign w:val="bottom"/>
            <w:gridSpan w:val="20"/>
          </w:tcPr>
          <w:p>
            <w:pPr>
              <w:spacing w:after="0" w:line="203" w:lineRule="exact"/>
              <w:rPr>
                <w:sz w:val="20"/>
                <w:szCs w:val="20"/>
                <w:color w:val="auto"/>
              </w:rPr>
            </w:pPr>
            <w:r>
              <w:rPr>
                <w:rFonts w:ascii="Arial" w:cs="Arial" w:eastAsia="Arial" w:hAnsi="Arial"/>
                <w:sz w:val="18"/>
                <w:szCs w:val="18"/>
                <w:color w:val="0000FF"/>
                <w:w w:val="91"/>
              </w:rPr>
              <w:t>Consolidated Statements of Stockholders' Deficit (unaudited) - Three and Nine Months Ended September 30, 2023</w:t>
            </w:r>
          </w:p>
        </w:tc>
        <w:tc>
          <w:tcPr>
            <w:tcW w:w="102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and 2022</w:t>
            </w: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Consolidated Statements of Cash Flows (unaudited) - Nine Months Ended September 30, 2023 and 2022</w:t>
            </w:r>
          </w:p>
        </w:tc>
        <w:tc>
          <w:tcPr>
            <w:tcW w:w="840" w:type="dxa"/>
            <w:vAlign w:val="bottom"/>
            <w:gridSpan w:val="3"/>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Notes to Consolidated Financial Statements (unaudited)</w:t>
            </w:r>
          </w:p>
        </w:tc>
        <w:tc>
          <w:tcPr>
            <w:tcW w:w="4360" w:type="dxa"/>
            <w:vAlign w:val="bottom"/>
            <w:gridSpan w:val="7"/>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17"/>
          </w:tcPr>
          <w:p>
            <w:pPr>
              <w:spacing w:after="0"/>
              <w:rPr>
                <w:sz w:val="20"/>
                <w:szCs w:val="20"/>
                <w:color w:val="auto"/>
              </w:rPr>
            </w:pPr>
            <w:r>
              <w:rPr>
                <w:rFonts w:ascii="Arial" w:cs="Arial" w:eastAsia="Arial" w:hAnsi="Arial"/>
                <w:sz w:val="18"/>
                <w:szCs w:val="18"/>
                <w:color w:val="0000FF"/>
                <w:w w:val="91"/>
              </w:rPr>
              <w:t>Item 2—Management’s Discussion and Analysis of Financial Condition and Results of Operations</w:t>
            </w:r>
          </w:p>
        </w:tc>
        <w:tc>
          <w:tcPr>
            <w:tcW w:w="1440" w:type="dxa"/>
            <w:vAlign w:val="bottom"/>
            <w:gridSpan w:val="4"/>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17"/>
          </w:tcPr>
          <w:p>
            <w:pPr>
              <w:spacing w:after="0"/>
              <w:rPr>
                <w:sz w:val="20"/>
                <w:szCs w:val="20"/>
                <w:color w:val="auto"/>
              </w:rPr>
            </w:pPr>
            <w:r>
              <w:rPr>
                <w:rFonts w:ascii="Arial" w:cs="Arial" w:eastAsia="Arial" w:hAnsi="Arial"/>
                <w:sz w:val="18"/>
                <w:szCs w:val="18"/>
                <w:color w:val="0000FF"/>
              </w:rPr>
              <w:t>Item 3—Quantitative and Qualitative Disclosures about Market Risk</w:t>
            </w:r>
          </w:p>
        </w:tc>
        <w:tc>
          <w:tcPr>
            <w:tcW w:w="1440" w:type="dxa"/>
            <w:vAlign w:val="bottom"/>
            <w:gridSpan w:val="4"/>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8"/>
              </w:rPr>
              <w:t>PART II.</w:t>
            </w:r>
          </w:p>
        </w:tc>
        <w:tc>
          <w:tcPr>
            <w:tcW w:w="300" w:type="dxa"/>
            <w:vAlign w:val="bottom"/>
            <w:vMerge w:val="restart"/>
          </w:tcPr>
          <w:p>
            <w:pPr>
              <w:spacing w:after="0"/>
              <w:rPr>
                <w:sz w:val="18"/>
                <w:szCs w:val="18"/>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0000FF"/>
              </w:rPr>
              <w:t>Item 4—Controls and Procedures</w:t>
            </w:r>
          </w:p>
        </w:tc>
        <w:tc>
          <w:tcPr>
            <w:tcW w:w="3600" w:type="dxa"/>
            <w:vAlign w:val="bottom"/>
            <w:gridSpan w:val="6"/>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70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900" w:type="dxa"/>
            <w:vAlign w:val="bottom"/>
            <w:gridSpan w:val="8"/>
          </w:tcPr>
          <w:p>
            <w:pPr>
              <w:spacing w:after="0"/>
              <w:rPr>
                <w:sz w:val="20"/>
                <w:szCs w:val="20"/>
                <w:color w:val="auto"/>
              </w:rPr>
            </w:pPr>
            <w:r>
              <w:rPr>
                <w:rFonts w:ascii="Arial" w:cs="Arial" w:eastAsia="Arial" w:hAnsi="Arial"/>
                <w:sz w:val="18"/>
                <w:szCs w:val="18"/>
                <w:color w:val="0000FF"/>
                <w:w w:val="96"/>
              </w:rPr>
              <w:t>OTHER INFORMATION</w:t>
            </w:r>
          </w:p>
        </w:tc>
        <w:tc>
          <w:tcPr>
            <w:tcW w:w="520" w:type="dxa"/>
            <w:vAlign w:val="bottom"/>
            <w:gridSpan w:val="4"/>
          </w:tcPr>
          <w:p>
            <w:pPr>
              <w:spacing w:after="0"/>
              <w:rPr>
                <w:sz w:val="18"/>
                <w:szCs w:val="18"/>
                <w:color w:val="auto"/>
              </w:rPr>
            </w:pPr>
          </w:p>
        </w:tc>
        <w:tc>
          <w:tcPr>
            <w:tcW w:w="6140" w:type="dxa"/>
            <w:vAlign w:val="bottom"/>
            <w:gridSpan w:val="9"/>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Item 1—Legal Proceedings</w:t>
            </w: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9"/>
          </w:tcPr>
          <w:p>
            <w:pPr>
              <w:spacing w:after="0"/>
              <w:rPr>
                <w:sz w:val="20"/>
                <w:szCs w:val="20"/>
                <w:color w:val="auto"/>
              </w:rPr>
            </w:pPr>
            <w:r>
              <w:rPr>
                <w:rFonts w:ascii="Arial" w:cs="Arial" w:eastAsia="Arial" w:hAnsi="Arial"/>
                <w:sz w:val="18"/>
                <w:szCs w:val="18"/>
                <w:color w:val="0000FF"/>
              </w:rPr>
              <w:t>Item 1A—Risk Factors</w:t>
            </w:r>
          </w:p>
        </w:tc>
        <w:tc>
          <w:tcPr>
            <w:tcW w:w="6600" w:type="dxa"/>
            <w:vAlign w:val="bottom"/>
            <w:gridSpan w:val="12"/>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Item 2—Unregistered Sales of Equity Securities and Use of Proceeds</w:t>
            </w: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13"/>
          </w:tcPr>
          <w:p>
            <w:pPr>
              <w:spacing w:after="0"/>
              <w:rPr>
                <w:sz w:val="20"/>
                <w:szCs w:val="20"/>
                <w:color w:val="auto"/>
              </w:rPr>
            </w:pPr>
            <w:r>
              <w:rPr>
                <w:rFonts w:ascii="Arial" w:cs="Arial" w:eastAsia="Arial" w:hAnsi="Arial"/>
                <w:sz w:val="18"/>
                <w:szCs w:val="18"/>
                <w:color w:val="0000FF"/>
                <w:w w:val="91"/>
              </w:rPr>
              <w:t>Item 3—Defaults Upon Senior Securities</w:t>
            </w:r>
          </w:p>
        </w:tc>
        <w:tc>
          <w:tcPr>
            <w:tcW w:w="1980" w:type="dxa"/>
            <w:vAlign w:val="bottom"/>
            <w:gridSpan w:val="2"/>
          </w:tcPr>
          <w:p>
            <w:pPr>
              <w:spacing w:after="0"/>
              <w:rPr>
                <w:sz w:val="18"/>
                <w:szCs w:val="18"/>
                <w:color w:val="auto"/>
              </w:rPr>
            </w:pPr>
          </w:p>
        </w:tc>
        <w:tc>
          <w:tcPr>
            <w:tcW w:w="3600" w:type="dxa"/>
            <w:vAlign w:val="bottom"/>
            <w:gridSpan w:val="6"/>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13"/>
          </w:tcPr>
          <w:p>
            <w:pPr>
              <w:spacing w:after="0"/>
              <w:rPr>
                <w:sz w:val="20"/>
                <w:szCs w:val="20"/>
                <w:color w:val="auto"/>
              </w:rPr>
            </w:pPr>
            <w:r>
              <w:rPr>
                <w:rFonts w:ascii="Arial" w:cs="Arial" w:eastAsia="Arial" w:hAnsi="Arial"/>
                <w:sz w:val="18"/>
                <w:szCs w:val="18"/>
                <w:color w:val="0000FF"/>
              </w:rPr>
              <w:t>Item 4—Mine Safety Disclosures</w:t>
            </w:r>
          </w:p>
        </w:tc>
        <w:tc>
          <w:tcPr>
            <w:tcW w:w="5580" w:type="dxa"/>
            <w:vAlign w:val="bottom"/>
            <w:gridSpan w:val="8"/>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12"/>
          </w:tcPr>
          <w:p>
            <w:pPr>
              <w:spacing w:after="0"/>
              <w:rPr>
                <w:sz w:val="20"/>
                <w:szCs w:val="20"/>
                <w:color w:val="auto"/>
              </w:rPr>
            </w:pPr>
            <w:r>
              <w:rPr>
                <w:rFonts w:ascii="Arial" w:cs="Arial" w:eastAsia="Arial" w:hAnsi="Arial"/>
                <w:sz w:val="18"/>
                <w:szCs w:val="18"/>
                <w:color w:val="0000FF"/>
              </w:rPr>
              <w:t>Item 5—Other Information</w:t>
            </w:r>
          </w:p>
        </w:tc>
        <w:tc>
          <w:tcPr>
            <w:tcW w:w="6140" w:type="dxa"/>
            <w:vAlign w:val="bottom"/>
            <w:gridSpan w:val="9"/>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0000FF"/>
                <w:w w:val="94"/>
              </w:rPr>
              <w:t>Item 6—Exhibits</w:t>
            </w:r>
          </w:p>
        </w:tc>
        <w:tc>
          <w:tcPr>
            <w:tcW w:w="700" w:type="dxa"/>
            <w:vAlign w:val="bottom"/>
            <w:gridSpan w:val="4"/>
          </w:tcPr>
          <w:p>
            <w:pPr>
              <w:spacing w:after="0"/>
              <w:rPr>
                <w:sz w:val="18"/>
                <w:szCs w:val="18"/>
                <w:color w:val="auto"/>
              </w:rPr>
            </w:pPr>
          </w:p>
        </w:tc>
        <w:tc>
          <w:tcPr>
            <w:tcW w:w="6600" w:type="dxa"/>
            <w:vAlign w:val="bottom"/>
            <w:gridSpan w:val="12"/>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7300" w:type="dxa"/>
            <w:vAlign w:val="bottom"/>
            <w:gridSpan w:val="16"/>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pandemics, epidemics, or other serious incidents; our success with development initiatives outside of our core business; the adequacy of our internal controls over financial reporting and future changes in accounting standards; and other factors discussed from time to time in the "Risk Factors" section of the Corporation's Annual Report on Form 10-K for the fiscal year ended December 31, 2022 and in the Corporation's other filings with the Securities and Exchange Commission, many of which are beyond our control.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2023 began on January 2, 2023 and ended on April 2, 2023; the second fiscal quarter of 2023 ended on July 2, 2023; and the third fiscal quarter of 2023 ended October 1, 2023. The first fiscal quarter of 2022 began on January 3, 2022 and ended on April 3, 2022; the second quarter of 2022 ended on July 3, 2022; and the third fiscal quarter of 2022 ended on October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Dine Brands Global, Inc. and Subsidiaries</w:t>
      </w:r>
    </w:p>
    <w:p>
      <w:pPr>
        <w:jc w:val="center"/>
        <w:ind w:right="-99"/>
        <w:spacing w:after="0" w:line="211" w:lineRule="auto"/>
        <w:rPr>
          <w:sz w:val="20"/>
          <w:szCs w:val="20"/>
          <w:color w:val="auto"/>
        </w:rPr>
      </w:pPr>
      <w:r>
        <w:rPr>
          <w:rFonts w:ascii="Arial" w:cs="Arial" w:eastAsia="Arial" w:hAnsi="Arial"/>
          <w:sz w:val="16"/>
          <w:szCs w:val="16"/>
          <w:b w:val="1"/>
          <w:bCs w:val="1"/>
          <w:color w:val="auto"/>
        </w:rPr>
        <w:t>Consolidated Balance Sheets</w:t>
      </w:r>
    </w:p>
    <w:p>
      <w:pPr>
        <w:jc w:val="center"/>
        <w:ind w:right="-9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September 30,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209"/>
        </w:trPr>
        <w:tc>
          <w:tcPr>
            <w:tcW w:w="7300" w:type="dxa"/>
            <w:vAlign w:val="bottom"/>
          </w:tcPr>
          <w:p>
            <w:pPr>
              <w:ind w:left="326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(Unaudited)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269,655</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Receivables, net of allowance of $5,433 (2023) and $4,806 (2022)</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119,981</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38,929</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Prepaid gift card costs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30,235</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income taxes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17,901</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479,764</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Non-current restricted cash</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16,400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145,277</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283,854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289,123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rent receivable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42,329</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Long-term receivables, net of allowance of $5,152 (2023) and $5,529 (2022)</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35,678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39,697</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253,956</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588,692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597,028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17,917</w:t>
            </w:r>
          </w:p>
        </w:tc>
        <w:tc>
          <w:tcPr>
            <w:tcW w:w="0" w:type="dxa"/>
            <w:vAlign w:val="bottom"/>
          </w:tcPr>
          <w:p>
            <w:pPr>
              <w:spacing w:after="0"/>
              <w:rPr>
                <w:sz w:val="1"/>
                <w:szCs w:val="1"/>
                <w:color w:val="auto"/>
              </w:rPr>
            </w:pPr>
          </w:p>
        </w:tc>
      </w:tr>
      <w:tr>
        <w:trPr>
          <w:trHeight w:val="212"/>
        </w:trPr>
        <w:tc>
          <w:tcPr>
            <w:tcW w:w="73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1,659,581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1,881,491</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ind w:left="2240"/>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28,880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52,067</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liability</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171,966</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Current maturities of operating lease obligations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58,764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59,071</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 maturities of finance lease and financing obligations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7,542</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Accrued employee compensation and benefits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19,970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23,456</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advertising expenses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24,157</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16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8,017</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24,446</w:t>
            </w:r>
          </w:p>
        </w:tc>
        <w:tc>
          <w:tcPr>
            <w:tcW w:w="0" w:type="dxa"/>
            <w:vAlign w:val="bottom"/>
          </w:tcPr>
          <w:p>
            <w:pPr>
              <w:spacing w:after="0"/>
              <w:rPr>
                <w:sz w:val="1"/>
                <w:szCs w:val="1"/>
                <w:color w:val="auto"/>
              </w:rPr>
            </w:pPr>
          </w:p>
        </w:tc>
      </w:tr>
      <w:tr>
        <w:trPr>
          <w:trHeight w:val="207"/>
        </w:trPr>
        <w:tc>
          <w:tcPr>
            <w:tcW w:w="73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384,337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470,722</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less current maturities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1,241,914</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Operating lease obligations, less current maturities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276,817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275,120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 less current maturities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30,377</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Financing obligations, less current maturities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28,358</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74,651</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Deferred franchise revenue, long-term</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42,343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0" w:type="dxa"/>
            <w:vAlign w:val="bottom"/>
          </w:tcPr>
          <w:p>
            <w:pPr>
              <w:spacing w:after="0"/>
              <w:rPr>
                <w:sz w:val="1"/>
                <w:szCs w:val="1"/>
                <w:color w:val="auto"/>
              </w:rPr>
            </w:pPr>
          </w:p>
        </w:tc>
      </w:tr>
      <w:tr>
        <w:trPr>
          <w:trHeight w:val="206"/>
        </w:trPr>
        <w:tc>
          <w:tcPr>
            <w:tcW w:w="73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1,933,287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2,182,575</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$1 par value, 10,000,000 shares authorized; no shares issued and outstanding</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300" w:type="dxa"/>
            <w:vAlign w:val="bottom"/>
          </w:tcPr>
          <w:p>
            <w:pPr>
              <w:ind w:left="120"/>
              <w:spacing w:after="0" w:line="166" w:lineRule="exact"/>
              <w:rPr>
                <w:sz w:val="20"/>
                <w:szCs w:val="20"/>
                <w:color w:val="auto"/>
              </w:rPr>
            </w:pPr>
            <w:r>
              <w:rPr>
                <w:rFonts w:ascii="Arial" w:cs="Arial" w:eastAsia="Arial" w:hAnsi="Arial"/>
                <w:sz w:val="16"/>
                <w:szCs w:val="16"/>
                <w:color w:val="auto"/>
              </w:rPr>
              <w:t>Common stock, $0.01 par value; shares: 40,000,000 authorized; September 30, 2023 - 24,883,740</w:t>
            </w:r>
          </w:p>
        </w:tc>
        <w:tc>
          <w:tcPr>
            <w:tcW w:w="16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9"/>
        </w:trPr>
        <w:tc>
          <w:tcPr>
            <w:tcW w:w="7300" w:type="dxa"/>
            <w:vAlign w:val="bottom"/>
          </w:tcPr>
          <w:p>
            <w:pPr>
              <w:ind w:left="120"/>
              <w:spacing w:after="0"/>
              <w:rPr>
                <w:sz w:val="20"/>
                <w:szCs w:val="20"/>
                <w:color w:val="auto"/>
              </w:rPr>
            </w:pPr>
            <w:r>
              <w:rPr>
                <w:rFonts w:ascii="Arial" w:cs="Arial" w:eastAsia="Arial" w:hAnsi="Arial"/>
                <w:sz w:val="16"/>
                <w:szCs w:val="16"/>
                <w:color w:val="auto"/>
              </w:rPr>
              <w:t>issued, 15,484,512 outstanding; December 31, 2022 - 24,959,972 issued, 15,599,239 outstanding</w:t>
            </w:r>
          </w:p>
        </w:tc>
        <w:tc>
          <w:tcPr>
            <w:tcW w:w="16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paid-in-capital</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259,339</w:t>
            </w:r>
          </w:p>
        </w:tc>
        <w:tc>
          <w:tcPr>
            <w:tcW w:w="0" w:type="dxa"/>
            <w:vAlign w:val="bottom"/>
          </w:tcPr>
          <w:p>
            <w:pPr>
              <w:spacing w:after="0"/>
              <w:rPr>
                <w:sz w:val="1"/>
                <w:szCs w:val="1"/>
                <w:color w:val="auto"/>
              </w:rPr>
            </w:pPr>
          </w:p>
        </w:tc>
      </w:tr>
      <w:tr>
        <w:trPr>
          <w:trHeight w:val="213"/>
        </w:trPr>
        <w:tc>
          <w:tcPr>
            <w:tcW w:w="730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124,806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84,538</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Treasury stock, at cost; shares: September 30, 2023 - 9,399,228; December 31, 2022 - 9,360,733</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(651,774)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(645,146)</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deficit</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(301,084)</w:t>
            </w:r>
          </w:p>
        </w:tc>
        <w:tc>
          <w:tcPr>
            <w:tcW w:w="0" w:type="dxa"/>
            <w:vAlign w:val="bottom"/>
          </w:tcPr>
          <w:p>
            <w:pPr>
              <w:spacing w:after="0"/>
              <w:rPr>
                <w:sz w:val="1"/>
                <w:szCs w:val="1"/>
                <w:color w:val="auto"/>
              </w:rPr>
            </w:pPr>
          </w:p>
        </w:tc>
      </w:tr>
      <w:tr>
        <w:trPr>
          <w:trHeight w:val="213"/>
        </w:trPr>
        <w:tc>
          <w:tcPr>
            <w:tcW w:w="7300" w:type="dxa"/>
            <w:vAlign w:val="bottom"/>
          </w:tcPr>
          <w:p>
            <w:pPr>
              <w:ind w:left="380"/>
              <w:spacing w:after="0"/>
              <w:rPr>
                <w:sz w:val="20"/>
                <w:szCs w:val="20"/>
                <w:color w:val="auto"/>
              </w:rPr>
            </w:pPr>
            <w:r>
              <w:rPr>
                <w:rFonts w:ascii="Arial" w:cs="Arial" w:eastAsia="Arial" w:hAnsi="Arial"/>
                <w:sz w:val="16"/>
                <w:szCs w:val="16"/>
                <w:color w:val="auto"/>
              </w:rPr>
              <w:t>Total liabilities and stockholders’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1,659,581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1,881,491</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the accompanying Notes to Consolidated Financial Statements.</w:t>
      </w: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8"/>
                <w:szCs w:val="18"/>
                <w:color w:val="auto"/>
              </w:rPr>
            </w:pPr>
          </w:p>
        </w:tc>
        <w:tc>
          <w:tcPr>
            <w:tcW w:w="23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auto"/>
              </w:rPr>
              <w:t>Royalties, franchise fees and other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99,135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93,215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303,998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277,712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Advertising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Total franchise revenues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172,520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164,907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530,399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494,398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Company restaurant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Rental revenues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90,519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87,080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202,584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624,766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701,437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Franchise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Advertising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6"/>
                <w:szCs w:val="16"/>
                <w:color w:val="auto"/>
              </w:rPr>
              <w:t>Bad debt (credit)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franchise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Total franchise expenses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83,138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258,784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240,565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Company restaurant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6"/>
                <w:szCs w:val="16"/>
                <w:color w:val="auto"/>
              </w:rPr>
              <w:t>Rental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from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rental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rental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cost of revenues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105,286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326,510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97,298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94,331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298,256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282,779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51,549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Closure and impairment charges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(gain) on disposition of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Other comprehensive income net of tax:</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Total comprehensive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64,135</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available to common stockholders: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18,479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20,948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64,137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Net income allocated to unvested participating restricted stock</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Net income available to common stockholders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62,586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59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Net income available to common stockholders per share: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accompanying Notes to Consolidated Financial Statements.</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thousands except shares)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5"/>
          </w:tcPr>
          <w:p>
            <w:pPr>
              <w:jc w:val="center"/>
              <w:ind w:right="280"/>
              <w:spacing w:after="0"/>
              <w:rPr>
                <w:sz w:val="20"/>
                <w:szCs w:val="20"/>
                <w:color w:val="auto"/>
              </w:rPr>
            </w:pPr>
            <w:r>
              <w:rPr>
                <w:rFonts w:ascii="Arial" w:cs="Arial" w:eastAsia="Arial" w:hAnsi="Arial"/>
                <w:sz w:val="16"/>
                <w:szCs w:val="16"/>
                <w:b w:val="1"/>
                <w:bCs w:val="1"/>
                <w:color w:val="auto"/>
                <w:w w:val="92"/>
              </w:rPr>
              <w:t>Three Months Ended September 30, 2023</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7"/>
          </w:tcPr>
          <w:p>
            <w:pPr>
              <w:ind w:left="340"/>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8"/>
                <w:szCs w:val="18"/>
                <w:color w:val="auto"/>
              </w:rPr>
            </w:pPr>
          </w:p>
        </w:tc>
        <w:tc>
          <w:tcPr>
            <w:tcW w:w="1800" w:type="dxa"/>
            <w:vAlign w:val="bottom"/>
            <w:gridSpan w:val="4"/>
          </w:tcPr>
          <w:p>
            <w:pPr>
              <w:ind w:left="320"/>
              <w:spacing w:after="0"/>
              <w:rPr>
                <w:sz w:val="20"/>
                <w:szCs w:val="20"/>
                <w:color w:val="auto"/>
              </w:rPr>
            </w:pPr>
            <w:r>
              <w:rPr>
                <w:rFonts w:ascii="Arial" w:cs="Arial" w:eastAsia="Arial" w:hAnsi="Arial"/>
                <w:sz w:val="16"/>
                <w:szCs w:val="16"/>
                <w:b w:val="1"/>
                <w:bCs w:val="1"/>
                <w:color w:val="auto"/>
              </w:rPr>
              <w:t>Treasury Stock</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2" w:lineRule="exact"/>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2"/>
                <w:szCs w:val="12"/>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2"/>
                <w:szCs w:val="12"/>
                <w:color w:val="auto"/>
              </w:rPr>
            </w:pPr>
          </w:p>
        </w:tc>
        <w:tc>
          <w:tcPr>
            <w:tcW w:w="1100" w:type="dxa"/>
            <w:vAlign w:val="bottom"/>
            <w:gridSpan w:val="3"/>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Other</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Paid-in</w:t>
            </w:r>
          </w:p>
        </w:tc>
        <w:tc>
          <w:tcPr>
            <w:tcW w:w="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200" w:type="dxa"/>
            <w:vAlign w:val="bottom"/>
            <w:gridSpan w:val="4"/>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2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9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Cost</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Pr>
          <w:p>
            <w:pPr>
              <w:spacing w:after="0"/>
              <w:rPr>
                <w:sz w:val="18"/>
                <w:szCs w:val="18"/>
                <w:color w:val="auto"/>
              </w:rPr>
            </w:pPr>
          </w:p>
        </w:tc>
        <w:tc>
          <w:tcPr>
            <w:tcW w:w="900" w:type="dxa"/>
            <w:vAlign w:val="bottom"/>
            <w:gridSpan w:val="4"/>
          </w:tcPr>
          <w:p>
            <w:pPr>
              <w:ind w:left="8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0"/>
              </w:rPr>
              <w:t>Loss</w:t>
            </w:r>
          </w:p>
        </w:tc>
        <w:tc>
          <w:tcPr>
            <w:tcW w:w="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15,587,934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250,808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center"/>
              <w:ind w:left="599"/>
              <w:spacing w:after="0"/>
              <w:rPr>
                <w:sz w:val="20"/>
                <w:szCs w:val="20"/>
                <w:color w:val="auto"/>
              </w:rPr>
            </w:pPr>
            <w:r>
              <w:rPr>
                <w:rFonts w:ascii="Arial" w:cs="Arial" w:eastAsia="Arial" w:hAnsi="Arial"/>
                <w:sz w:val="16"/>
                <w:szCs w:val="16"/>
                <w:color w:val="auto"/>
                <w:w w:val="91"/>
              </w:rPr>
              <w:t>(65)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9,302,265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(646,219)</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(281,001)</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18,479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left="539"/>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expense</w:t>
            </w: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91"/>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(105,864)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center"/>
              <w:ind w:left="539"/>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105,864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center"/>
              <w:ind w:left="539"/>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center"/>
              <w:ind w:left="539"/>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15,484,512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253,080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124,806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center"/>
              <w:ind w:left="599"/>
              <w:spacing w:after="0"/>
              <w:rPr>
                <w:sz w:val="20"/>
                <w:szCs w:val="20"/>
                <w:color w:val="auto"/>
              </w:rPr>
            </w:pPr>
            <w:r>
              <w:rPr>
                <w:rFonts w:ascii="Arial" w:cs="Arial" w:eastAsia="Arial" w:hAnsi="Arial"/>
                <w:sz w:val="16"/>
                <w:szCs w:val="16"/>
                <w:color w:val="auto"/>
                <w:w w:val="91"/>
              </w:rPr>
              <w:t>(67)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9,399,228</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 (651,774)</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 (273,706)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5"/>
          </w:tcPr>
          <w:p>
            <w:pPr>
              <w:jc w:val="center"/>
              <w:ind w:right="260"/>
              <w:spacing w:after="0"/>
              <w:rPr>
                <w:sz w:val="20"/>
                <w:szCs w:val="20"/>
                <w:color w:val="auto"/>
              </w:rPr>
            </w:pPr>
            <w:r>
              <w:rPr>
                <w:rFonts w:ascii="Arial" w:cs="Arial" w:eastAsia="Arial" w:hAnsi="Arial"/>
                <w:sz w:val="16"/>
                <w:szCs w:val="16"/>
                <w:b w:val="1"/>
                <w:bCs w:val="1"/>
                <w:color w:val="auto"/>
                <w:w w:val="91"/>
              </w:rPr>
              <w:t>Nine Months Ended September 30, 2023</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7"/>
          </w:tcPr>
          <w:p>
            <w:pPr>
              <w:ind w:left="360"/>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8"/>
                <w:szCs w:val="18"/>
                <w:color w:val="auto"/>
              </w:rPr>
            </w:pPr>
          </w:p>
        </w:tc>
        <w:tc>
          <w:tcPr>
            <w:tcW w:w="1800" w:type="dxa"/>
            <w:vAlign w:val="bottom"/>
            <w:gridSpan w:val="4"/>
          </w:tcPr>
          <w:p>
            <w:pPr>
              <w:ind w:left="340"/>
              <w:spacing w:after="0"/>
              <w:rPr>
                <w:sz w:val="20"/>
                <w:szCs w:val="20"/>
                <w:color w:val="auto"/>
              </w:rPr>
            </w:pPr>
            <w:r>
              <w:rPr>
                <w:rFonts w:ascii="Arial" w:cs="Arial" w:eastAsia="Arial" w:hAnsi="Arial"/>
                <w:sz w:val="16"/>
                <w:szCs w:val="16"/>
                <w:b w:val="1"/>
                <w:bCs w:val="1"/>
                <w:color w:val="auto"/>
              </w:rPr>
              <w:t>Treasury Stock</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60"/>
              <w:spacing w:after="0" w:line="142" w:lineRule="exact"/>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2"/>
                <w:szCs w:val="12"/>
                <w:color w:val="auto"/>
              </w:rPr>
            </w:pPr>
          </w:p>
        </w:tc>
        <w:tc>
          <w:tcPr>
            <w:tcW w:w="1100" w:type="dxa"/>
            <w:vAlign w:val="bottom"/>
            <w:gridSpan w:val="3"/>
          </w:tcPr>
          <w:p>
            <w:pPr>
              <w:jc w:val="center"/>
              <w:ind w:right="160"/>
              <w:spacing w:after="0" w:line="142" w:lineRule="exact"/>
              <w:rPr>
                <w:sz w:val="20"/>
                <w:szCs w:val="20"/>
                <w:color w:val="auto"/>
              </w:rPr>
            </w:pPr>
            <w:r>
              <w:rPr>
                <w:rFonts w:ascii="Arial" w:cs="Arial" w:eastAsia="Arial" w:hAnsi="Arial"/>
                <w:sz w:val="16"/>
                <w:szCs w:val="16"/>
                <w:b w:val="1"/>
                <w:bCs w:val="1"/>
                <w:color w:val="auto"/>
                <w:w w:val="98"/>
              </w:rPr>
              <w:t>Other</w:t>
            </w:r>
          </w:p>
        </w:tc>
        <w:tc>
          <w:tcPr>
            <w:tcW w:w="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Paid-in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0" w:type="dxa"/>
            <w:vAlign w:val="bottom"/>
            <w:gridSpan w:val="4"/>
          </w:tcPr>
          <w:p>
            <w:pPr>
              <w:jc w:val="center"/>
              <w:ind w:right="6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20" w:type="dxa"/>
            <w:vAlign w:val="bottom"/>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14"/>
                <w:szCs w:val="14"/>
                <w:color w:val="auto"/>
              </w:rPr>
            </w:pPr>
          </w:p>
        </w:tc>
        <w:tc>
          <w:tcPr>
            <w:tcW w:w="8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Cost</w:t>
            </w:r>
          </w:p>
        </w:tc>
        <w:tc>
          <w:tcPr>
            <w:tcW w:w="80" w:type="dxa"/>
            <w:vAlign w:val="bottom"/>
            <w:vMerge w:val="restart"/>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Capital</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0"/>
              </w:rPr>
              <w:t>Loss</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15,599,239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9,360,733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(645,146)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(301,084)</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64,137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left="59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64,137</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expense</w:t>
            </w: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(318,356)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center"/>
              <w:ind w:left="5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318,356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(20,017)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(20,017)</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279,861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9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(279,861)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(19,329)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center"/>
              <w:ind w:left="59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9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center"/>
              <w:ind w:left="59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8,167</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9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w w:val="99"/>
              </w:rPr>
              <w:t>Tax payments for share settlement of restricted</w:t>
            </w:r>
          </w:p>
        </w:tc>
        <w:tc>
          <w:tcPr>
            <w:tcW w:w="2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(859)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left="659"/>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units</w:t>
            </w:r>
          </w:p>
        </w:tc>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15,484,512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253,080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9,399,228</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(651,774)</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(273,706)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Consolidated Statements of Stockholders' Deficit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thousands except shares)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6"/>
                <w:szCs w:val="16"/>
                <w:b w:val="1"/>
                <w:bCs w:val="1"/>
                <w:color w:val="auto"/>
                <w:w w:val="92"/>
              </w:rPr>
              <w:t>Three Months Ended September 30, 2022</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1880" w:type="dxa"/>
            <w:vAlign w:val="bottom"/>
            <w:gridSpan w:val="5"/>
          </w:tcPr>
          <w:p>
            <w:pPr>
              <w:ind w:left="36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1840" w:type="dxa"/>
            <w:vAlign w:val="bottom"/>
            <w:gridSpan w:val="4"/>
          </w:tcPr>
          <w:p>
            <w:pPr>
              <w:ind w:left="360"/>
              <w:spacing w:after="0"/>
              <w:rPr>
                <w:sz w:val="20"/>
                <w:szCs w:val="20"/>
                <w:color w:val="auto"/>
              </w:rPr>
            </w:pPr>
            <w:r>
              <w:rPr>
                <w:rFonts w:ascii="Arial" w:cs="Arial" w:eastAsia="Arial" w:hAnsi="Arial"/>
                <w:sz w:val="16"/>
                <w:szCs w:val="16"/>
                <w:b w:val="1"/>
                <w:bCs w:val="1"/>
                <w:color w:val="auto"/>
              </w:rPr>
              <w:t>Treasury Stock</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98"/>
              </w:rPr>
              <w:t>Other</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3"/>
              </w:rPr>
              <w:t>Paid-in</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6"/>
              </w:rPr>
              <w:t>Comprehensive</w:t>
            </w:r>
          </w:p>
        </w:tc>
        <w:tc>
          <w:tcPr>
            <w:tcW w:w="9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9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Cost</w:t>
            </w:r>
          </w:p>
        </w:tc>
        <w:tc>
          <w:tcPr>
            <w:tcW w:w="8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0"/>
              </w:rPr>
              <w:t>Loss</w:t>
            </w:r>
          </w:p>
        </w:tc>
        <w:tc>
          <w:tcPr>
            <w:tcW w:w="9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15,823,390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68,265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9,151,445</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(630,321)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(308,656)</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20,948</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Purchase of Company common stock</w:t>
            </w:r>
          </w:p>
        </w:tc>
        <w:tc>
          <w:tcPr>
            <w:tcW w:w="900" w:type="dxa"/>
            <w:vAlign w:val="bottom"/>
          </w:tcPr>
          <w:p>
            <w:pPr>
              <w:jc w:val="right"/>
              <w:spacing w:after="0"/>
              <w:rPr>
                <w:sz w:val="20"/>
                <w:szCs w:val="20"/>
                <w:color w:val="auto"/>
              </w:rPr>
            </w:pPr>
            <w:r>
              <w:rPr>
                <w:rFonts w:ascii="Arial" w:cs="Arial" w:eastAsia="Arial" w:hAnsi="Arial"/>
                <w:sz w:val="16"/>
                <w:szCs w:val="16"/>
                <w:color w:val="auto"/>
              </w:rPr>
              <w:t>(140,997)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140,997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(9,520)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(9,520)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Reissuance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3,801</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Dividends on common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(7,912)</w:t>
            </w:r>
          </w:p>
        </w:tc>
        <w:tc>
          <w:tcPr>
            <w:tcW w:w="0" w:type="dxa"/>
            <w:vAlign w:val="bottom"/>
          </w:tcPr>
          <w:p>
            <w:pPr>
              <w:spacing w:after="0"/>
              <w:rPr>
                <w:sz w:val="1"/>
                <w:szCs w:val="1"/>
                <w:color w:val="auto"/>
              </w:rPr>
            </w:pPr>
          </w:p>
        </w:tc>
      </w:tr>
      <w:tr>
        <w:trPr>
          <w:trHeight w:val="166"/>
        </w:trPr>
        <w:tc>
          <w:tcPr>
            <w:tcW w:w="3380" w:type="dxa"/>
            <w:vAlign w:val="bottom"/>
          </w:tcPr>
          <w:p>
            <w:pPr>
              <w:spacing w:after="0" w:line="166" w:lineRule="exact"/>
              <w:rPr>
                <w:sz w:val="20"/>
                <w:szCs w:val="20"/>
                <w:color w:val="auto"/>
              </w:rPr>
            </w:pPr>
            <w:r>
              <w:rPr>
                <w:rFonts w:ascii="Arial" w:cs="Arial" w:eastAsia="Arial" w:hAnsi="Arial"/>
                <w:sz w:val="16"/>
                <w:szCs w:val="16"/>
                <w:color w:val="auto"/>
              </w:rPr>
              <w:t>Tax payments for share settlement of restricted</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6"/>
                <w:szCs w:val="16"/>
                <w:color w:val="auto"/>
              </w:rPr>
              <w:t>stock units</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15,682,061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(639,463)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(301,594)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3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6"/>
                <w:szCs w:val="16"/>
                <w:b w:val="1"/>
                <w:bCs w:val="1"/>
                <w:color w:val="auto"/>
                <w:w w:val="91"/>
              </w:rPr>
              <w:t>Nine Months Ended September 30, 2022</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1880" w:type="dxa"/>
            <w:vAlign w:val="bottom"/>
            <w:gridSpan w:val="5"/>
          </w:tcPr>
          <w:p>
            <w:pPr>
              <w:ind w:left="36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1840" w:type="dxa"/>
            <w:vAlign w:val="bottom"/>
            <w:gridSpan w:val="4"/>
          </w:tcPr>
          <w:p>
            <w:pPr>
              <w:ind w:left="360"/>
              <w:spacing w:after="0"/>
              <w:rPr>
                <w:sz w:val="20"/>
                <w:szCs w:val="20"/>
                <w:color w:val="auto"/>
              </w:rPr>
            </w:pPr>
            <w:r>
              <w:rPr>
                <w:rFonts w:ascii="Arial" w:cs="Arial" w:eastAsia="Arial" w:hAnsi="Arial"/>
                <w:sz w:val="16"/>
                <w:szCs w:val="16"/>
                <w:b w:val="1"/>
                <w:bCs w:val="1"/>
                <w:color w:val="auto"/>
              </w:rPr>
              <w:t>Treasury Stock</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98"/>
              </w:rPr>
              <w:t>Other</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3"/>
              </w:rPr>
              <w:t>Paid-in</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6"/>
              </w:rPr>
              <w:t>Comprehensive</w:t>
            </w:r>
          </w:p>
        </w:tc>
        <w:tc>
          <w:tcPr>
            <w:tcW w:w="9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9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Cost</w:t>
            </w:r>
          </w:p>
        </w:tc>
        <w:tc>
          <w:tcPr>
            <w:tcW w:w="8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0"/>
              </w:rPr>
              <w:t>Loss</w:t>
            </w:r>
          </w:p>
        </w:tc>
        <w:tc>
          <w:tcPr>
            <w:tcW w:w="9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17,163,946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256,189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7,828,329</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(534,602)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(242,807)</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69,760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69,760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Purchase of Company common stock</w:t>
            </w:r>
          </w:p>
        </w:tc>
        <w:tc>
          <w:tcPr>
            <w:tcW w:w="900" w:type="dxa"/>
            <w:vAlign w:val="bottom"/>
          </w:tcPr>
          <w:p>
            <w:pPr>
              <w:jc w:val="right"/>
              <w:spacing w:after="0"/>
              <w:rPr>
                <w:sz w:val="20"/>
                <w:szCs w:val="20"/>
                <w:color w:val="auto"/>
              </w:rPr>
            </w:pPr>
            <w:r>
              <w:rPr>
                <w:rFonts w:ascii="Arial" w:cs="Arial" w:eastAsia="Arial" w:hAnsi="Arial"/>
                <w:sz w:val="16"/>
                <w:szCs w:val="16"/>
                <w:color w:val="auto"/>
              </w:rPr>
              <w:t>(1,642,097)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1,642,097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(113,573)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(113,573)</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Reissuance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(186,035)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Net issuance of shares for stock plans</w:t>
            </w:r>
          </w:p>
        </w:tc>
        <w:tc>
          <w:tcPr>
            <w:tcW w:w="900" w:type="dxa"/>
            <w:vAlign w:val="bottom"/>
          </w:tcPr>
          <w:p>
            <w:pPr>
              <w:jc w:val="right"/>
              <w:spacing w:after="0"/>
              <w:rPr>
                <w:sz w:val="20"/>
                <w:szCs w:val="20"/>
                <w:color w:val="auto"/>
              </w:rPr>
            </w:pPr>
            <w:r>
              <w:rPr>
                <w:rFonts w:ascii="Arial" w:cs="Arial" w:eastAsia="Arial" w:hAnsi="Arial"/>
                <w:sz w:val="16"/>
                <w:szCs w:val="16"/>
                <w:color w:val="auto"/>
              </w:rPr>
              <w:t>9,496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restricted shares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12,128</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Dividends on common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(23,778)</w:t>
            </w:r>
          </w:p>
        </w:tc>
        <w:tc>
          <w:tcPr>
            <w:tcW w:w="0" w:type="dxa"/>
            <w:vAlign w:val="bottom"/>
          </w:tcPr>
          <w:p>
            <w:pPr>
              <w:spacing w:after="0"/>
              <w:rPr>
                <w:sz w:val="1"/>
                <w:szCs w:val="1"/>
                <w:color w:val="auto"/>
              </w:rPr>
            </w:pPr>
          </w:p>
        </w:tc>
      </w:tr>
      <w:tr>
        <w:trPr>
          <w:trHeight w:val="166"/>
        </w:trPr>
        <w:tc>
          <w:tcPr>
            <w:tcW w:w="3380" w:type="dxa"/>
            <w:vAlign w:val="bottom"/>
          </w:tcPr>
          <w:p>
            <w:pPr>
              <w:spacing w:after="0" w:line="166" w:lineRule="exact"/>
              <w:rPr>
                <w:sz w:val="20"/>
                <w:szCs w:val="20"/>
                <w:color w:val="auto"/>
              </w:rPr>
            </w:pPr>
            <w:r>
              <w:rPr>
                <w:rFonts w:ascii="Arial" w:cs="Arial" w:eastAsia="Arial" w:hAnsi="Arial"/>
                <w:sz w:val="16"/>
                <w:szCs w:val="16"/>
                <w:color w:val="auto"/>
              </w:rPr>
              <w:t>Tax payments for share settlement of restricted</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6"/>
                <w:szCs w:val="16"/>
                <w:color w:val="auto"/>
              </w:rPr>
              <w:t>stock units</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15,682,061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(639,463)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(301,594)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8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r>
      <w:tr>
        <w:trPr>
          <w:trHeight w:val="207"/>
        </w:trPr>
        <w:tc>
          <w:tcPr>
            <w:tcW w:w="8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Adjustments to reconcile net income to cash flows provided by operating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28,870</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Non-cash closure and impairment charges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2,975</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Non-cash stock-based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12,128</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Non-cash interest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2,210</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(1,376)</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Loss (gain) on disposition of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(3,032)</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8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r>
      <w:tr>
        <w:trPr>
          <w:trHeight w:val="213"/>
        </w:trPr>
        <w:tc>
          <w:tcPr>
            <w:tcW w:w="8760" w:type="dxa"/>
            <w:vAlign w:val="bottom"/>
          </w:tcPr>
          <w:p>
            <w:pPr>
              <w:ind w:left="680"/>
              <w:spacing w:after="0"/>
              <w:rPr>
                <w:sz w:val="20"/>
                <w:szCs w:val="20"/>
                <w:color w:val="auto"/>
              </w:rPr>
            </w:pPr>
            <w:r>
              <w:rPr>
                <w:rFonts w:ascii="Arial" w:cs="Arial" w:eastAsia="Arial" w:hAnsi="Arial"/>
                <w:sz w:val="16"/>
                <w:szCs w:val="16"/>
                <w:color w:val="auto"/>
              </w:rPr>
              <w:t>Deferred rent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5,951</w:t>
            </w:r>
          </w:p>
        </w:tc>
      </w:tr>
      <w:tr>
        <w:trPr>
          <w:trHeight w:val="219"/>
        </w:trPr>
        <w:tc>
          <w:tcPr>
            <w:tcW w:w="8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Current income tax receivables and payables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7,361</w:t>
            </w:r>
          </w:p>
        </w:tc>
      </w:tr>
      <w:tr>
        <w:trPr>
          <w:trHeight w:val="213"/>
        </w:trPr>
        <w:tc>
          <w:tcPr>
            <w:tcW w:w="8760" w:type="dxa"/>
            <w:vAlign w:val="bottom"/>
          </w:tcPr>
          <w:p>
            <w:pPr>
              <w:ind w:left="680"/>
              <w:spacing w:after="0"/>
              <w:rPr>
                <w:sz w:val="20"/>
                <w:szCs w:val="20"/>
                <w:color w:val="auto"/>
              </w:rPr>
            </w:pPr>
            <w:r>
              <w:rPr>
                <w:rFonts w:ascii="Arial" w:cs="Arial" w:eastAsia="Arial" w:hAnsi="Arial"/>
                <w:sz w:val="16"/>
                <w:szCs w:val="16"/>
                <w:color w:val="auto"/>
              </w:rPr>
              <w:t>Gift card receivables and payables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(16,752)</w:t>
            </w:r>
          </w:p>
        </w:tc>
      </w:tr>
      <w:tr>
        <w:trPr>
          <w:trHeight w:val="219"/>
        </w:trPr>
        <w:tc>
          <w:tcPr>
            <w:tcW w:w="8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w:t>
            </w:r>
          </w:p>
        </w:tc>
      </w:tr>
      <w:tr>
        <w:trPr>
          <w:trHeight w:val="213"/>
        </w:trPr>
        <w:tc>
          <w:tcPr>
            <w:tcW w:w="876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(6,855)</w:t>
            </w:r>
          </w:p>
        </w:tc>
      </w:tr>
      <w:tr>
        <w:trPr>
          <w:trHeight w:val="219"/>
        </w:trPr>
        <w:tc>
          <w:tcPr>
            <w:tcW w:w="8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assets and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r>
      <w:tr>
        <w:trPr>
          <w:trHeight w:val="213"/>
        </w:trPr>
        <w:tc>
          <w:tcPr>
            <w:tcW w:w="8760" w:type="dxa"/>
            <w:vAlign w:val="bottom"/>
          </w:tcPr>
          <w:p>
            <w:pPr>
              <w:ind w:left="680"/>
              <w:spacing w:after="0"/>
              <w:rPr>
                <w:sz w:val="20"/>
                <w:szCs w:val="20"/>
                <w:color w:val="auto"/>
              </w:rPr>
            </w:pPr>
            <w:r>
              <w:rPr>
                <w:rFonts w:ascii="Arial" w:cs="Arial" w:eastAsia="Arial" w:hAnsi="Arial"/>
                <w:sz w:val="16"/>
                <w:szCs w:val="16"/>
                <w:color w:val="auto"/>
              </w:rPr>
              <w:t>Accrued employee compensation and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(18,738)</w:t>
            </w:r>
          </w:p>
        </w:tc>
      </w:tr>
      <w:tr>
        <w:trPr>
          <w:trHeight w:val="219"/>
        </w:trPr>
        <w:tc>
          <w:tcPr>
            <w:tcW w:w="8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advertising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w:t>
            </w:r>
          </w:p>
        </w:tc>
      </w:tr>
      <w:tr>
        <w:trPr>
          <w:trHeight w:val="213"/>
        </w:trPr>
        <w:tc>
          <w:tcPr>
            <w:tcW w:w="87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w:t>
            </w:r>
          </w:p>
        </w:tc>
      </w:tr>
      <w:tr>
        <w:trPr>
          <w:trHeight w:val="212"/>
        </w:trPr>
        <w:tc>
          <w:tcPr>
            <w:tcW w:w="87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Cash flows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63,490</w:t>
            </w:r>
          </w:p>
        </w:tc>
      </w:tr>
      <w:tr>
        <w:trPr>
          <w:trHeight w:val="206"/>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Principal receipts from notes, equipment contracts and other long-term receivables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13,502</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Net additions to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(31,968)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(19,495)</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Proceeds from sale of property and equipment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Additions to long-term receivables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7"/>
        </w:trPr>
        <w:tc>
          <w:tcPr>
            <w:tcW w:w="876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w:t>
            </w:r>
          </w:p>
        </w:tc>
      </w:tr>
      <w:tr>
        <w:trPr>
          <w:trHeight w:val="212"/>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Repayment of 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Borrowing from revolving credit facility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Payment of debt issuance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(6,286)</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Dividends paid on common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(30,765)</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(113,862)</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Principal payments on finance lease and financing obligations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Proceeds from stock options exercised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Repurchase of restricted stock for tax payments upon vesting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r>
      <w:tr>
        <w:trPr>
          <w:trHeight w:val="213"/>
        </w:trPr>
        <w:tc>
          <w:tcPr>
            <w:tcW w:w="87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Tax payments for share settlement of restricted stock units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r>
      <w:tr>
        <w:trPr>
          <w:trHeight w:val="213"/>
        </w:trPr>
        <w:tc>
          <w:tcPr>
            <w:tcW w:w="87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Cash flows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(61,229)</w:t>
            </w:r>
          </w:p>
        </w:tc>
      </w:tr>
      <w:tr>
        <w:trPr>
          <w:trHeight w:val="206"/>
        </w:trPr>
        <w:tc>
          <w:tcPr>
            <w:tcW w:w="8760" w:type="dxa"/>
            <w:vAlign w:val="bottom"/>
          </w:tcPr>
          <w:p>
            <w:pPr>
              <w:ind w:left="48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(165,355)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6"/>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425,353</w:t>
            </w: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159,629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424,205</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0"/>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8760" w:type="dxa"/>
            <w:vAlign w:val="bottom"/>
          </w:tcPr>
          <w:p>
            <w:pPr>
              <w:ind w:left="480"/>
              <w:spacing w:after="0"/>
              <w:rPr>
                <w:sz w:val="20"/>
                <w:szCs w:val="20"/>
                <w:color w:val="auto"/>
              </w:rPr>
            </w:pPr>
            <w:r>
              <w:rPr>
                <w:rFonts w:ascii="Arial" w:cs="Arial" w:eastAsia="Arial" w:hAnsi="Arial"/>
                <w:sz w:val="16"/>
                <w:szCs w:val="16"/>
                <w:color w:val="auto"/>
              </w:rPr>
              <w:t>Interest paid in cash</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54,032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47,478</w:t>
            </w:r>
          </w:p>
        </w:tc>
      </w:tr>
      <w:tr>
        <w:trPr>
          <w:trHeight w:val="219"/>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taxes paid in cash</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20,832</w:t>
            </w:r>
          </w:p>
        </w:tc>
      </w:tr>
      <w:tr>
        <w:trPr>
          <w:trHeight w:val="210"/>
        </w:trPr>
        <w:tc>
          <w:tcPr>
            <w:tcW w:w="8760" w:type="dxa"/>
            <w:vAlign w:val="bottom"/>
          </w:tcPr>
          <w:p>
            <w:pPr>
              <w:ind w:left="480"/>
              <w:spacing w:after="0"/>
              <w:rPr>
                <w:sz w:val="20"/>
                <w:szCs w:val="20"/>
                <w:color w:val="auto"/>
              </w:rPr>
            </w:pPr>
            <w:r>
              <w:rPr>
                <w:rFonts w:ascii="Arial" w:cs="Arial" w:eastAsia="Arial" w:hAnsi="Arial"/>
                <w:sz w:val="16"/>
                <w:szCs w:val="16"/>
                <w:color w:val="auto"/>
              </w:rPr>
              <w:t>Non-cash conversion of accounts receivable to notes receivable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2023 are not necessarily indicative of the results that may be expected for the twelve months ending December 31, 2023.</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balance sheet at December 31, 2022 has been derived from the audited consolidated financial statements at that date but does not include all of information and footnotes required by U.S. GAAP for complete financial statements.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2022.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2023 began on January 2, 2023 and ended on April 2, 2023; the second fiscal quarter of 2023 ended on July 2, 2023; and the third fiscal quarter of 2023 ended on October 1, 2023. The first fiscal quarter of 2022 began on January 3, 2022 and ended on April 3, 2022; the second fiscal quarter of 2022 ended on July 3, 2022; and the third fiscal quarter of 2022 ended on October 2, 2022.</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200" w:lineRule="exact"/>
        <w:rPr>
          <w:sz w:val="20"/>
          <w:szCs w:val="20"/>
          <w:color w:val="auto"/>
        </w:rPr>
      </w:pPr>
    </w:p>
    <w:p>
      <w:pPr>
        <w:spacing w:after="0" w:line="205" w:lineRule="exact"/>
        <w:rPr>
          <w:sz w:val="20"/>
          <w:szCs w:val="20"/>
          <w:color w:val="auto"/>
        </w:rPr>
      </w:pPr>
    </w:p>
    <w:p>
      <w:pPr>
        <w:ind w:right="4160"/>
        <w:spacing w:after="0" w:line="378" w:lineRule="auto"/>
        <w:rPr>
          <w:sz w:val="20"/>
          <w:szCs w:val="20"/>
          <w:color w:val="auto"/>
        </w:rPr>
      </w:pPr>
      <w:r>
        <w:rPr>
          <w:rFonts w:ascii="Arial" w:cs="Arial" w:eastAsia="Arial" w:hAnsi="Arial"/>
          <w:sz w:val="18"/>
          <w:szCs w:val="18"/>
          <w:b w:val="1"/>
          <w:bCs w:val="1"/>
          <w:color w:val="auto"/>
        </w:rPr>
        <w:t xml:space="preserve">3. Accounting Standards Adopted and Newly Issued Accounting Standards Not Yet Adopted </w:t>
      </w:r>
      <w:r>
        <w:rPr>
          <w:rFonts w:ascii="Arial" w:cs="Arial" w:eastAsia="Arial" w:hAnsi="Arial"/>
          <w:sz w:val="18"/>
          <w:szCs w:val="18"/>
          <w:b w:val="1"/>
          <w:bCs w:val="1"/>
          <w:i w:val="1"/>
          <w:iCs w:val="1"/>
          <w:color w:val="auto"/>
        </w:rPr>
        <w:t>Accounting Standards Adopted in the Current Fiscal Year</w:t>
      </w:r>
    </w:p>
    <w:p>
      <w:pPr>
        <w:jc w:val="both"/>
        <w:spacing w:after="0" w:line="308" w:lineRule="auto"/>
        <w:rPr>
          <w:sz w:val="20"/>
          <w:szCs w:val="20"/>
          <w:color w:val="auto"/>
        </w:rPr>
      </w:pPr>
      <w:r>
        <w:rPr>
          <w:rFonts w:ascii="Arial" w:cs="Arial" w:eastAsia="Arial" w:hAnsi="Arial"/>
          <w:sz w:val="17"/>
          <w:szCs w:val="17"/>
          <w:color w:val="auto"/>
        </w:rPr>
        <w:t>Additional new accounting guidance became effective for the Company as of the beginning of fiscal 2023 that the Company reviewed and concluded was either not applicable to its operations or had no material effect on its consolidated financial statements in the current or future fiscal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Company franchises the Applebee's Neighborhood Grill &amp; Bar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(“Applebee's”) concept in the American full-service restaurant segment within the casual dining category of the restaurant industry, the International House of Pancakes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(“IHOP”) concept in the family dining mid-scale full-service category of the restaurant industry, and the Fuzzy's Taco Shop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117" w:lineRule="exact"/>
        <w:rPr>
          <w:sz w:val="20"/>
          <w:szCs w:val="20"/>
          <w:color w:val="auto"/>
        </w:rPr>
      </w:pPr>
    </w:p>
    <w:p>
      <w:pPr>
        <w:jc w:val="both"/>
        <w:ind w:left="1300" w:hanging="320"/>
        <w:spacing w:after="0" w:line="276"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jc w:val="both"/>
        <w:ind w:left="1300" w:hanging="320"/>
        <w:spacing w:after="0" w:line="25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11"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Restaurant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franchise revenue by major type for the three and nine months ended September 30, 2023 and 2022:</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183"/>
        </w:trPr>
        <w:tc>
          <w:tcPr>
            <w:tcW w:w="5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6"/>
        </w:trPr>
        <w:tc>
          <w:tcPr>
            <w:tcW w:w="5080" w:type="dxa"/>
            <w:vAlign w:val="bottom"/>
          </w:tcPr>
          <w:p>
            <w:pPr>
              <w:ind w:left="20"/>
              <w:spacing w:after="0"/>
              <w:rPr>
                <w:sz w:val="20"/>
                <w:szCs w:val="20"/>
                <w:color w:val="auto"/>
              </w:rPr>
            </w:pPr>
            <w:r>
              <w:rPr>
                <w:rFonts w:ascii="Arial" w:cs="Arial" w:eastAsia="Arial" w:hAnsi="Arial"/>
                <w:sz w:val="18"/>
                <w:szCs w:val="18"/>
                <w:color w:val="auto"/>
              </w:rPr>
              <w:t>Franchise 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Royalties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229,666</w:t>
            </w:r>
          </w:p>
        </w:tc>
      </w:tr>
      <w:tr>
        <w:trPr>
          <w:trHeight w:val="229"/>
        </w:trPr>
        <w:tc>
          <w:tcPr>
            <w:tcW w:w="5080" w:type="dxa"/>
            <w:vAlign w:val="bottom"/>
          </w:tcPr>
          <w:p>
            <w:pPr>
              <w:ind w:left="120"/>
              <w:spacing w:after="0"/>
              <w:rPr>
                <w:sz w:val="20"/>
                <w:szCs w:val="20"/>
                <w:color w:val="auto"/>
              </w:rPr>
            </w:pPr>
            <w:r>
              <w:rPr>
                <w:rFonts w:ascii="Arial" w:cs="Arial" w:eastAsia="Arial" w:hAnsi="Arial"/>
                <w:sz w:val="18"/>
                <w:szCs w:val="18"/>
                <w:color w:val="auto"/>
              </w:rPr>
              <w:t>Advertising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216,686</w:t>
            </w:r>
          </w:p>
        </w:tc>
      </w:tr>
      <w:tr>
        <w:trPr>
          <w:trHeight w:val="229"/>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Proprietary product sales and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41,571</w:t>
            </w:r>
          </w:p>
        </w:tc>
      </w:tr>
      <w:tr>
        <w:trPr>
          <w:trHeight w:val="230"/>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Franchise and development fees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w:t>
            </w:r>
          </w:p>
        </w:tc>
      </w:tr>
      <w:tr>
        <w:trPr>
          <w:trHeight w:val="248"/>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franchise revenue</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494,398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Accounts and other receivables from franchisees as of September 30, 2023 and December 31, 2022 were $66.2 million (net of allowance of $3.6 million) and $69.0 million (net of allowance of $1.3 million), respectively, and were included in receivables, net in the Consolidated Balance Sheets.</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Changes in the Company's contract liability for deferred franchise and development fees during the nine months ended September 30, 2023 were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-130175</wp:posOffset>
            </wp:positionV>
            <wp:extent cx="630047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047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Recognized as revenue during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63004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047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Fees deferred during the nine months ended September 30, 2023</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Balance at September 30, 2023</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balance of deferred revenue as of September 30, 2023 is expected to be recognized as follows: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Deferred Franchise Revenue</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(short- and long-term)</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(In thousands)</w:t>
            </w:r>
          </w:p>
        </w:tc>
      </w:tr>
      <w:tr>
        <w:trPr>
          <w:trHeight w:val="24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49,493</w:t>
            </w:r>
          </w:p>
        </w:tc>
      </w:tr>
      <w:tr>
        <w:trPr>
          <w:trHeight w:val="229"/>
        </w:trPr>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(6,141)</w:t>
            </w:r>
          </w:p>
        </w:tc>
      </w:tr>
      <w:tr>
        <w:trPr>
          <w:trHeight w:val="230"/>
        </w:trPr>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51" w:lineRule="exact"/>
        <w:rPr>
          <w:sz w:val="20"/>
          <w:szCs w:val="20"/>
          <w:color w:val="auto"/>
        </w:rPr>
      </w:pPr>
    </w:p>
    <w:p>
      <w:pPr>
        <w:sectPr>
          <w:pgSz w:w="11900" w:h="16838" w:orient="portrait"/>
          <w:cols w:equalWidth="0" w:num="2">
            <w:col w:w="7880" w:space="720"/>
            <w:col w:w="2640"/>
          </w:cols>
          <w:pgMar w:left="320" w:top="122" w:right="339" w:bottom="1440" w:gutter="0" w:footer="0" w:header="0"/>
          <w:type w:val="continuous"/>
        </w:sectPr>
      </w:pPr>
    </w:p>
    <w:tbl>
      <w:tblPr>
        <w:tblLayout w:type="fixed"/>
        <w:tblInd w:w="700" w:type="dxa"/>
        <w:tblCellMar>
          <w:top w:w="0" w:type="dxa"/>
          <w:left w:w="0" w:type="dxa"/>
          <w:bottom w:w="0" w:type="dxa"/>
          <w:right w:w="0" w:type="dxa"/>
        </w:tblCellMar>
      </w:tblP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6,538</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2026</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4,950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Current Expected Credit Losses (“CECL”)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its portfolio segments to be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(Franchise-Related)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Most of the Company’s short-term receivables due from franchisees are derived from royalty, advertising and other franchise-related fees.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Gift Card Receivables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$6.7 million as of September 30,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Leases Receivable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3.4 years as of September 30, 2023.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Leases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leases receivable primarily relate to IHOP franchise development activity prior to 2003 when IHOP provided the financing for leasing or subleasing the site. Real estate leases at September 30, 2023, comprised 29 leases with a weighted average remaining life of 10.8 years, and relate to locations that IHOP is leasing from third parties and subleasing to franchisees.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Distributor Receivables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r>
      <w:tr>
        <w:trPr>
          <w:trHeight w:val="188"/>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4"/>
          </w:tcPr>
          <w:p>
            <w:pPr>
              <w:jc w:val="right"/>
              <w:ind w:right="1352"/>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Gift card receivables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Financing receivables: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Equipment leases receivable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Real estate leases receivable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 and notes receivable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Long-term receivables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primary credit quality indicator for all portfolio segments is delinquency.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during the nine months ended September 30, 2023 were as follows:</w:t>
      </w:r>
    </w:p>
    <w:p>
      <w:pPr>
        <w:spacing w:after="0" w:line="137" w:lineRule="exact"/>
        <w:rPr>
          <w:sz w:val="20"/>
          <w:szCs w:val="20"/>
          <w:color w:val="auto"/>
        </w:rPr>
      </w:pPr>
    </w:p>
    <w:tbl>
      <w:tblPr>
        <w:tblLayout w:type="fixed"/>
        <w:tblInd w:w="3880" w:type="dxa"/>
        <w:tblCellMar>
          <w:top w:w="0" w:type="dxa"/>
          <w:left w:w="0" w:type="dxa"/>
          <w:bottom w:w="0" w:type="dxa"/>
          <w:right w:w="0" w:type="dxa"/>
        </w:tblCellMar>
      </w:tblPr>
      <w:tr>
        <w:trPr>
          <w:trHeight w:val="161"/>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Accounts</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Notes receivable,</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w w:val="87"/>
              </w:rPr>
              <w:t>Notes</w:t>
            </w:r>
          </w:p>
        </w:tc>
        <w:tc>
          <w:tcPr>
            <w:tcW w:w="12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0"/>
              </w:rPr>
              <w:t>Lease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Equipment</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86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w w:val="91"/>
              </w:rPr>
              <w:t>receivable,</w:t>
            </w:r>
          </w:p>
        </w:tc>
        <w:tc>
          <w:tcPr>
            <w:tcW w:w="12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(1)</w:t>
            </w:r>
          </w:p>
        </w:tc>
        <w:tc>
          <w:tcPr>
            <w:tcW w:w="7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short-term</w:t>
            </w:r>
          </w:p>
        </w:tc>
        <w:tc>
          <w:tcPr>
            <w:tcW w:w="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long-term</w:t>
            </w:r>
          </w:p>
        </w:tc>
        <w:tc>
          <w:tcPr>
            <w:tcW w:w="12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8"/>
              </w:rPr>
              <w:t>Receivables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9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22" w:right="339" w:bottom="1440" w:gutter="0" w:footer="0" w:header="0"/>
        </w:sectPr>
      </w:pPr>
    </w:p>
    <w:p>
      <w:pPr>
        <w:ind w:left="120" w:right="620"/>
        <w:spacing w:after="0" w:line="275" w:lineRule="auto"/>
        <w:rPr>
          <w:sz w:val="20"/>
          <w:szCs w:val="20"/>
          <w:color w:val="auto"/>
        </w:rPr>
      </w:pPr>
      <w:r>
        <w:rPr>
          <w:rFonts w:ascii="Arial" w:cs="Arial" w:eastAsia="Arial" w:hAnsi="Arial"/>
          <w:sz w:val="18"/>
          <w:szCs w:val="18"/>
          <w:color w:val="auto"/>
        </w:rPr>
        <w:t>Balance, December 31, 2022 Bad debt (credit) expense Advertising provision adjustment Write-offs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70"/>
              <w:spacing w:after="0"/>
              <w:rPr>
                <w:sz w:val="20"/>
                <w:szCs w:val="20"/>
                <w:color w:val="auto"/>
              </w:rPr>
            </w:pPr>
            <w:r>
              <w:rPr>
                <w:rFonts w:ascii="Arial" w:cs="Arial" w:eastAsia="Arial" w:hAnsi="Arial"/>
                <w:sz w:val="18"/>
                <w:szCs w:val="18"/>
                <w:color w:val="auto"/>
                <w:w w:val="95"/>
              </w:rPr>
              <w:t>3.5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4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740" w:type="dxa"/>
            <w:vAlign w:val="bottom"/>
          </w:tcPr>
          <w:p>
            <w:pPr>
              <w:jc w:val="center"/>
              <w:ind w:left="170"/>
              <w:spacing w:after="0"/>
              <w:rPr>
                <w:sz w:val="20"/>
                <w:szCs w:val="20"/>
                <w:color w:val="auto"/>
              </w:rPr>
            </w:pPr>
            <w:r>
              <w:rPr>
                <w:rFonts w:ascii="Arial" w:cs="Arial" w:eastAsia="Arial" w:hAnsi="Arial"/>
                <w:sz w:val="18"/>
                <w:szCs w:val="18"/>
                <w:color w:val="auto"/>
                <w:w w:val="95"/>
              </w:rPr>
              <w:t>0.2</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9"/>
                <w:szCs w:val="19"/>
                <w:color w:val="auto"/>
              </w:rPr>
            </w:pPr>
          </w:p>
        </w:tc>
        <w:tc>
          <w:tcPr>
            <w:tcW w:w="740" w:type="dxa"/>
            <w:vAlign w:val="bottom"/>
          </w:tcPr>
          <w:p>
            <w:pPr>
              <w:jc w:val="center"/>
              <w:ind w:left="150"/>
              <w:spacing w:after="0"/>
              <w:rPr>
                <w:sz w:val="20"/>
                <w:szCs w:val="20"/>
                <w:color w:val="auto"/>
              </w:rPr>
            </w:pPr>
            <w:r>
              <w:rPr>
                <w:rFonts w:ascii="Arial" w:cs="Arial" w:eastAsia="Arial" w:hAnsi="Arial"/>
                <w:sz w:val="18"/>
                <w:szCs w:val="18"/>
                <w:color w:val="auto"/>
                <w:w w:val="91"/>
              </w:rPr>
              <w:t>(0.2)</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(1.6)</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5"/>
              </w:rPr>
              <w:t>1.9</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-770890</wp:posOffset>
            </wp:positionV>
            <wp:extent cx="700341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14541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-479425</wp:posOffset>
            </wp:positionV>
            <wp:extent cx="700341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14541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-187960</wp:posOffset>
            </wp:positionV>
            <wp:extent cx="70034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60"/>
          </w:cols>
          <w:pgMar w:left="320" w:top="122"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369" w:lineRule="exact"/>
        <w:rPr>
          <w:sz w:val="20"/>
          <w:szCs w:val="20"/>
          <w:color w:val="auto"/>
        </w:rPr>
      </w:pPr>
    </w:p>
    <w:p>
      <w:pPr>
        <w:ind w:left="320" w:hanging="150"/>
        <w:spacing w:after="0"/>
        <w:tabs>
          <w:tab w:leader="none" w:pos="3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Primarily distributor receivables, gift card receivables and credit card receivables.</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delinquency status of receivables (other than accounts receivable, gift card receivables and distributor receivables) at September 30, 2023 was as follows:</w:t>
      </w:r>
    </w:p>
    <w:p>
      <w:pPr>
        <w:spacing w:after="0" w:line="8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Notes receivable,</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w w:val="95"/>
              </w:rPr>
              <w:t>Notes receivable,</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Real Estate Lease</w:t>
            </w: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Equipment Notes</w:t>
            </w:r>
          </w:p>
        </w:tc>
        <w:tc>
          <w:tcPr>
            <w:tcW w:w="260" w:type="dxa"/>
            <w:vAlign w:val="bottom"/>
          </w:tcPr>
          <w:p>
            <w:pPr>
              <w:spacing w:after="0"/>
              <w:rPr>
                <w:sz w:val="14"/>
                <w:szCs w:val="14"/>
                <w:color w:val="auto"/>
              </w:rPr>
            </w:pPr>
          </w:p>
        </w:tc>
        <w:tc>
          <w:tcPr>
            <w:tcW w:w="9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(1)</w:t>
            </w:r>
          </w:p>
        </w:tc>
        <w:tc>
          <w:tcPr>
            <w:tcW w:w="36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short-term</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long-term</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Receivable</w:t>
            </w:r>
          </w:p>
        </w:tc>
        <w:tc>
          <w:tcPr>
            <w:tcW w:w="12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66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16.9</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30-59 days</w:t>
            </w:r>
          </w:p>
        </w:tc>
        <w:tc>
          <w:tcPr>
            <w:tcW w:w="1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60-89 days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90-119 days</w:t>
            </w:r>
          </w:p>
        </w:tc>
        <w:tc>
          <w:tcPr>
            <w:tcW w:w="1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120+ days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356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16.9</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20" w:hanging="150"/>
        <w:spacing w:after="0"/>
        <w:tabs>
          <w:tab w:leader="none" w:pos="3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Primarily credit card receivables.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year of origination of the Company's notes receivable and financing receivables is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-130175</wp:posOffset>
            </wp:positionV>
            <wp:extent cx="697801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801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14605</wp:posOffset>
            </wp:positionV>
            <wp:extent cx="697801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7801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14605</wp:posOffset>
            </wp:positionV>
            <wp:extent cx="697801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801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14605</wp:posOffset>
            </wp:positionV>
            <wp:extent cx="697801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place its financing receivables in non-accrual status.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Notes receivable,</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Lease</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short and long-</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Equipment Notes</w:t>
            </w:r>
          </w:p>
        </w:tc>
        <w:tc>
          <w:tcPr>
            <w:tcW w:w="28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term</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Receivables</w:t>
            </w:r>
          </w:p>
        </w:tc>
        <w:tc>
          <w:tcPr>
            <w:tcW w:w="12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87" w:lineRule="exact"/>
        <w:rPr>
          <w:sz w:val="20"/>
          <w:szCs w:val="20"/>
          <w:color w:val="auto"/>
        </w:rPr>
      </w:pPr>
    </w:p>
    <w:p>
      <w:pPr>
        <w:sectPr>
          <w:pgSz w:w="11900" w:h="16838" w:orient="portrait"/>
          <w:cols w:equalWidth="0" w:num="2">
            <w:col w:w="5500" w:space="720"/>
            <w:col w:w="5020"/>
          </w:cols>
          <w:pgMar w:left="320" w:top="122" w:right="339" w:bottom="1440" w:gutter="0" w:footer="0" w:header="0"/>
          <w:type w:val="continuous"/>
        </w:sectPr>
      </w:pPr>
    </w:p>
    <w:p>
      <w:pPr>
        <w:jc w:val="both"/>
        <w:spacing w:after="0" w:line="273" w:lineRule="auto"/>
        <w:rPr>
          <w:sz w:val="20"/>
          <w:szCs w:val="20"/>
          <w:color w:val="auto"/>
        </w:rPr>
      </w:pPr>
      <w:r>
        <w:rPr>
          <w:rFonts w:ascii="Arial" w:cs="Arial" w:eastAsia="Arial" w:hAnsi="Arial"/>
          <w:sz w:val="17"/>
          <w:szCs w:val="17"/>
          <w:color w:val="auto"/>
        </w:rPr>
        <w:t>The Company engages in leasing activity as both a lessee and a lessor. The Company currently leases from third parties the real property on which approximately 520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a third party the real property on which one Fuzzy's company-operated restaurant is located. The Company also leases office space for its principal corporate office in Pasadena, California and restaurant support centers in Leawood, Kansas, and Irving, Texas. The Company does not have a significant amount of non-real estate leases.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290 of the Company's leases met the sales levels that required variable rent payments to the Company (as lessor), based on a percentage of restaurant sales during the nine months ended September 30, 2023. Approximately 40 of the leases met the sales levels that required variable rent payments by the Company (as lessee), based on a percentage of restaurant sales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(income) cost for the three and nine months ended September 30, 2023 and 2022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70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183"/>
        </w:trPr>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Finance lease cost:</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2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57"/>
        </w:trPr>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2"/>
                <w:szCs w:val="22"/>
                <w:color w:val="auto"/>
              </w:rPr>
            </w:pPr>
          </w:p>
        </w:tc>
      </w:tr>
      <w:tr>
        <w:trPr>
          <w:trHeight w:val="22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Variable lease cost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r>
      <w:tr>
        <w:trPr>
          <w:trHeight w:val="248"/>
        </w:trPr>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income</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9"/>
        </w:trPr>
        <w:tc>
          <w:tcPr>
            <w:tcW w:w="8200" w:type="dxa"/>
            <w:vAlign w:val="bottom"/>
            <w:gridSpan w:val="9"/>
          </w:tcPr>
          <w:p>
            <w:pPr>
              <w:spacing w:after="0"/>
              <w:rPr>
                <w:sz w:val="20"/>
                <w:szCs w:val="20"/>
                <w:color w:val="auto"/>
              </w:rPr>
            </w:pPr>
            <w:r>
              <w:rPr>
                <w:rFonts w:ascii="Arial" w:cs="Arial" w:eastAsia="Arial" w:hAnsi="Arial"/>
                <w:sz w:val="18"/>
                <w:szCs w:val="18"/>
                <w:color w:val="auto"/>
                <w:w w:val="88"/>
              </w:rPr>
              <w:t>Future minimum lease payments under noncancellable leases as lessee as of September 30, 2023 were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Arial" w:cs="Arial" w:eastAsia="Arial" w:hAnsi="Arial"/>
                <w:sz w:val="16"/>
                <w:szCs w:val="16"/>
                <w:b w:val="1"/>
                <w:bCs w:val="1"/>
                <w:color w:val="auto"/>
              </w:rPr>
              <w:t>Finance</w:t>
            </w:r>
          </w:p>
        </w:tc>
        <w:tc>
          <w:tcPr>
            <w:tcW w:w="34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Operating</w:t>
            </w:r>
          </w:p>
        </w:tc>
      </w:tr>
      <w:tr>
        <w:trPr>
          <w:trHeight w:val="213"/>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rPr>
              <w:t>Leases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Leases</w:t>
            </w:r>
          </w:p>
        </w:tc>
      </w:tr>
      <w:tr>
        <w:trPr>
          <w:trHeight w:val="191"/>
        </w:trPr>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60" w:type="dxa"/>
            <w:vAlign w:val="bottom"/>
          </w:tcPr>
          <w:p>
            <w:pPr>
              <w:spacing w:after="0"/>
              <w:rPr>
                <w:sz w:val="20"/>
                <w:szCs w:val="20"/>
                <w:color w:val="auto"/>
              </w:rPr>
            </w:pPr>
          </w:p>
        </w:tc>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r>
      <w:tr>
        <w:trPr>
          <w:trHeight w:val="230"/>
        </w:trPr>
        <w:tc>
          <w:tcPr>
            <w:tcW w:w="16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79.8</w:t>
            </w:r>
          </w:p>
        </w:tc>
      </w:tr>
      <w:tr>
        <w:trPr>
          <w:trHeight w:val="229"/>
        </w:trPr>
        <w:tc>
          <w:tcPr>
            <w:tcW w:w="160" w:type="dxa"/>
            <w:vAlign w:val="bottom"/>
          </w:tcPr>
          <w:p>
            <w:pPr>
              <w:spacing w:after="0"/>
              <w:rPr>
                <w:sz w:val="19"/>
                <w:szCs w:val="19"/>
                <w:color w:val="auto"/>
              </w:rPr>
            </w:pPr>
          </w:p>
        </w:tc>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r>
      <w:tr>
        <w:trPr>
          <w:trHeight w:val="230"/>
        </w:trPr>
        <w:tc>
          <w:tcPr>
            <w:tcW w:w="16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r>
      <w:tr>
        <w:trPr>
          <w:trHeight w:val="230"/>
        </w:trPr>
        <w:tc>
          <w:tcPr>
            <w:tcW w:w="160" w:type="dxa"/>
            <w:vAlign w:val="bottom"/>
          </w:tcPr>
          <w:p>
            <w:pPr>
              <w:spacing w:after="0"/>
              <w:rPr>
                <w:sz w:val="19"/>
                <w:szCs w:val="19"/>
                <w:color w:val="auto"/>
              </w:rPr>
            </w:pPr>
          </w:p>
        </w:tc>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r>
      <w:tr>
        <w:trPr>
          <w:trHeight w:val="230"/>
        </w:trPr>
        <w:tc>
          <w:tcPr>
            <w:tcW w:w="160" w:type="dxa"/>
            <w:vAlign w:val="bottom"/>
          </w:tcPr>
          <w:p>
            <w:pPr>
              <w:spacing w:after="0"/>
              <w:rPr>
                <w:sz w:val="19"/>
                <w:szCs w:val="19"/>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135.9</w:t>
            </w:r>
          </w:p>
        </w:tc>
      </w:tr>
      <w:tr>
        <w:trPr>
          <w:trHeight w:val="223"/>
        </w:trPr>
        <w:tc>
          <w:tcPr>
            <w:tcW w:w="16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405.7</w:t>
            </w:r>
          </w:p>
        </w:tc>
      </w:tr>
      <w:tr>
        <w:trPr>
          <w:trHeight w:val="230"/>
        </w:trPr>
        <w:tc>
          <w:tcPr>
            <w:tcW w:w="160" w:type="dxa"/>
            <w:vAlign w:val="bottom"/>
          </w:tcPr>
          <w:p>
            <w:pPr>
              <w:spacing w:after="0"/>
              <w:rPr>
                <w:sz w:val="19"/>
                <w:szCs w:val="19"/>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interest/imputed interest</w:t>
            </w: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(70.1)</w:t>
            </w:r>
          </w:p>
        </w:tc>
      </w:tr>
      <w:tr>
        <w:trPr>
          <w:trHeight w:val="223"/>
        </w:trPr>
        <w:tc>
          <w:tcPr>
            <w:tcW w:w="16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obligations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335.6</w:t>
            </w:r>
          </w:p>
        </w:tc>
      </w:tr>
      <w:tr>
        <w:trPr>
          <w:trHeight w:val="230"/>
        </w:trPr>
        <w:tc>
          <w:tcPr>
            <w:tcW w:w="160" w:type="dxa"/>
            <w:vAlign w:val="bottom"/>
          </w:tcPr>
          <w:p>
            <w:pPr>
              <w:spacing w:after="0"/>
              <w:rPr>
                <w:sz w:val="19"/>
                <w:szCs w:val="19"/>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w:t>
            </w: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(58.8)</w:t>
            </w:r>
          </w:p>
        </w:tc>
      </w:tr>
      <w:tr>
        <w:trPr>
          <w:trHeight w:val="248"/>
        </w:trPr>
        <w:tc>
          <w:tcPr>
            <w:tcW w:w="16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276.8</w:t>
            </w:r>
          </w:p>
        </w:tc>
      </w:tr>
      <w:tr>
        <w:trPr>
          <w:trHeight w:val="20"/>
        </w:trPr>
        <w:tc>
          <w:tcPr>
            <w:tcW w:w="16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remaining lease term as of September 30, 2023 was 6.1 years for finance leases and 6.1 years for operating leases. The weighted average discount rate as of September 30, 2023 was 9.3% for finance leases and 5.6% for operating leases.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2023 and 2022, the Company made the following cash payments for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780" w:type="dxa"/>
            <w:vAlign w:val="bottom"/>
            <w:gridSpan w:val="5"/>
          </w:tcPr>
          <w:p>
            <w:pPr>
              <w:ind w:left="100"/>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8"/>
                <w:szCs w:val="18"/>
                <w:color w:val="auto"/>
              </w:rPr>
            </w:pPr>
          </w:p>
        </w:tc>
        <w:tc>
          <w:tcPr>
            <w:tcW w:w="258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2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191"/>
        </w:trPr>
        <w:tc>
          <w:tcPr>
            <w:tcW w:w="5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finance lease obligations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Interest payments on finance lease obligations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operating leases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Variable lease payments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from operating leases for the three and nine months ended September 30, 2023 and 2022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840" w:type="dxa"/>
            <w:vAlign w:val="bottom"/>
            <w:gridSpan w:val="10"/>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c>
          <w:tcPr>
            <w:tcW w:w="100" w:type="dxa"/>
            <w:vAlign w:val="bottom"/>
          </w:tcPr>
          <w:p>
            <w:pPr>
              <w:spacing w:after="0"/>
              <w:rPr>
                <w:sz w:val="18"/>
                <w:szCs w:val="18"/>
                <w:color w:val="auto"/>
              </w:rPr>
            </w:pPr>
          </w:p>
        </w:tc>
        <w:tc>
          <w:tcPr>
            <w:tcW w:w="2580" w:type="dxa"/>
            <w:vAlign w:val="bottom"/>
            <w:gridSpan w:val="8"/>
          </w:tcPr>
          <w:p>
            <w:pPr>
              <w:ind w:left="20"/>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6"/>
          </w:tcPr>
          <w:p>
            <w:pPr>
              <w:jc w:val="right"/>
              <w:ind w:right="833"/>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Minimum lease payments</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Variable lease income</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income</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8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580" w:type="dxa"/>
            <w:vAlign w:val="bottom"/>
            <w:gridSpan w:val="15"/>
          </w:tcPr>
          <w:p>
            <w:pPr>
              <w:spacing w:after="0"/>
              <w:rPr>
                <w:sz w:val="20"/>
                <w:szCs w:val="20"/>
                <w:color w:val="auto"/>
              </w:rPr>
            </w:pPr>
            <w:r>
              <w:rPr>
                <w:rFonts w:ascii="Arial" w:cs="Arial" w:eastAsia="Arial" w:hAnsi="Arial"/>
                <w:sz w:val="18"/>
                <w:szCs w:val="18"/>
                <w:color w:val="auto"/>
                <w:w w:val="94"/>
              </w:rPr>
              <w:t>Minimum payments to be received as lessor under noncancellable operating leases as of September 30, 2023 were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three months)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gridSpan w:val="2"/>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gridSpan w:val="2"/>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minimum rents receivable</w:t>
            </w:r>
          </w:p>
        </w:tc>
        <w:tc>
          <w:tcPr>
            <w:tcW w:w="8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580" w:type="dxa"/>
            <w:vAlign w:val="bottom"/>
            <w:gridSpan w:val="15"/>
            <w:vMerge w:val="restart"/>
          </w:tcPr>
          <w:p>
            <w:pPr>
              <w:spacing w:after="0"/>
              <w:rPr>
                <w:sz w:val="20"/>
                <w:szCs w:val="20"/>
                <w:color w:val="auto"/>
              </w:rPr>
            </w:pPr>
            <w:r>
              <w:rPr>
                <w:rFonts w:ascii="Arial" w:cs="Arial" w:eastAsia="Arial" w:hAnsi="Arial"/>
                <w:sz w:val="18"/>
                <w:szCs w:val="18"/>
                <w:color w:val="auto"/>
                <w:w w:val="91"/>
              </w:rPr>
              <w:t>The Company's income from real estate leases for the three and nine months ended September 30, 2023 and 2022 was as follows:</w:t>
            </w: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580" w:type="dxa"/>
            <w:vAlign w:val="bottom"/>
            <w:gridSpan w:val="15"/>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40" w:type="dxa"/>
            <w:vAlign w:val="bottom"/>
            <w:gridSpan w:val="10"/>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580" w:type="dxa"/>
            <w:vAlign w:val="bottom"/>
            <w:gridSpan w:val="8"/>
          </w:tcPr>
          <w:p>
            <w:pPr>
              <w:ind w:left="20"/>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6"/>
          </w:tcPr>
          <w:p>
            <w:pPr>
              <w:jc w:val="right"/>
              <w:ind w:right="833"/>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Variable lease income</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(loss) profit</w:t>
            </w:r>
          </w:p>
        </w:tc>
        <w:tc>
          <w:tcPr>
            <w:tcW w:w="86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Total real estate lease income</w:t>
            </w: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3"/>
          </w:tcPr>
          <w:p>
            <w:pPr>
              <w:ind w:left="40"/>
              <w:spacing w:after="0"/>
              <w:rPr>
                <w:sz w:val="20"/>
                <w:szCs w:val="20"/>
                <w:color w:val="auto"/>
              </w:rPr>
            </w:pPr>
            <w:r>
              <w:rPr>
                <w:rFonts w:ascii="Arial" w:cs="Arial" w:eastAsia="Arial" w:hAnsi="Arial"/>
                <w:sz w:val="18"/>
                <w:szCs w:val="18"/>
                <w:color w:val="auto"/>
                <w:w w:val="90"/>
              </w:rPr>
              <w:t>Minimum payments to be received as lessor under noncancellable real estate leases as of September 30, 2023 were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three months)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gridSpan w:val="2"/>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minimum rents receivable</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unearned income</w:t>
            </w:r>
          </w:p>
        </w:tc>
        <w:tc>
          <w:tcPr>
            <w:tcW w:w="8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investment in real estate leases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8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investment in real estate leases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long-term debt consisted of the following components:</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8"/>
              </w:rPr>
              <w:t>December 31, 2022</w:t>
            </w:r>
          </w:p>
        </w:tc>
      </w:tr>
      <w:tr>
        <w:trPr>
          <w:trHeight w:val="191"/>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00" w:type="dxa"/>
            <w:vAlign w:val="bottom"/>
            <w:gridSpan w:val="4"/>
          </w:tcPr>
          <w:p>
            <w:pPr>
              <w:jc w:val="right"/>
              <w:ind w:right="1151"/>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Series 2019-1</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4.194%</w:t>
            </w: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Senior Secured Notes, Class A-2-I</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w w:val="89"/>
              </w:rPr>
              <w:t>Series 2019-1</w:t>
            </w:r>
          </w:p>
        </w:tc>
        <w:tc>
          <w:tcPr>
            <w:tcW w:w="600" w:type="dxa"/>
            <w:vAlign w:val="bottom"/>
          </w:tcPr>
          <w:p>
            <w:pPr>
              <w:ind w:left="20"/>
              <w:spacing w:after="0"/>
              <w:rPr>
                <w:sz w:val="20"/>
                <w:szCs w:val="20"/>
                <w:color w:val="auto"/>
              </w:rPr>
            </w:pPr>
            <w:r>
              <w:rPr>
                <w:rFonts w:ascii="Arial" w:cs="Arial" w:eastAsia="Arial" w:hAnsi="Arial"/>
                <w:sz w:val="18"/>
                <w:szCs w:val="18"/>
                <w:color w:val="auto"/>
                <w:w w:val="91"/>
              </w:rPr>
              <w:t>4.723%</w:t>
            </w:r>
          </w:p>
        </w:tc>
        <w:tc>
          <w:tcPr>
            <w:tcW w:w="6040" w:type="dxa"/>
            <w:vAlign w:val="bottom"/>
          </w:tcPr>
          <w:p>
            <w:pPr>
              <w:ind w:left="20"/>
              <w:spacing w:after="0"/>
              <w:rPr>
                <w:sz w:val="20"/>
                <w:szCs w:val="20"/>
                <w:color w:val="auto"/>
              </w:rPr>
            </w:pPr>
            <w:r>
              <w:rPr>
                <w:rFonts w:ascii="Arial" w:cs="Arial" w:eastAsia="Arial" w:hAnsi="Arial"/>
                <w:sz w:val="18"/>
                <w:szCs w:val="18"/>
                <w:color w:val="auto"/>
              </w:rPr>
              <w:t>Fixed Rate Senior Secured Notes, Class A-2-II</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594.0</w:t>
            </w: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Series 2022-1</w:t>
            </w:r>
          </w:p>
        </w:tc>
        <w:tc>
          <w:tcPr>
            <w:tcW w:w="6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Variable Funding Senior Secured Notes, Class A-1, variable interest rate of 7.94% and</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7.29% at September 30, 2023 and December 31, 2022, respectively</w:t>
            </w: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w w:val="89"/>
              </w:rPr>
              <w:t>Series 2023-1</w:t>
            </w:r>
          </w:p>
        </w:tc>
        <w:tc>
          <w:tcPr>
            <w:tcW w:w="600" w:type="dxa"/>
            <w:vAlign w:val="bottom"/>
          </w:tcPr>
          <w:p>
            <w:pPr>
              <w:ind w:left="20"/>
              <w:spacing w:after="0"/>
              <w:rPr>
                <w:sz w:val="20"/>
                <w:szCs w:val="20"/>
                <w:color w:val="auto"/>
              </w:rPr>
            </w:pPr>
            <w:r>
              <w:rPr>
                <w:rFonts w:ascii="Arial" w:cs="Arial" w:eastAsia="Arial" w:hAnsi="Arial"/>
                <w:sz w:val="18"/>
                <w:szCs w:val="18"/>
                <w:color w:val="auto"/>
                <w:w w:val="91"/>
              </w:rPr>
              <w:t>7.824%</w:t>
            </w:r>
          </w:p>
        </w:tc>
        <w:tc>
          <w:tcPr>
            <w:tcW w:w="6040" w:type="dxa"/>
            <w:vAlign w:val="bottom"/>
          </w:tcPr>
          <w:p>
            <w:pPr>
              <w:ind w:left="20"/>
              <w:spacing w:after="0"/>
              <w:rPr>
                <w:sz w:val="20"/>
                <w:szCs w:val="20"/>
                <w:color w:val="auto"/>
              </w:rPr>
            </w:pPr>
            <w:r>
              <w:rPr>
                <w:rFonts w:ascii="Arial" w:cs="Arial" w:eastAsia="Arial" w:hAnsi="Arial"/>
                <w:sz w:val="18"/>
                <w:szCs w:val="18"/>
                <w:color w:val="auto"/>
              </w:rPr>
              <w:t>Fixed Rate Senior Secured Notes, Class A-2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Debt issuance costs</w:t>
            </w:r>
          </w:p>
        </w:tc>
        <w:tc>
          <w:tcPr>
            <w:tcW w:w="60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7680" w:type="dxa"/>
            <w:vAlign w:val="bottom"/>
            <w:gridSpan w:val="3"/>
          </w:tcPr>
          <w:p>
            <w:pPr>
              <w:ind w:left="120"/>
              <w:spacing w:after="0"/>
              <w:rPr>
                <w:sz w:val="20"/>
                <w:szCs w:val="20"/>
                <w:color w:val="auto"/>
              </w:rPr>
            </w:pPr>
            <w:r>
              <w:rPr>
                <w:rFonts w:ascii="Arial" w:cs="Arial" w:eastAsia="Arial" w:hAnsi="Arial"/>
                <w:sz w:val="18"/>
                <w:szCs w:val="18"/>
                <w:color w:val="auto"/>
              </w:rPr>
              <w:t>Long-term debt, net of debt issuance costs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1,341.9</w:t>
            </w:r>
          </w:p>
        </w:tc>
      </w:tr>
      <w:tr>
        <w:trPr>
          <w:trHeight w:val="230"/>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1640" w:type="dxa"/>
            <w:vAlign w:val="bottom"/>
            <w:gridSpan w:val="2"/>
          </w:tcPr>
          <w:p>
            <w:pPr>
              <w:ind w:left="120"/>
              <w:spacing w:after="0"/>
              <w:rPr>
                <w:sz w:val="20"/>
                <w:szCs w:val="20"/>
                <w:color w:val="auto"/>
              </w:rPr>
            </w:pPr>
            <w:r>
              <w:rPr>
                <w:rFonts w:ascii="Arial" w:cs="Arial" w:eastAsia="Arial" w:hAnsi="Arial"/>
                <w:sz w:val="18"/>
                <w:szCs w:val="18"/>
                <w:color w:val="auto"/>
              </w:rPr>
              <w:t>Long-term debt</w:t>
            </w:r>
          </w:p>
        </w:tc>
        <w:tc>
          <w:tcPr>
            <w:tcW w:w="6040" w:type="dxa"/>
            <w:vAlign w:val="bottom"/>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1,241.9</w:t>
            </w:r>
          </w:p>
        </w:tc>
      </w:tr>
      <w:tr>
        <w:trPr>
          <w:trHeight w:val="21"/>
        </w:trPr>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(“2019 Class A-2-II Notes”)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 (the “Previous Credit Facility”).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 The Company used the net proceeds of the 2023 Class A-2 Notes to repay the entire outstanding balance of approximately $585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2023-1 Supplement to the Base Indenture, dated April 17, 2023 (the “Series 2023-1 Supplement”), among the Co-Issuers and Citibank, N.A., as Trustee and securities intermediary. The Base Indenture, Series 2019-1 Supplement, Series 2022-1 Supplement, and Series 2023-1 Supplement (collectively, the “Indenture”) will allow the Co-Issuers to issue additional series of notes in the future subject to certain conditions set forth therein.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Class A-2 Notes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Class A-2-I Notes were voluntarily repaid in full on April 17, 2023, while the 2019 Class A-2-II Notes remain outstanding as of September 30, 2023. For a description of the 2019 Class A-2-I Notes, refer to Note 8 of the Notes to Consolidated Financial Statements included in the Company’s Annual Report on Form 10-K for the year ended December 31, 2022. The legal final maturity of the 2019 Class A-2-II Notes is June 2049, but rapid amortization will apply if the 2019 Class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A-2-II Notes are not repaid by June 2026 (the “2019 Class A-2-II Anticipated Repayment Date”). If the Co-Issuers have not repaid or refinanced the 2019 Class A-2-II Notes by the 2019 Class A-2-II Anticipated Repayment Date, then additional interest will accrue on the 2019 Class A-2-II Notes, as applicable, at the greater of: (A) 5.0% and (B) 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2019 Class A-2-II Notes are outstanding, payment of principal and interest is required to be made on the 2019 Class A-2-II Notes on a quarterly basis. The quarterly principal payment of $1.50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Company's leverage ratio was approximately 4.6x. As a result, quarterly principal payments on the 2019 Class A-2-II Notes of $1.50 million currently are not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voluntarily repay the 2019 Class A-2-II Notes at any time without any associated make-whole premium.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Class A-1 Notes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Previous Credit Facility allowed for drawings up to $225 million of variable funding notes on a revolving basis and the issuance of letters of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borrowings since March 2021 under the Previous Credit Facility until its termination in August 2022.</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 for borrowings under the Previous Credit Facility was the three-month LIBOR rate plus 2.15% for 60% of the advances and the commercial paper funding rate of our conduit investor plus 2.15% for 40% of the advances.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Class A-1 Notes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2023, the outstanding balance of the Credit Facility was $100 million. The amount of $3.4 million was pledged against the Credit Facility for outstanding letters of credit, leaving $221.6 million of the Credit Facility available for borrowing at September 30, 2023.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nine months ended September 30, 2023 was 7.60%.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Class A-2 Notes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18" w:lineRule="exact"/>
        <w:rPr>
          <w:sz w:val="20"/>
          <w:szCs w:val="20"/>
          <w:color w:val="auto"/>
        </w:rPr>
      </w:pPr>
    </w:p>
    <w:p>
      <w:pPr>
        <w:jc w:val="both"/>
        <w:ind w:firstLine="8"/>
        <w:spacing w:after="0" w:line="263"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2023 Class A-2 Notes are outstanding, payment of principal and interest is required to be made on the 2023 Class A-2 Notes on a quarterly basis. The payment of principal on the 2023 Class A-2 Notes may be suspended when the leverage ratio for the Company and its subsidiaries is less than or equal to 5.25x.</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Company's leverage ratio was approximately 4.6x. As a result, quarterly principal payments on the 2023 Class A-2 Notes of $1.25 million currently are not required.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voluntarily repay the 2023 Class A-2 Notes at any time; however, if the 2023 Class A-2 Notes are repaid prior to certain dates, the Company would be required to pay make-whole premiums. As of September 30, 2023, the make-whole premium associated with voluntary prepayment of the 2023 Class A-2 Notes was approximately $35.3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September 30, 2023, based on the probability-weighted discounted cash flows associated with either event.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Program</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Restrictions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DSCR for the reporting period ended September 30, 2023 was approximately 3.7x.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Class A-2 Notes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$0.3 million and $0.5 million were included in interest expense for the three and nine months ended September 30, 2023, respectively. As of September 30, 2023, unamortized debt issuance costs of $7.5 million are reported as a direct reduction of the 2023 Series Class A-2 Notes in the Consolidated Balance Sheets.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Class A-1 Notes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2022, the Company incurred costs of approximately $6.3 million in connection with the issuance of the Credit Facility. These debt issuance costs are being amortized over the estimated life of the Credit Facility. Amortization of $0.3 million and $0.9 million, respectively, of these costs were included in interest expense for the three and nine months ended September 30, 2023. As of September 30, 2023, unamortized debt issuance costs of $5.0 million related to the Credit Facility are classified as other non-current assets in the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Class A-2 Notes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$0.2 million and $1.3 million were included in interest expense for the three and nine months ended September 30, 2023, respectively. Amortization costs of $0.1 million and $1.1 million were included in interest expense for the three and nine months ended September 30, 2022, respectively. In connection with the repayment of the 2019 Class A-2-I Notes discussed above, the Company recognized as a loss on extinguishment of debt of $1.7 million, representing the related remaining unamortized debt issuance costs. As of September 30, 2023, unamortized debt issuance costs of $2.5 million are reported as a direct reduction of the 2019 Class A-2-II Notes in the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Class A-1 Notes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costs incurred in connection with the Previous Credit Facility of $0.2 million were included in interest expense for the nine months ended September 30, 2022. In connection with the termination of the Previous Credit Facility in August 2022, the Company recognized as a loss on extinguishment of debt of $1.2 million, representing the remaining unamortized debt issuance costs associated with the Previous Credit Facility.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(Gain) on Extinguishment of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$67.9 million of its 2019 Class A-2-I Notes under par and recognized a $1.7 million gain on extinguishment of debt during the nine months ended September 30,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repayment of the 2019 Class A-2-I Notes, the Company recognized a loss on extinguishment of debt of $1.7 million, representing the remaining unamortized costs related to the 2019 Class A-2-I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Long-term Debt</w:t>
      </w:r>
    </w:p>
    <w:p>
      <w:pPr>
        <w:spacing w:after="0" w:line="121" w:lineRule="exact"/>
        <w:rPr>
          <w:sz w:val="20"/>
          <w:szCs w:val="20"/>
          <w:color w:val="auto"/>
        </w:rPr>
      </w:pPr>
    </w:p>
    <w:p>
      <w:pPr>
        <w:ind w:left="660" w:right="2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final maturity of the 2019 Class A-2 Notes is in June 2049, but it is anticipated that, unless repaid earlier, the 2019 Class A-2-II Notes will be repaid in June 2026.</w:t>
      </w:r>
    </w:p>
    <w:p>
      <w:pPr>
        <w:spacing w:after="0" w:line="27" w:lineRule="exact"/>
        <w:rPr>
          <w:rFonts w:ascii="Arial" w:cs="Arial" w:eastAsia="Arial" w:hAnsi="Arial"/>
          <w:sz w:val="18"/>
          <w:szCs w:val="18"/>
          <w:color w:val="auto"/>
        </w:rPr>
      </w:pPr>
    </w:p>
    <w:p>
      <w:pPr>
        <w:ind w:left="660" w:right="2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final maturity of the 2023 Class A-2 Notes is in March 2053, but it is anticipated that, unless repaid earlier, the 2023 Class A-2 Notes will be repaid in June 2029.</w:t>
      </w:r>
    </w:p>
    <w:p>
      <w:pPr>
        <w:spacing w:after="0" w:line="1"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renewal date of the Credit Facility is June 2027, subject to two additional one-year extensions at the option of the Company upon the satisfaction of certain conditions.</w:t>
      </w:r>
    </w:p>
    <w:p>
      <w:pPr>
        <w:ind w:left="660" w:hanging="328"/>
        <w:spacing w:after="0" w:line="24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principal payments on the 2019 Class A-2-II Notes totaling $1.50 million ($6.0 million per annum) are required if the Company's leverage ratio is greater than 5.25x.</w:t>
      </w:r>
    </w:p>
    <w:p>
      <w:pPr>
        <w:spacing w:after="0" w:line="1" w:lineRule="exact"/>
        <w:rPr>
          <w:rFonts w:ascii="Arial" w:cs="Arial" w:eastAsia="Arial" w:hAnsi="Arial"/>
          <w:sz w:val="18"/>
          <w:szCs w:val="18"/>
          <w:color w:val="auto"/>
        </w:rPr>
      </w:pPr>
    </w:p>
    <w:p>
      <w:pPr>
        <w:ind w:left="660" w:right="60" w:hanging="328"/>
        <w:spacing w:after="0" w:line="24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principal payments on the 2023 Class A-2 Notes totaling $1.25 million ($5.0 million per annum) are required if the Company's leverage ratio is greater than 5.25x.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Deficit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per share for the three and nine months ended September 30, 2023 and 2022 were as follows:</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6"/>
                <w:szCs w:val="16"/>
                <w:b w:val="1"/>
                <w:bCs w:val="1"/>
                <w:color w:val="auto"/>
                <w:w w:val="91"/>
              </w:rPr>
              <w:t>Three Months Ended September 30,</w:t>
            </w: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r>
      <w:tr>
        <w:trPr>
          <w:trHeight w:val="22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r>
    </w:tbl>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2, 2022, the Board of Directors declared a fourth quarter 2022 cash dividend of $0.51 per share of common stock, paid on January 6, 2023 to the stockholders of record as of the close of business on December 17,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21, 2023, the Board of Directors declared a first quarter 2023 cash dividend of $0.51 per share of common stock, paid on March 31, 2023 to the stockholders of record as of the close of business on March 20,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11, 2023, the Board of Directors declared a second quarter 2023 cash dividend of $0.51 per share of common stock, paid on July 7, 2023 to the stockholders of record as of the close of business on June 20,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7, 2023, the Board of Directors declared a third quarter 2023 cash dividend of $0.51 per share of common stock, paid on September 29, 2023 to the stockholders of record as of the close of business on September 19,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 Company repurchased 318,356 shares of common stock at a cost of $20.0 million. Cumulatively, the Company repurchased 1,467,945 shares at a cost of $98.7 million under the 2022 Repurchase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2023, the Company re-issued 279,861 shares of treasury stock at a total FIFO cost of $13.4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effective tax rate was 25.0% for the nine months ended September 30, 2023, as compared to 26.9% for the nine months ended September 30, 2022. The effective tax rate for the nine months ended September 30, 2023 was different than the rate of the prior comparable period primarily due to the recognition of higher excess tax benefits from stock-based compensation and lower non-deductible executive compensation.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gross unrecognized tax benefit as of September 30, 2023 and December 31, 2022 was $2.6 million and $2.1 million, respectively, excluding interest, penalties and related tax benefits. The Company estimates the unrecognized tax benefit as of September 30, 2023 may decrease over the upcoming 12 months by an amount up to $0.5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2023, accrued interest was $0.8 million and accrued penalties were less than $0.1 million, excluding any related income tax benefits. As of December 31, 2022, accrued interest was $0.7 million and accrued penalties were less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 (Continued)</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than $0.1 million,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2018 and state or non-United States tax examinations by tax authorities for years before 2011. The Company believes that adequate reserves have been provided related to all matters contained in the tax periods open to examination.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included in general and administrative expenses in the Consolidated Statements of Comprehensive Income: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780" w:type="dxa"/>
            <w:vAlign w:val="bottom"/>
            <w:gridSpan w:val="6"/>
          </w:tcPr>
          <w:p>
            <w:pPr>
              <w:ind w:left="8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3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191"/>
        </w:trPr>
        <w:tc>
          <w:tcPr>
            <w:tcW w:w="5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classified awards expense</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5"/>
              </w:rPr>
              <w:t>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Liability classified awards (credit) expense</w:t>
            </w: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14"/>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734"/>
              <w:spacing w:after="0"/>
              <w:rPr>
                <w:sz w:val="20"/>
                <w:szCs w:val="20"/>
                <w:color w:val="auto"/>
              </w:rPr>
            </w:pPr>
            <w:r>
              <w:rPr>
                <w:rFonts w:ascii="Arial" w:cs="Arial" w:eastAsia="Arial" w:hAnsi="Arial"/>
                <w:sz w:val="18"/>
                <w:szCs w:val="18"/>
                <w:color w:val="auto"/>
                <w:w w:val="95"/>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September 30, 2023, total unrecognized compensation expense of $19.9 million related to restricted stock and restricted stock units and $3.0 million related to stock options are expected to be recognized over a weighted average period of 1.4 years for restricted stock and restricted stock units and 1.4 years for stock options.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assumptions used in the Black-Scholes model for stock options granted during the nine months ended September 30,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Historical volatility</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70.9 %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granted</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$37.35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Equity Classified Awards - Stock Options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40" w:type="dxa"/>
            <w:vAlign w:val="bottom"/>
            <w:gridSpan w:val="8"/>
          </w:tcPr>
          <w:p>
            <w:pPr>
              <w:spacing w:after="0"/>
              <w:rPr>
                <w:sz w:val="20"/>
                <w:szCs w:val="20"/>
                <w:color w:val="auto"/>
              </w:rPr>
            </w:pPr>
            <w:r>
              <w:rPr>
                <w:rFonts w:ascii="Arial" w:cs="Arial" w:eastAsia="Arial" w:hAnsi="Arial"/>
                <w:sz w:val="18"/>
                <w:szCs w:val="18"/>
                <w:color w:val="auto"/>
                <w:w w:val="96"/>
              </w:rPr>
              <w:t>Stock option balances at September 30, 2023, and activity for the nine months ended September 30, 2023 were as follows: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24"/>
                <w:szCs w:val="24"/>
                <w:color w:val="auto"/>
              </w:rPr>
            </w:pPr>
          </w:p>
        </w:tc>
        <w:tc>
          <w:tcPr>
            <w:tcW w:w="960" w:type="dxa"/>
            <w:vAlign w:val="bottom"/>
            <w:gridSpan w:val="2"/>
            <w:vMerge w:val="restart"/>
          </w:tcPr>
          <w:p>
            <w:pPr>
              <w:jc w:val="center"/>
              <w:ind w:right="3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50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w w:val="98"/>
              </w:rPr>
              <w:t>Number of 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Exercise</w:t>
            </w:r>
          </w:p>
        </w:tc>
        <w:tc>
          <w:tcPr>
            <w:tcW w:w="14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960" w:type="dxa"/>
            <w:vAlign w:val="bottom"/>
            <w:gridSpan w:val="2"/>
          </w:tcPr>
          <w:p>
            <w:pPr>
              <w:jc w:val="center"/>
              <w:ind w:right="30"/>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Price Per</w:t>
            </w:r>
          </w:p>
        </w:tc>
        <w:tc>
          <w:tcPr>
            <w:tcW w:w="14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20" w:type="dxa"/>
            <w:vAlign w:val="bottom"/>
          </w:tcPr>
          <w:p>
            <w:pPr>
              <w:spacing w:after="0"/>
              <w:rPr>
                <w:sz w:val="14"/>
                <w:szCs w:val="14"/>
                <w:color w:val="auto"/>
              </w:rPr>
            </w:pPr>
          </w:p>
        </w:tc>
        <w:tc>
          <w:tcPr>
            <w:tcW w:w="960" w:type="dxa"/>
            <w:vAlign w:val="bottom"/>
            <w:gridSpan w:val="2"/>
          </w:tcPr>
          <w:p>
            <w:pPr>
              <w:jc w:val="center"/>
              <w:ind w:right="50"/>
              <w:spacing w:after="0" w:line="162" w:lineRule="exact"/>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500" w:type="dxa"/>
            <w:vAlign w:val="bottom"/>
          </w:tcPr>
          <w:p>
            <w:pPr>
              <w:jc w:val="right"/>
              <w:ind w:right="172"/>
              <w:spacing w:after="0"/>
              <w:rPr>
                <w:sz w:val="20"/>
                <w:szCs w:val="20"/>
                <w:color w:val="auto"/>
              </w:rPr>
            </w:pPr>
            <w:r>
              <w:rPr>
                <w:rFonts w:ascii="Arial" w:cs="Arial" w:eastAsia="Arial" w:hAnsi="Arial"/>
                <w:sz w:val="16"/>
                <w:szCs w:val="16"/>
                <w:b w:val="1"/>
                <w:bCs w:val="1"/>
                <w:color w:val="auto"/>
              </w:rPr>
              <w:t>Under Option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(in Years)</w:t>
            </w:r>
          </w:p>
        </w:tc>
        <w:tc>
          <w:tcPr>
            <w:tcW w:w="120" w:type="dxa"/>
            <w:vAlign w:val="bottom"/>
          </w:tcPr>
          <w:p>
            <w:pPr>
              <w:spacing w:after="0"/>
              <w:rPr>
                <w:sz w:val="18"/>
                <w:szCs w:val="18"/>
                <w:color w:val="auto"/>
              </w:rPr>
            </w:pPr>
          </w:p>
        </w:tc>
        <w:tc>
          <w:tcPr>
            <w:tcW w:w="960" w:type="dxa"/>
            <w:vAlign w:val="bottom"/>
            <w:gridSpan w:val="2"/>
          </w:tcPr>
          <w:p>
            <w:pPr>
              <w:jc w:val="center"/>
              <w:ind w:right="50"/>
              <w:spacing w:after="0"/>
              <w:rPr>
                <w:sz w:val="20"/>
                <w:szCs w:val="20"/>
                <w:color w:val="auto"/>
              </w:rPr>
            </w:pPr>
            <w:r>
              <w:rPr>
                <w:rFonts w:ascii="Arial" w:cs="Arial" w:eastAsia="Arial" w:hAnsi="Arial"/>
                <w:sz w:val="16"/>
                <w:szCs w:val="16"/>
                <w:b w:val="1"/>
                <w:bCs w:val="1"/>
                <w:color w:val="auto"/>
                <w:w w:val="95"/>
              </w:rPr>
              <w:t>Millions)</w:t>
            </w:r>
          </w:p>
        </w:tc>
        <w:tc>
          <w:tcPr>
            <w:tcW w:w="0" w:type="dxa"/>
            <w:vAlign w:val="bottom"/>
          </w:tcPr>
          <w:p>
            <w:pPr>
              <w:spacing w:after="0"/>
              <w:rPr>
                <w:sz w:val="1"/>
                <w:szCs w:val="1"/>
                <w:color w:val="auto"/>
              </w:rPr>
            </w:pP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539,575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72,291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(55,879)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Outstanding at September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5.99</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September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449,236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2023</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325,063</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79.62</w:t>
            </w:r>
          </w:p>
        </w:tc>
        <w:tc>
          <w:tcPr>
            <w:tcW w:w="120" w:type="dxa"/>
            <w:vAlign w:val="bottom"/>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Arial" w:cs="Arial" w:eastAsia="Arial" w:hAnsi="Arial"/>
                <w:sz w:val="18"/>
                <w:szCs w:val="18"/>
                <w:color w:val="auto"/>
                <w:w w:val="95"/>
              </w:rPr>
              <w:t>4.8</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7"/>
                <w:szCs w:val="17"/>
                <w:color w:val="auto"/>
              </w:rPr>
            </w:pPr>
          </w:p>
        </w:tc>
        <w:tc>
          <w:tcPr>
            <w:tcW w:w="420" w:type="dxa"/>
            <w:vAlign w:val="bottom"/>
          </w:tcPr>
          <w:p>
            <w:pPr>
              <w:ind w:left="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the Company’s common stock on the last trading day of the third quarter of 2023 and the exercise price,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(Continued)</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multiplied by the number of in-the-money options) that would have been received by the option holders had all option holders exercised their options on September 30, 2023. The aggregate intrinsic value will change based on the fair market value of the Company’s common stock and the number of in-the-money options.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Outstanding balances as of September 30, 2023, and activity related to restricted stock and restricted stock units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Stock-Settled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Average</w:t>
            </w: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320" w:type="dxa"/>
            <w:vAlign w:val="bottom"/>
          </w:tcPr>
          <w:p>
            <w:pPr>
              <w:jc w:val="right"/>
              <w:ind w:right="395"/>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210,418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359,675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granted cash-settled restricted stock units to certain employees in the past. These instruments were recorded as liabilities at fair value as of the respective period end.</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liabilities related to cash-settled restricted stock units since the first quarter of 2022. For the nine months ended September 30, 2022, an expense of $0.2 million was included as stock-based compensation expense related to cash-settled restricted stock units.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September 30, 2023 and 2022, an expense of $0.2 million and $0.2 million, respectively, were included in total stock-based compensation expense related to LTIP awards. For the nine months ended September 30, 2023 and 2022, a credit of $0.4 million and an expense of $1.5 million, respectively, was included in total stock-based compensation expense related to LTIP awards. At September 30, 2023 and December 31, 2022, liabilities of $1.7 million and $2.1 million, respectively, related to LTIP awards was included as part of accrued employee compensation and benefits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78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360" w:type="dxa"/>
            <w:vAlign w:val="bottom"/>
          </w:tcPr>
          <w:p>
            <w:pPr>
              <w:ind w:left="20"/>
              <w:spacing w:after="0"/>
              <w:rPr>
                <w:sz w:val="20"/>
                <w:szCs w:val="20"/>
                <w:color w:val="auto"/>
              </w:rPr>
            </w:pPr>
            <w:r>
              <w:rPr>
                <w:rFonts w:ascii="Arial" w:cs="Arial" w:eastAsia="Arial" w:hAnsi="Arial"/>
                <w:sz w:val="18"/>
                <w:szCs w:val="18"/>
                <w:color w:val="auto"/>
              </w:rPr>
              <w:t>Numerator for basic and diluted income per common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4"/>
              </w:rPr>
              <w:t>Less: Net income allocated to unvested participating restricted stock</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 basic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67,908</w:t>
            </w: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rPr>
              <w:t>Effect of unvested participating restricted stock in two-class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calculation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 - diluted</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basic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diluted</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company-operated restaurant operations, rental operations and financing operations.</w:t>
      </w:r>
    </w:p>
    <w:p>
      <w:pPr>
        <w:spacing w:after="0" w:line="49" w:lineRule="exact"/>
        <w:rPr>
          <w:sz w:val="20"/>
          <w:szCs w:val="20"/>
          <w:color w:val="auto"/>
        </w:rPr>
      </w:pPr>
    </w:p>
    <w:p>
      <w:pPr>
        <w:jc w:val="both"/>
        <w:ind w:firstLine="56"/>
        <w:spacing w:after="0" w:line="255" w:lineRule="auto"/>
        <w:rPr>
          <w:sz w:val="20"/>
          <w:szCs w:val="20"/>
          <w:color w:val="auto"/>
        </w:rPr>
      </w:pPr>
      <w:r>
        <w:rPr>
          <w:rFonts w:ascii="Arial" w:cs="Arial" w:eastAsia="Arial" w:hAnsi="Arial"/>
          <w:sz w:val="18"/>
          <w:szCs w:val="18"/>
          <w:color w:val="auto"/>
        </w:rPr>
        <w:t>As of September 30, 2023, the franchise operations segment consisted of 1,652 restaurants operated by Applebee’s franchisees in the United States, two U.S. territories and 13 countries outside the United States; 1,794 restaurants operated by IHOP franchisees and area licensees in the United States, two U.S. territories and 13 countries outside the United States; and 137 restaurants operated by Fuzzy's franchisees in the United States. Franchise operations revenue consists primarily of franchise royalty revenues, franchise advertising revenue, sales of proprietary products to franchisees, and other franchise fees. Franchise operations expenses include advertising expense, the cost of proprietary products, pre-opening training expenses and other franchise-related costs.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6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Financing operations revenue primarily consists of interest income from the financing of IHOP equipment leases and franchise fees and interest income on notes receivable due from franchisees. Financing operations expenses primarily are the cost of taxes related to IHOP equipment leases.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and nine months ended September 30, 2023, the company restaurants segment consisted of three Fuzzy's restaurants that were acquired in December 2022 of which two were subsequently refranchised in the second quarter of 2023. During three and nine months ended September 30, 2022, the Company operated 69 Applebee's restaurants that were refranchised in October 2022. All company-operated restaurants are located in the United States. Company-operated restaurant operation revenue consists of retail sales at company operated restaurants. Company-operated restaurant operation expenses are operating expenses such as food, beverage, labor, benefits, utilities, rent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Segments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segments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r>
      <w:tr>
        <w:trPr>
          <w:trHeight w:val="183"/>
        </w:trPr>
        <w:tc>
          <w:tcPr>
            <w:tcW w:w="5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6"/>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48"/>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Franchise operations</w:t>
            </w: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operations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Company restaurants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300" w:type="dxa"/>
            <w:vAlign w:val="bottom"/>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5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Gross profit by segment:</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8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unallocated expenses, net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r>
      <w:tr>
        <w:trPr>
          <w:trHeight w:val="248"/>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Closure and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Closure and impairment charges for the three and nine months ended September 30, 2023 and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4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191"/>
        </w:trPr>
        <w:tc>
          <w:tcPr>
            <w:tcW w:w="5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Closure charges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Long-lived tangible asset impairment</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closure and impairment charges</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closure charges for the three and nine months ended September 30, 2023 were primarily related to the establishment of or revisions to existing closure reserves, including accretion, for approximately 30 IHOP restaurants.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closure charges for the three and nine months ended September 30, 2022 were primarily related to the establishment of or revisions to existing closure reserves, including accretion, for approximately 35 and 40 IHOP restaurants, respectively.</w:t>
      </w:r>
    </w:p>
    <w:p>
      <w:pPr>
        <w:spacing w:after="0" w:line="49"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The long-lived asset impairment for the three months ended September 30, 2023 related to the impairment of four IHOP master land and building leases. The long-lived asset impairment for the nine months ended September 30, 2023 primarily related to technology that was developed in connection with the IHOP Flip'd initiative that was stopped, and the impairment of four IHOP master land and building leases in the third quarter of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Long-lived intangible asset impairment charges for the three months ended September 30, 2022 related to the refranchising and sale of related restaurant assets of 69 Applebee’s company-operated restaurants located in North Carolina and South Carolina. Long-lived tangible asset impairment charges for the nine months ended September 30, 2022 related to the Applebee's company-operated restaurants for $1.1 million and the impairment of land and buildings for two IHOP restaurants located on sites owned by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the Company's long-term debt, excluding the Credit Facility, at September 30, 2023 and December 31, 2022 were as follows:</w:t>
      </w:r>
    </w:p>
    <w:p>
      <w:pPr>
        <w:spacing w:after="0" w:line="200" w:lineRule="exact"/>
        <w:rPr>
          <w:sz w:val="20"/>
          <w:szCs w:val="20"/>
          <w:color w:val="auto"/>
        </w:rPr>
      </w:pPr>
    </w:p>
    <w:p>
      <w:pPr>
        <w:spacing w:after="0" w:line="321" w:lineRule="exact"/>
        <w:rPr>
          <w:sz w:val="20"/>
          <w:szCs w:val="20"/>
          <w:color w:val="auto"/>
        </w:rPr>
      </w:pPr>
    </w:p>
    <w:tbl>
      <w:tblPr>
        <w:tblLayout w:type="fixed"/>
        <w:tblInd w:w="68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4"/>
              </w:rPr>
              <w:t>December 31, 2022</w:t>
            </w:r>
          </w:p>
        </w:tc>
      </w:tr>
      <w:tr>
        <w:trPr>
          <w:trHeight w:val="191"/>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4"/>
          </w:tcPr>
          <w:p>
            <w:pPr>
              <w:jc w:val="right"/>
              <w:ind w:right="1433"/>
              <w:spacing w:after="0"/>
              <w:rPr>
                <w:sz w:val="20"/>
                <w:szCs w:val="20"/>
                <w:color w:val="auto"/>
              </w:rPr>
            </w:pPr>
            <w:r>
              <w:rPr>
                <w:rFonts w:ascii="Arial" w:cs="Arial" w:eastAsia="Arial" w:hAnsi="Arial"/>
                <w:sz w:val="14"/>
                <w:szCs w:val="14"/>
                <w:b w:val="1"/>
                <w:bCs w:val="1"/>
                <w:color w:val="auto"/>
              </w:rPr>
              <w:t>(In millions)</w:t>
            </w: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Face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20" w:type="dxa"/>
            <w:vAlign w:val="bottom"/>
          </w:tcPr>
          <w:p>
            <w:pPr>
              <w:ind w:left="20"/>
              <w:spacing w:after="0" w:line="203" w:lineRule="exact"/>
              <w:rPr>
                <w:sz w:val="20"/>
                <w:szCs w:val="20"/>
                <w:color w:val="auto"/>
              </w:rPr>
            </w:pPr>
            <w:r>
              <w:rPr>
                <w:rFonts w:ascii="Arial" w:cs="Arial" w:eastAsia="Arial" w:hAnsi="Arial"/>
                <w:sz w:val="18"/>
                <w:szCs w:val="18"/>
                <w:color w:val="auto"/>
              </w:rPr>
              <w:t>Fair Value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1,736.9</w:t>
            </w:r>
          </w:p>
        </w:tc>
      </w:tr>
      <w:tr>
        <w:trPr>
          <w:trHeight w:val="21"/>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and Disputes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refranchising of Applebee’s restaurants to franchisees, the Company has, in certain cases, guaranteed or has potential continuing liability for lease payments totaling $405.5 million as of September 30, 2023. This amount represents the maximum potential liability for future payments under these leases. These leases have been assigned to the buyers and expire at the end of the respective lease terms, which range from 2023 through 2058. Excluding unexercised option periods, the Company's potential liability for future payments under these leases is $91.9 million. In the event of default, the indemnity and default clauses in the sale or assignment agreements govern the Company's ability to pursue and recover damages incurred.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Cash Equivalents and 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Cash Equivalents and Restricted Cash (Continued)</w:t>
      </w:r>
    </w:p>
    <w:p>
      <w:pPr>
        <w:spacing w:after="0" w:line="200" w:lineRule="exact"/>
        <w:rPr>
          <w:sz w:val="20"/>
          <w:szCs w:val="20"/>
          <w:color w:val="auto"/>
        </w:rPr>
      </w:pPr>
    </w:p>
    <w:p>
      <w:pPr>
        <w:spacing w:after="0" w:line="3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related to IHOP advertising funds and the Company's gift card programs is not considered to be restricted cash as there are no restrictions on the use of these funds.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cash and cash equivalents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4"/>
              </w:rPr>
              <w:t>December 31, 2022</w:t>
            </w:r>
          </w:p>
        </w:tc>
      </w:tr>
      <w:tr>
        <w:trPr>
          <w:trHeight w:val="191"/>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4"/>
          </w:tcPr>
          <w:p>
            <w:pPr>
              <w:jc w:val="right"/>
              <w:ind w:right="1432"/>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IHOP advertising funds and gift card programs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depository accounts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3"/>
        </w:trPr>
        <w:tc>
          <w:tcPr>
            <w:tcW w:w="6820" w:type="dxa"/>
            <w:vAlign w:val="bottom"/>
          </w:tcPr>
          <w:p>
            <w:pPr>
              <w:ind w:left="14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Restricted Cash</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current restricted cash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2"/>
              </w:rPr>
              <w:t>December 31, 2022</w:t>
            </w:r>
          </w:p>
        </w:tc>
      </w:tr>
      <w:tr>
        <w:trPr>
          <w:trHeight w:val="191"/>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Applebee's advertising funds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180" w:type="dxa"/>
            <w:vAlign w:val="bottom"/>
          </w:tcPr>
          <w:p>
            <w:pPr>
              <w:ind w:left="140"/>
              <w:spacing w:after="0"/>
              <w:rPr>
                <w:sz w:val="20"/>
                <w:szCs w:val="20"/>
                <w:color w:val="auto"/>
              </w:rPr>
            </w:pPr>
            <w:r>
              <w:rPr>
                <w:rFonts w:ascii="Arial" w:cs="Arial" w:eastAsia="Arial" w:hAnsi="Arial"/>
                <w:sz w:val="18"/>
                <w:szCs w:val="18"/>
                <w:color w:val="auto"/>
              </w:rPr>
              <w:t>Total current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Non-current Restricted Cash</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Non-current restricted cash was $19.5 million and $16.4 million at September 30, 2023 and December 31, 2022, respectively, and represents interest reserves required to be set aside for the duration of the Company's securitized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and the MD&amp;A contained in the Company’s Annual Report on Form 10-K for the fiscal year ended December 31, 2022.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Through various subsidiaries, we own and franchise the Applebee's Neighborhood Grill &amp; Bar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(“Applebee's”) concept in the American full-service segment within the casual dining category of the restaurant industry, the International House of Pancakes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(“IHOP”) concept in the mid-scale full-service restaurant segment within the family dining category of the restaurant industry, and the Fuzzy's Taco Shop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(“Fuzzy's”) concept in the Mexican limited-service restaurant segment within the fast-casual dining category of the restaurant industry. References herein to Applebee's</w:t>
      </w:r>
      <w:r>
        <w:rPr>
          <w:rFonts w:ascii="Arial" w:cs="Arial" w:eastAsia="Arial" w:hAnsi="Arial"/>
          <w:sz w:val="23"/>
          <w:szCs w:val="23"/>
          <w:color w:val="auto"/>
          <w:vertAlign w:val="superscript"/>
        </w:rPr>
        <w:t>®</w:t>
      </w:r>
      <w:r>
        <w:rPr>
          <w:rFonts w:ascii="Arial" w:cs="Arial" w:eastAsia="Arial" w:hAnsi="Arial"/>
          <w:sz w:val="18"/>
          <w:szCs w:val="18"/>
          <w:color w:val="auto"/>
        </w:rPr>
        <w:t>, IHOP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Fuzzy's Taco Shop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are to these three restaurant concepts, whether operated by franchisees, area licensees and their sub-licensees (collectively, “area licensees”) or by us. With almost 3,600 franchised and company-operated restaurants combined, we believe we are one of the largest full-service restaurant companies in the world.</w:t>
      </w:r>
    </w:p>
    <w:p>
      <w:pPr>
        <w:spacing w:after="0" w:line="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company-operated restaurant operations. We have four reportable segments: franchise operations (an aggregation of each restaurant concept's franchise operations), rental operations, financing operations, and company-operated restaurant operations.</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acquired Fuzzy's in December 2022 and the results of its operations are included herein. However, comparative key performance indicators in the following sections only include the results of operations of Applebee's and IHOP, unless otherwise noted, as prior period data is not available for Fuzzy’s.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tables appearing in this MD&amp;A present amounts in millions of dollars that are rounded from our consolidated financial statements presented in thousands of dollars. As a result, the tables may not foot or crossfoot due to rounding.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Favorable</w:t>
            </w:r>
          </w:p>
        </w:tc>
        <w:tc>
          <w:tcPr>
            <w:tcW w:w="18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1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5"/>
              </w:rPr>
              <w:t>(Unfavorable)</w:t>
            </w: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center"/>
              <w:ind w:right="97"/>
              <w:spacing w:after="0" w:line="13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Variance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69.8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9"/>
              </w:rPr>
              <w:t>25.9 %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2"/>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5"/>
              </w:rPr>
              <w:t>1.2 %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2"/>
              </w:rPr>
              <w:t>25.0 %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2"/>
              </w:rPr>
              <w:t>26.9 %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1"/>
              </w:rPr>
              <w:t>1.9 %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4.22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 decrease</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CCEEFF"/>
            </w:tcBorders>
          </w:tcPr>
          <w:p>
            <w:pPr>
              <w:spacing w:after="0"/>
              <w:rPr>
                <w:sz w:val="14"/>
                <w:szCs w:val="14"/>
                <w:color w:val="auto"/>
              </w:rPr>
            </w:pPr>
          </w:p>
        </w:tc>
        <w:tc>
          <w:tcPr>
            <w:tcW w:w="10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 decrease</w:t>
            </w: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diluted shares</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effective tax rate for the three and nine months ended September 30, 2023 was different than the rate of the prior comparable periods primarily due to the recognition of higher excess tax benefits from stock-based compensation and lower non-deductible executive compensation.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highlights the primary components of the decrease in our income before income taxes for the three and nine months ended September 30, 2023, compared to our income before income taxes for the comparable prior periods (in millions):</w:t>
      </w:r>
    </w:p>
    <w:p>
      <w:pPr>
        <w:spacing w:after="0" w:line="99" w:lineRule="exact"/>
        <w:rPr>
          <w:sz w:val="20"/>
          <w:szCs w:val="20"/>
          <w:color w:val="auto"/>
        </w:rPr>
      </w:pPr>
    </w:p>
    <w:p>
      <w:pPr>
        <w:jc w:val="center"/>
        <w:ind w:left="6920"/>
        <w:spacing w:after="0"/>
        <w:rPr>
          <w:sz w:val="20"/>
          <w:szCs w:val="20"/>
          <w:color w:val="auto"/>
        </w:rPr>
      </w:pPr>
      <w:r>
        <w:rPr>
          <w:rFonts w:ascii="Arial" w:cs="Arial" w:eastAsia="Arial" w:hAnsi="Arial"/>
          <w:sz w:val="16"/>
          <w:szCs w:val="16"/>
          <w:b w:val="1"/>
          <w:bCs w:val="1"/>
          <w:color w:val="auto"/>
        </w:rPr>
        <w:t>Favorable</w:t>
      </w:r>
    </w:p>
    <w:p>
      <w:pPr>
        <w:jc w:val="center"/>
        <w:ind w:left="6920"/>
        <w:spacing w:after="0"/>
        <w:rPr>
          <w:sz w:val="20"/>
          <w:szCs w:val="20"/>
          <w:color w:val="auto"/>
        </w:rPr>
      </w:pPr>
      <w:r>
        <w:rPr>
          <w:rFonts w:ascii="Arial" w:cs="Arial" w:eastAsia="Arial" w:hAnsi="Arial"/>
          <w:sz w:val="16"/>
          <w:szCs w:val="16"/>
          <w:b w:val="1"/>
          <w:bCs w:val="1"/>
          <w:color w:val="auto"/>
        </w:rPr>
        <w:t>(Unfavorable) Variance</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139"/>
        </w:trPr>
        <w:tc>
          <w:tcPr>
            <w:tcW w:w="69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93"/>
              <w:spacing w:after="0" w:line="139" w:lineRule="exact"/>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213"/>
              <w:spacing w:after="0" w:line="139" w:lineRule="exact"/>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6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September 30, 2023</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7"/>
              </w:rPr>
              <w:t>September 30, 2023</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(Decrease) increase in gross profit:</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9"/>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Applebee's franchise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center"/>
              <w:ind w:left="1173"/>
              <w:spacing w:after="0"/>
              <w:rPr>
                <w:sz w:val="20"/>
                <w:szCs w:val="20"/>
                <w:color w:val="auto"/>
              </w:rPr>
            </w:pPr>
            <w:r>
              <w:rPr>
                <w:rFonts w:ascii="Arial" w:cs="Arial" w:eastAsia="Arial" w:hAnsi="Arial"/>
                <w:sz w:val="18"/>
                <w:szCs w:val="18"/>
                <w:color w:val="auto"/>
                <w:w w:val="91"/>
              </w:rPr>
              <w:t>(1.4)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IHOP franchise operations</w:t>
            </w:r>
          </w:p>
        </w:tc>
        <w:tc>
          <w:tcPr>
            <w:tcW w:w="180" w:type="dxa"/>
            <w:vAlign w:val="bottom"/>
          </w:tcPr>
          <w:p>
            <w:pPr>
              <w:spacing w:after="0"/>
              <w:rPr>
                <w:sz w:val="19"/>
                <w:szCs w:val="19"/>
                <w:color w:val="auto"/>
              </w:rPr>
            </w:pPr>
          </w:p>
        </w:tc>
        <w:tc>
          <w:tcPr>
            <w:tcW w:w="1640" w:type="dxa"/>
            <w:vAlign w:val="bottom"/>
          </w:tcPr>
          <w:p>
            <w:pPr>
              <w:jc w:val="center"/>
              <w:ind w:left="1213"/>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Fuzzy's franchise operations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213"/>
              <w:spacing w:after="0"/>
              <w:rPr>
                <w:sz w:val="20"/>
                <w:szCs w:val="20"/>
                <w:color w:val="auto"/>
              </w:rPr>
            </w:pPr>
            <w:r>
              <w:rPr>
                <w:rFonts w:ascii="Arial" w:cs="Arial" w:eastAsia="Arial" w:hAnsi="Arial"/>
                <w:sz w:val="18"/>
                <w:szCs w:val="18"/>
                <w:color w:val="auto"/>
                <w:w w:val="87"/>
              </w:rPr>
              <w:t>2.8</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6920" w:type="dxa"/>
            <w:vAlign w:val="bottom"/>
          </w:tcPr>
          <w:p>
            <w:pPr>
              <w:ind w:left="240"/>
              <w:spacing w:after="0"/>
              <w:rPr>
                <w:sz w:val="20"/>
                <w:szCs w:val="20"/>
                <w:color w:val="auto"/>
              </w:rPr>
            </w:pPr>
            <w:r>
              <w:rPr>
                <w:rFonts w:ascii="Arial" w:cs="Arial" w:eastAsia="Arial" w:hAnsi="Arial"/>
                <w:sz w:val="18"/>
                <w:szCs w:val="18"/>
                <w:color w:val="auto"/>
              </w:rPr>
              <w:t>Company restaurant operations</w:t>
            </w:r>
          </w:p>
        </w:tc>
        <w:tc>
          <w:tcPr>
            <w:tcW w:w="180" w:type="dxa"/>
            <w:vAlign w:val="bottom"/>
          </w:tcPr>
          <w:p>
            <w:pPr>
              <w:spacing w:after="0"/>
              <w:rPr>
                <w:sz w:val="19"/>
                <w:szCs w:val="19"/>
                <w:color w:val="auto"/>
              </w:rPr>
            </w:pPr>
          </w:p>
        </w:tc>
        <w:tc>
          <w:tcPr>
            <w:tcW w:w="1640" w:type="dxa"/>
            <w:vAlign w:val="bottom"/>
          </w:tcPr>
          <w:p>
            <w:pPr>
              <w:jc w:val="center"/>
              <w:ind w:left="1173"/>
              <w:spacing w:after="0"/>
              <w:rPr>
                <w:sz w:val="20"/>
                <w:szCs w:val="20"/>
                <w:color w:val="auto"/>
              </w:rPr>
            </w:pPr>
            <w:r>
              <w:rPr>
                <w:rFonts w:ascii="Arial" w:cs="Arial" w:eastAsia="Arial" w:hAnsi="Arial"/>
                <w:sz w:val="18"/>
                <w:szCs w:val="18"/>
                <w:color w:val="auto"/>
                <w:w w:val="91"/>
              </w:rPr>
              <w:t>(1.8)</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Rental and financing operations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ind w:left="1213"/>
              <w:spacing w:after="0"/>
              <w:rPr>
                <w:sz w:val="20"/>
                <w:szCs w:val="20"/>
                <w:color w:val="auto"/>
              </w:rPr>
            </w:pPr>
            <w:r>
              <w:rPr>
                <w:rFonts w:ascii="Arial" w:cs="Arial" w:eastAsia="Arial" w:hAnsi="Arial"/>
                <w:sz w:val="18"/>
                <w:szCs w:val="18"/>
                <w:color w:val="auto"/>
                <w:w w:val="87"/>
              </w:rPr>
              <w:t>0.0</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increase in gross profit</w:t>
            </w:r>
          </w:p>
        </w:tc>
        <w:tc>
          <w:tcPr>
            <w:tcW w:w="180" w:type="dxa"/>
            <w:vAlign w:val="bottom"/>
          </w:tcPr>
          <w:p>
            <w:pPr>
              <w:spacing w:after="0"/>
              <w:rPr>
                <w:sz w:val="19"/>
                <w:szCs w:val="19"/>
                <w:color w:val="auto"/>
              </w:rPr>
            </w:pPr>
          </w:p>
        </w:tc>
        <w:tc>
          <w:tcPr>
            <w:tcW w:w="1640" w:type="dxa"/>
            <w:vAlign w:val="bottom"/>
          </w:tcPr>
          <w:p>
            <w:pPr>
              <w:jc w:val="center"/>
              <w:ind w:left="1213"/>
              <w:spacing w:after="0"/>
              <w:rPr>
                <w:sz w:val="20"/>
                <w:szCs w:val="20"/>
                <w:color w:val="auto"/>
              </w:rPr>
            </w:pPr>
            <w:r>
              <w:rPr>
                <w:rFonts w:ascii="Arial" w:cs="Arial" w:eastAsia="Arial" w:hAnsi="Arial"/>
                <w:sz w:val="18"/>
                <w:szCs w:val="18"/>
                <w:color w:val="auto"/>
                <w:w w:val="87"/>
              </w:rPr>
              <w:t>3.0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Increase in general and administrative ("G&amp;A") expenses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73"/>
              <w:spacing w:after="0"/>
              <w:rPr>
                <w:sz w:val="20"/>
                <w:szCs w:val="20"/>
                <w:color w:val="auto"/>
              </w:rPr>
            </w:pPr>
            <w:r>
              <w:rPr>
                <w:rFonts w:ascii="Arial" w:cs="Arial" w:eastAsia="Arial" w:hAnsi="Arial"/>
                <w:sz w:val="18"/>
                <w:szCs w:val="18"/>
                <w:color w:val="auto"/>
                <w:w w:val="91"/>
              </w:rPr>
              <w:t>(2.3)</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Increase in interest expense, net</w:t>
            </w:r>
          </w:p>
        </w:tc>
        <w:tc>
          <w:tcPr>
            <w:tcW w:w="180" w:type="dxa"/>
            <w:vAlign w:val="bottom"/>
          </w:tcPr>
          <w:p>
            <w:pPr>
              <w:spacing w:after="0"/>
              <w:rPr>
                <w:sz w:val="19"/>
                <w:szCs w:val="19"/>
                <w:color w:val="auto"/>
              </w:rPr>
            </w:pPr>
          </w:p>
        </w:tc>
        <w:tc>
          <w:tcPr>
            <w:tcW w:w="1640" w:type="dxa"/>
            <w:vAlign w:val="bottom"/>
          </w:tcPr>
          <w:p>
            <w:pPr>
              <w:jc w:val="center"/>
              <w:ind w:left="1173"/>
              <w:spacing w:after="0"/>
              <w:rPr>
                <w:sz w:val="20"/>
                <w:szCs w:val="20"/>
                <w:color w:val="auto"/>
              </w:rPr>
            </w:pPr>
            <w:r>
              <w:rPr>
                <w:rFonts w:ascii="Arial" w:cs="Arial" w:eastAsia="Arial" w:hAnsi="Arial"/>
                <w:sz w:val="18"/>
                <w:szCs w:val="18"/>
                <w:color w:val="auto"/>
                <w:w w:val="91"/>
              </w:rPr>
              <w:t>(3.8)</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73"/>
              <w:spacing w:after="0"/>
              <w:rPr>
                <w:sz w:val="20"/>
                <w:szCs w:val="20"/>
                <w:color w:val="auto"/>
              </w:rPr>
            </w:pPr>
            <w:r>
              <w:rPr>
                <w:rFonts w:ascii="Arial" w:cs="Arial" w:eastAsia="Arial" w:hAnsi="Arial"/>
                <w:sz w:val="18"/>
                <w:szCs w:val="18"/>
                <w:color w:val="auto"/>
                <w:w w:val="91"/>
              </w:rPr>
              <w:t>(1.7)</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1213"/>
              <w:spacing w:after="0"/>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center"/>
              <w:ind w:left="1173"/>
              <w:spacing w:after="0"/>
              <w:rPr>
                <w:sz w:val="20"/>
                <w:szCs w:val="20"/>
                <w:color w:val="auto"/>
              </w:rPr>
            </w:pPr>
            <w:r>
              <w:rPr>
                <w:rFonts w:ascii="Arial" w:cs="Arial" w:eastAsia="Arial" w:hAnsi="Arial"/>
                <w:sz w:val="18"/>
                <w:szCs w:val="18"/>
                <w:color w:val="auto"/>
                <w:w w:val="91"/>
              </w:rPr>
              <w:t>(3.8)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Income before income taxes for the three months ended September 30, 2023 decreased compared to the comparable prior period due to increases in interest expense and G&amp;A expenses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discussion under the header "G&amp;A Expenses" below), as well as the decrease in company restaurant operations primarily due to the refranchising of the 69 Applebee's company-operated restaurants in October 2022. The increased costs were partially offset by the increase in IHOP franchise operations from increased same-restaurant sales and effective restaurants, and the inclusion of the acquired Fuzzy's Taco Shop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before income taxes for the nine months ended September 30, 2023 decreased compared to the comparable prior period due to increased G&amp;A expenses (</w:t>
      </w:r>
      <w:r>
        <w:rPr>
          <w:rFonts w:ascii="Arial" w:cs="Arial" w:eastAsia="Arial" w:hAnsi="Arial"/>
          <w:sz w:val="17"/>
          <w:szCs w:val="17"/>
          <w:i w:val="1"/>
          <w:iCs w:val="1"/>
          <w:color w:val="auto"/>
        </w:rPr>
        <w:t>see</w:t>
      </w:r>
      <w:r>
        <w:rPr>
          <w:rFonts w:ascii="Arial" w:cs="Arial" w:eastAsia="Arial" w:hAnsi="Arial"/>
          <w:sz w:val="17"/>
          <w:szCs w:val="17"/>
          <w:color w:val="auto"/>
        </w:rPr>
        <w:t xml:space="preserve"> the discussion under the header "G&amp;A Expenses" below), interest expense, and loss on disposition of assets. The increased costs were partially offset by the inclusion of the acquired Fuzzy's brand, increase in IHOP franchise operations from increased domestic same-restaurant sales and effective restaurants, and increases in rental and financing operations related to three IHOP lease buyouts.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when applicable, increases in commodity, labor and other restaurant operating costs impact us directly.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 the Three and Nine Months Ended September 30, 2023 and 2022”</w:t>
      </w:r>
      <w:r>
        <w:rPr>
          <w:rFonts w:ascii="Arial" w:cs="Arial" w:eastAsia="Arial" w:hAnsi="Arial"/>
          <w:sz w:val="18"/>
          <w:szCs w:val="18"/>
          <w:color w:val="auto"/>
        </w:rPr>
        <w:t xml:space="preserve"> for additional discussion of the changes shown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 As noted above, the comparative key performance indicators in the following sections only include the results of operations of Applebee's and IHOP, unless otherwise noted, as prior period data is not available for Fuzzy’s.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and nine months ended September 30, 2023 were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0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900" w:type="dxa"/>
            <w:vAlign w:val="bottom"/>
            <w:gridSpan w:val="3"/>
          </w:tcPr>
          <w:p>
            <w:pPr>
              <w:jc w:val="right"/>
              <w:ind w:right="65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980" w:type="dxa"/>
            <w:vAlign w:val="bottom"/>
          </w:tcPr>
          <w:p>
            <w:pPr>
              <w:spacing w:after="0"/>
              <w:rPr>
                <w:sz w:val="19"/>
                <w:szCs w:val="19"/>
                <w:color w:val="auto"/>
              </w:rPr>
            </w:pPr>
          </w:p>
        </w:tc>
        <w:tc>
          <w:tcPr>
            <w:tcW w:w="30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September 30, 2023</w:t>
            </w:r>
          </w:p>
        </w:tc>
        <w:tc>
          <w:tcPr>
            <w:tcW w:w="290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September 30, 2023</w:t>
            </w:r>
          </w:p>
        </w:tc>
      </w:tr>
      <w:tr>
        <w:trPr>
          <w:trHeight w:val="210"/>
        </w:trPr>
        <w:tc>
          <w:tcPr>
            <w:tcW w:w="4980" w:type="dxa"/>
            <w:vAlign w:val="bottom"/>
          </w:tcPr>
          <w:p>
            <w:pPr>
              <w:spacing w:after="0"/>
              <w:rPr>
                <w:sz w:val="18"/>
                <w:szCs w:val="18"/>
                <w:color w:val="auto"/>
              </w:rPr>
            </w:pP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Applebee's</w:t>
            </w:r>
          </w:p>
        </w:tc>
        <w:tc>
          <w:tcPr>
            <w:tcW w:w="138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IHOP</w:t>
            </w: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Applebee's</w:t>
            </w:r>
          </w:p>
        </w:tc>
        <w:tc>
          <w:tcPr>
            <w:tcW w:w="136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IHOP</w:t>
            </w:r>
          </w:p>
        </w:tc>
      </w:tr>
      <w:tr>
        <w:trPr>
          <w:trHeight w:val="158"/>
        </w:trPr>
        <w:tc>
          <w:tcPr>
            <w:tcW w:w="498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1"/>
              </w:rPr>
              <w:t>Sales percentage (decrease) increase in reported retail sales - 2023</w:t>
            </w:r>
          </w:p>
        </w:tc>
        <w:tc>
          <w:tcPr>
            <w:tcW w:w="1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vs.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175"/>
        </w:trPr>
        <w:tc>
          <w:tcPr>
            <w:tcW w:w="4980" w:type="dxa"/>
            <w:vAlign w:val="bottom"/>
          </w:tcPr>
          <w:p>
            <w:pPr>
              <w:ind w:left="20"/>
              <w:spacing w:after="0" w:line="176" w:lineRule="exact"/>
              <w:rPr>
                <w:sz w:val="20"/>
                <w:szCs w:val="20"/>
                <w:color w:val="auto"/>
              </w:rPr>
            </w:pPr>
            <w:r>
              <w:rPr>
                <w:rFonts w:ascii="Arial" w:cs="Arial" w:eastAsia="Arial" w:hAnsi="Arial"/>
                <w:sz w:val="18"/>
                <w:szCs w:val="18"/>
                <w:color w:val="auto"/>
                <w:w w:val="95"/>
              </w:rPr>
              <w:t>% (decrease) increase in domestic system-wide same-restaurant</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sales - 2023 vs. 2022</w:t>
            </w: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franchise restaurant (reduction) increase </w:t>
            </w:r>
            <w:r>
              <w:rPr>
                <w:rFonts w:ascii="Arial" w:cs="Arial" w:eastAsia="Arial" w:hAnsi="Arial"/>
                <w:sz w:val="10"/>
                <w:szCs w:val="10"/>
                <w:color w:val="auto"/>
              </w:rPr>
              <w:t>(1)</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304"/>
        </w:trPr>
        <w:tc>
          <w:tcPr>
            <w:tcW w:w="4980" w:type="dxa"/>
            <w:vAlign w:val="bottom"/>
          </w:tcPr>
          <w:p>
            <w:pPr>
              <w:ind w:left="20"/>
              <w:spacing w:after="0"/>
              <w:rPr>
                <w:sz w:val="20"/>
                <w:szCs w:val="20"/>
                <w:color w:val="auto"/>
              </w:rPr>
            </w:pPr>
            <w:r>
              <w:rPr>
                <w:rFonts w:ascii="Arial" w:cs="Arial" w:eastAsia="Arial" w:hAnsi="Arial"/>
                <w:sz w:val="18"/>
                <w:szCs w:val="18"/>
                <w:color w:val="auto"/>
              </w:rPr>
              <w:t xml:space="preserve">Net (decrease) increase in total effective restaurants </w:t>
            </w:r>
            <w:r>
              <w:rPr>
                <w:rFonts w:ascii="Arial" w:cs="Arial" w:eastAsia="Arial" w:hAnsi="Arial"/>
                <w:sz w:val="23"/>
                <w:szCs w:val="23"/>
                <w:color w:val="auto"/>
                <w:vertAlign w:val="superscript"/>
              </w:rPr>
              <w:t>(2)</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32</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80" w:lineRule="exact"/>
        <w:rPr>
          <w:sz w:val="20"/>
          <w:szCs w:val="20"/>
          <w:color w:val="auto"/>
        </w:rPr>
      </w:pPr>
    </w:p>
    <w:p>
      <w:pPr>
        <w:ind w:left="480" w:hanging="148"/>
        <w:spacing w:after="0"/>
        <w:tabs>
          <w:tab w:leader="none" w:pos="4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Franchise and area license restaurant closings, net of openings, during the three and nine months ended September 30, 2023 and 2022.</w:t>
      </w:r>
    </w:p>
    <w:p>
      <w:pPr>
        <w:ind w:left="480" w:hanging="148"/>
        <w:spacing w:after="0"/>
        <w:tabs>
          <w:tab w:leader="none" w:pos="480" w:val="left"/>
        </w:tabs>
        <w:numPr>
          <w:ilvl w:val="0"/>
          <w:numId w:val="9"/>
        </w:numPr>
        <w:rPr>
          <w:rFonts w:ascii="Arial" w:cs="Arial" w:eastAsia="Arial" w:hAnsi="Arial"/>
          <w:sz w:val="8"/>
          <w:szCs w:val="8"/>
          <w:color w:val="auto"/>
        </w:rPr>
      </w:pPr>
      <w:r>
        <w:rPr>
          <w:rFonts w:ascii="Arial" w:cs="Arial" w:eastAsia="Arial" w:hAnsi="Arial"/>
          <w:sz w:val="12"/>
          <w:szCs w:val="12"/>
          <w:color w:val="auto"/>
        </w:rPr>
        <w:t>Change in the weighted average number of franchise, area license and company-operated restaurants open during the three and nine months ended September 30, 2023, compared to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weighted average number of those open during the same periods of 2022.</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48895</wp:posOffset>
            </wp:positionV>
            <wp:extent cx="5357495" cy="2357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Applebee’s system-wide domestic same-restaurant sales decreased 2.4% for the three months ended September 30, 2023 and increased 0.9% for the nine months ended September 30, 2023 as compared to the same periods of 2022. The decrease for the three months ended September 30, 2023 was primarily due to a decrease in traffic, offset by an increase in average check. The increase for the nine months ended September 30, 2023 was primarily due to an increase in average check resulting from the successful promotional food offerings and menu price increases by franchisees, offset by a decrease in traffic.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Applebee's Off-Premise Sales Data</w:t>
            </w:r>
          </w:p>
        </w:tc>
        <w:tc>
          <w:tcPr>
            <w:tcW w:w="140" w:type="dxa"/>
            <w:vAlign w:val="bottom"/>
          </w:tcPr>
          <w:p>
            <w:pPr>
              <w:spacing w:after="0"/>
              <w:rPr>
                <w:sz w:val="20"/>
                <w:szCs w:val="20"/>
                <w:color w:val="auto"/>
              </w:rPr>
            </w:pPr>
          </w:p>
        </w:tc>
        <w:tc>
          <w:tcPr>
            <w:tcW w:w="28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20"/>
                <w:szCs w:val="20"/>
                <w:color w:val="auto"/>
              </w:rPr>
            </w:pPr>
          </w:p>
        </w:tc>
        <w:tc>
          <w:tcPr>
            <w:tcW w:w="268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07"/>
        </w:trPr>
        <w:tc>
          <w:tcPr>
            <w:tcW w:w="50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r>
      <w:tr>
        <w:trPr>
          <w:trHeight w:val="226"/>
        </w:trPr>
        <w:tc>
          <w:tcPr>
            <w:tcW w:w="50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729.3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837.7</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 sales mix</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22.4 %</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25.8 %</w:t>
            </w:r>
          </w:p>
        </w:tc>
      </w:tr>
    </w:tbl>
    <w:p>
      <w:pPr>
        <w:spacing w:after="0" w:line="169"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Primarily to-go, delivery and catering sales for comparable 2023 and 2022 restaurants.</w:t>
      </w:r>
    </w:p>
    <w:p>
      <w:pPr>
        <w:spacing w:after="0" w:line="1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Based on data from Black Box Intelligence, a restaurant sales reporting firm (“Black Box”), Applebee's same-restaurant sales for the three and nine months ended September 30, 2023 underperformed the casual dining segment of the restaurant industry (excluding Applebee's) during the same periods of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423545</wp:posOffset>
            </wp:positionV>
            <wp:extent cx="5357495" cy="2357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5749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IHOP's system-wide domestic same-restaurant sales increased 2.0% for the three months ended September 30, 2023 and 4.2% for the nine months ended September 30, 2023 as compared to the same periods of 2022. The improvement was due to an increase in average check, offset by a decrease in traffic. The increase in average check was primarily due to an increase in menu prices as well as a general increase in consumer spending due to larger party sizes and greater spending per person.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IHOP Off-Premise Sales Data</w:t>
            </w:r>
          </w:p>
        </w:tc>
        <w:tc>
          <w:tcPr>
            <w:tcW w:w="140" w:type="dxa"/>
            <w:vAlign w:val="bottom"/>
          </w:tcPr>
          <w:p>
            <w:pPr>
              <w:spacing w:after="0"/>
              <w:rPr>
                <w:sz w:val="20"/>
                <w:szCs w:val="20"/>
                <w:color w:val="auto"/>
              </w:rPr>
            </w:pPr>
          </w:p>
        </w:tc>
        <w:tc>
          <w:tcPr>
            <w:tcW w:w="28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20"/>
                <w:szCs w:val="20"/>
                <w:color w:val="auto"/>
              </w:rPr>
            </w:pPr>
          </w:p>
        </w:tc>
        <w:tc>
          <w:tcPr>
            <w:tcW w:w="268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07"/>
        </w:trPr>
        <w:tc>
          <w:tcPr>
            <w:tcW w:w="50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r>
      <w:tr>
        <w:trPr>
          <w:trHeight w:val="226"/>
        </w:trPr>
        <w:tc>
          <w:tcPr>
            <w:tcW w:w="50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464.4</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 sales mix</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22.0 %</w:t>
            </w:r>
          </w:p>
        </w:tc>
      </w:tr>
    </w:tbl>
    <w:p>
      <w:pPr>
        <w:spacing w:after="0" w:line="158"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Primarily to-go, delivery and catering sales for comparable 2023 and 2022 restaurants.</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data from Black Box, IHOP's increase in same-restaurant sales for the three and nine months ended September 30, 2023 underperformed the family dining segment of the restaurant industry (excluding IHOP) during the same periods of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300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2900" w:type="dxa"/>
            <w:vAlign w:val="bottom"/>
            <w:gridSpan w:val="3"/>
          </w:tcPr>
          <w:p>
            <w:pPr>
              <w:jc w:val="right"/>
              <w:ind w:right="151"/>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50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15"/>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Applebee's Restaurant Data</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ind w:left="1080"/>
              <w:spacing w:after="0"/>
              <w:rPr>
                <w:sz w:val="20"/>
                <w:szCs w:val="20"/>
                <w:color w:val="auto"/>
              </w:rPr>
            </w:pPr>
            <w:r>
              <w:rPr>
                <w:rFonts w:ascii="Arial" w:cs="Arial" w:eastAsia="Arial" w:hAnsi="Arial"/>
                <w:sz w:val="14"/>
                <w:szCs w:val="14"/>
                <w:b w:val="1"/>
                <w:bCs w:val="1"/>
                <w:color w:val="auto"/>
              </w:rPr>
              <w:t>(Unaudited)</w:t>
            </w:r>
          </w:p>
        </w:tc>
        <w:tc>
          <w:tcPr>
            <w:tcW w:w="1400" w:type="dxa"/>
            <w:vAlign w:val="bottom"/>
          </w:tcPr>
          <w:p>
            <w:pPr>
              <w:spacing w:after="0"/>
              <w:rPr>
                <w:sz w:val="18"/>
                <w:szCs w:val="18"/>
                <w:color w:val="auto"/>
              </w:rPr>
            </w:pPr>
          </w:p>
        </w:tc>
      </w:tr>
      <w:tr>
        <w:trPr>
          <w:trHeight w:val="230"/>
        </w:trPr>
        <w:tc>
          <w:tcPr>
            <w:tcW w:w="5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Global Effective Restaurants</w:t>
            </w:r>
            <w:r>
              <w:rPr>
                <w:rFonts w:ascii="Arial" w:cs="Arial" w:eastAsia="Arial" w:hAnsi="Arial"/>
                <w:sz w:val="23"/>
                <w:szCs w:val="23"/>
                <w:b w:val="1"/>
                <w:bCs w:val="1"/>
                <w:color w:val="auto"/>
                <w:vertAlign w:val="superscript"/>
              </w:rPr>
              <w:t>(a)</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Franchise</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1,604</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r>
      <w:tr>
        <w:trPr>
          <w:trHeight w:val="223"/>
        </w:trPr>
        <w:tc>
          <w:tcPr>
            <w:tcW w:w="5080" w:type="dxa"/>
            <w:vAlign w:val="bottom"/>
          </w:tcPr>
          <w:p>
            <w:pPr>
              <w:ind w:left="48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1,654</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1,670</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1,663</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1,673</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5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3"/>
                <w:szCs w:val="23"/>
                <w:b w:val="1"/>
                <w:bCs w:val="1"/>
                <w:color w:val="auto"/>
                <w:vertAlign w:val="superscript"/>
              </w:rPr>
              <w:t>(b)</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080" w:type="dxa"/>
            <w:vAlign w:val="bottom"/>
          </w:tcPr>
          <w:p>
            <w:pPr>
              <w:ind w:left="220"/>
              <w:spacing w:after="0" w:line="23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3"/>
                <w:szCs w:val="23"/>
                <w:color w:val="auto"/>
                <w:vertAlign w:val="superscript"/>
              </w:rPr>
              <w:t>(c)</w:t>
            </w: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50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508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3"/>
                <w:szCs w:val="23"/>
                <w:b w:val="1"/>
                <w:bCs w:val="1"/>
                <w:color w:val="auto"/>
                <w:vertAlign w:val="superscript"/>
              </w:rPr>
              <w:t>(b)</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0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3"/>
                <w:szCs w:val="23"/>
                <w:color w:val="auto"/>
                <w:vertAlign w:val="superscript"/>
              </w:rPr>
              <w:t>(c)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20" w:type="dxa"/>
            <w:vAlign w:val="bottom"/>
            <w:gridSpan w:val="4"/>
          </w:tcPr>
          <w:p>
            <w:pPr>
              <w:jc w:val="right"/>
              <w:ind w:right="151"/>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0"/>
        </w:trPr>
        <w:tc>
          <w:tcPr>
            <w:tcW w:w="5100" w:type="dxa"/>
            <w:vAlign w:val="bottom"/>
            <w:vMerge w:val="restart"/>
          </w:tcPr>
          <w:p>
            <w:pPr>
              <w:ind w:left="220"/>
              <w:spacing w:after="0"/>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weekly domestic unit sales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IHOP Restaurant Data</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Global Effective Restaurants</w:t>
            </w:r>
            <w:r>
              <w:rPr>
                <w:rFonts w:ascii="Arial" w:cs="Arial" w:eastAsia="Arial" w:hAnsi="Arial"/>
                <w:sz w:val="23"/>
                <w:szCs w:val="23"/>
                <w:b w:val="1"/>
                <w:bCs w:val="1"/>
                <w:color w:val="auto"/>
                <w:vertAlign w:val="superscript"/>
              </w:rPr>
              <w:t>(a)</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Area license</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1,750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3"/>
                <w:szCs w:val="23"/>
                <w:b w:val="1"/>
                <w:bCs w:val="1"/>
                <w:color w:val="auto"/>
                <w:vertAlign w:val="superscript"/>
              </w:rPr>
              <w:t>(b)</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175"/>
        </w:trPr>
        <w:tc>
          <w:tcPr>
            <w:tcW w:w="5100" w:type="dxa"/>
            <w:vAlign w:val="bottom"/>
          </w:tcPr>
          <w:p>
            <w:pPr>
              <w:ind w:left="220"/>
              <w:spacing w:after="0" w:line="176" w:lineRule="exact"/>
              <w:rPr>
                <w:sz w:val="20"/>
                <w:szCs w:val="20"/>
                <w:color w:val="auto"/>
              </w:rPr>
            </w:pPr>
            <w:r>
              <w:rPr>
                <w:rFonts w:ascii="Arial" w:cs="Arial" w:eastAsia="Arial" w:hAnsi="Arial"/>
                <w:sz w:val="18"/>
                <w:szCs w:val="18"/>
                <w:color w:val="auto"/>
                <w:w w:val="90"/>
              </w:rPr>
              <w:t>Domestic same-restaurant sales percentage change, including area</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20"/>
              <w:spacing w:after="0" w:line="243" w:lineRule="exact"/>
              <w:rPr>
                <w:sz w:val="20"/>
                <w:szCs w:val="20"/>
                <w:color w:val="auto"/>
              </w:rPr>
            </w:pPr>
            <w:r>
              <w:rPr>
                <w:rFonts w:ascii="Arial" w:cs="Arial" w:eastAsia="Arial" w:hAnsi="Arial"/>
                <w:sz w:val="18"/>
                <w:szCs w:val="18"/>
                <w:color w:val="auto"/>
              </w:rPr>
              <w:t>license restaurants</w:t>
            </w:r>
            <w:r>
              <w:rPr>
                <w:rFonts w:ascii="Arial" w:cs="Arial" w:eastAsia="Arial" w:hAnsi="Arial"/>
                <w:sz w:val="23"/>
                <w:szCs w:val="23"/>
                <w:color w:val="auto"/>
                <w:vertAlign w:val="superscript"/>
              </w:rPr>
              <w:t>(d)</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3"/>
                <w:szCs w:val="23"/>
                <w:b w:val="1"/>
                <w:bCs w:val="1"/>
                <w:color w:val="auto"/>
                <w:vertAlign w:val="superscript"/>
              </w:rPr>
              <w:t>(b)</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line="23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Average weekly unit sales (in thousands)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3"/>
                <w:szCs w:val="23"/>
                <w:b w:val="1"/>
                <w:bCs w:val="1"/>
                <w:color w:val="auto"/>
                <w:vertAlign w:val="superscript"/>
              </w:rPr>
              <w:t>(b)</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100" w:type="dxa"/>
            <w:vAlign w:val="bottom"/>
          </w:tcPr>
          <w:p>
            <w:pPr>
              <w:ind w:left="220"/>
              <w:spacing w:after="0"/>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bl>
    <w:p>
      <w:pPr>
        <w:spacing w:after="0" w:line="1" w:lineRule="exact"/>
        <w:rPr>
          <w:sz w:val="20"/>
          <w:szCs w:val="20"/>
          <w:color w:val="auto"/>
        </w:rPr>
      </w:pPr>
    </w:p>
    <w:p>
      <w:pPr>
        <w:jc w:val="both"/>
        <w:ind w:left="340" w:hanging="332"/>
        <w:spacing w:after="0" w:line="249" w:lineRule="auto"/>
        <w:tabs>
          <w:tab w:leader="none" w:pos="308" w:val="left"/>
        </w:tabs>
        <w:numPr>
          <w:ilvl w:val="0"/>
          <w:numId w:val="12"/>
        </w:numPr>
        <w:rPr>
          <w:rFonts w:ascii="Arial" w:cs="Arial" w:eastAsia="Arial" w:hAnsi="Arial"/>
          <w:sz w:val="13"/>
          <w:szCs w:val="13"/>
          <w:color w:val="auto"/>
        </w:rPr>
      </w:pPr>
      <w:r>
        <w:rPr>
          <w:rFonts w:ascii="Arial" w:cs="Arial" w:eastAsia="Arial" w:hAnsi="Arial"/>
          <w:sz w:val="13"/>
          <w:szCs w:val="13"/>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jc w:val="both"/>
        <w:ind w:left="340" w:hanging="332"/>
        <w:spacing w:after="0" w:line="262" w:lineRule="auto"/>
        <w:tabs>
          <w:tab w:leader="none" w:pos="339" w:val="left"/>
        </w:tabs>
        <w:numPr>
          <w:ilvl w:val="0"/>
          <w:numId w:val="12"/>
        </w:numPr>
        <w:rPr>
          <w:rFonts w:ascii="Arial" w:cs="Arial" w:eastAsia="Arial" w:hAnsi="Arial"/>
          <w:sz w:val="14"/>
          <w:szCs w:val="14"/>
          <w:color w:val="auto"/>
        </w:rPr>
      </w:pPr>
      <w:r>
        <w:rPr>
          <w:rFonts w:ascii="Arial" w:cs="Arial" w:eastAsia="Arial" w:hAnsi="Arial"/>
          <w:sz w:val="14"/>
          <w:szCs w:val="14"/>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22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
        </w:trPr>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94"/>
        </w:trPr>
        <w:tc>
          <w:tcPr>
            <w:tcW w:w="5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Reported sales (in millions)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ind w:left="5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Applebee's domestic franchise restaurant sales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1,044.5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3,303.9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3,176.2</w:t>
            </w:r>
          </w:p>
        </w:tc>
      </w:tr>
      <w:tr>
        <w:trPr>
          <w:trHeight w:val="182"/>
        </w:trPr>
        <w:tc>
          <w:tcPr>
            <w:tcW w:w="5440" w:type="dxa"/>
            <w:vAlign w:val="bottom"/>
          </w:tcPr>
          <w:p>
            <w:pPr>
              <w:ind w:left="20"/>
              <w:spacing w:after="0"/>
              <w:rPr>
                <w:sz w:val="20"/>
                <w:szCs w:val="20"/>
                <w:color w:val="auto"/>
              </w:rPr>
            </w:pPr>
            <w:r>
              <w:rPr>
                <w:rFonts w:ascii="Arial" w:cs="Arial" w:eastAsia="Arial" w:hAnsi="Arial"/>
                <w:sz w:val="14"/>
                <w:szCs w:val="14"/>
                <w:color w:val="auto"/>
              </w:rPr>
              <w:t>Applebee's company-operated restaurants</w:t>
            </w: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117.2</w:t>
            </w:r>
          </w:p>
        </w:tc>
      </w:tr>
      <w:tr>
        <w:trPr>
          <w:trHeight w:val="20"/>
        </w:trPr>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IHOP franchise restaurant sales</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766.8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2,270.3</w:t>
            </w:r>
          </w:p>
        </w:tc>
      </w:tr>
      <w:tr>
        <w:trPr>
          <w:trHeight w:val="182"/>
        </w:trPr>
        <w:tc>
          <w:tcPr>
            <w:tcW w:w="5440" w:type="dxa"/>
            <w:vAlign w:val="bottom"/>
          </w:tcPr>
          <w:p>
            <w:pPr>
              <w:ind w:left="20"/>
              <w:spacing w:after="0"/>
              <w:rPr>
                <w:sz w:val="20"/>
                <w:szCs w:val="20"/>
                <w:color w:val="auto"/>
              </w:rPr>
            </w:pPr>
            <w:r>
              <w:rPr>
                <w:rFonts w:ascii="Arial" w:cs="Arial" w:eastAsia="Arial" w:hAnsi="Arial"/>
                <w:sz w:val="14"/>
                <w:szCs w:val="14"/>
                <w:color w:val="auto"/>
              </w:rPr>
              <w:t>IHOP area license restaurant sales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219.3</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1"/>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1,923.0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5,957.9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5,783.0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40" w:hanging="332"/>
        <w:spacing w:after="0" w:line="266" w:lineRule="auto"/>
        <w:tabs>
          <w:tab w:leader="none" w:pos="311" w:val="left"/>
        </w:tabs>
        <w:numPr>
          <w:ilvl w:val="0"/>
          <w:numId w:val="13"/>
        </w:numPr>
        <w:rPr>
          <w:rFonts w:ascii="Arial" w:cs="Arial" w:eastAsia="Arial" w:hAnsi="Arial"/>
          <w:sz w:val="14"/>
          <w:szCs w:val="14"/>
          <w:color w:val="auto"/>
        </w:rPr>
      </w:pPr>
      <w:r>
        <w:rPr>
          <w:rFonts w:ascii="Arial" w:cs="Arial" w:eastAsia="Arial" w:hAnsi="Arial"/>
          <w:sz w:val="14"/>
          <w:szCs w:val="14"/>
          <w:color w:val="auto"/>
        </w:rPr>
        <w:t>“Sales percentage change” reflects, for each category of restaurants, the percentage change in sales in any given fiscal period compared to the prior fiscal period for all restaurants in that category.</w:t>
      </w:r>
    </w:p>
    <w:p>
      <w:pPr>
        <w:jc w:val="both"/>
        <w:ind w:left="340" w:hanging="332"/>
        <w:spacing w:after="0" w:line="262" w:lineRule="auto"/>
        <w:tabs>
          <w:tab w:leader="none" w:pos="3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Pr>
          <w:p>
            <w:pPr>
              <w:spacing w:after="0"/>
              <w:rPr>
                <w:sz w:val="18"/>
                <w:szCs w:val="18"/>
                <w:color w:val="auto"/>
              </w:rPr>
            </w:pPr>
          </w:p>
        </w:tc>
        <w:tc>
          <w:tcPr>
            <w:tcW w:w="4280" w:type="dxa"/>
            <w:vAlign w:val="bottom"/>
            <w:gridSpan w:val="3"/>
          </w:tcPr>
          <w:p>
            <w:pPr>
              <w:ind w:left="60"/>
              <w:spacing w:after="0"/>
              <w:rPr>
                <w:sz w:val="20"/>
                <w:szCs w:val="20"/>
                <w:color w:val="auto"/>
              </w:rPr>
            </w:pPr>
            <w:r>
              <w:rPr>
                <w:rFonts w:ascii="Arial" w:cs="Arial" w:eastAsia="Arial" w:hAnsi="Arial"/>
                <w:sz w:val="16"/>
                <w:szCs w:val="16"/>
                <w:b w:val="1"/>
                <w:bCs w:val="1"/>
                <w:i w:val="1"/>
                <w:iCs w:val="1"/>
                <w:color w:val="auto"/>
              </w:rPr>
              <w:t>Restaurant Development Activity</w:t>
            </w:r>
          </w:p>
        </w:tc>
        <w:tc>
          <w:tcPr>
            <w:tcW w:w="980" w:type="dxa"/>
            <w:vAlign w:val="bottom"/>
          </w:tcPr>
          <w:p>
            <w:pPr>
              <w:spacing w:after="0"/>
              <w:rPr>
                <w:sz w:val="18"/>
                <w:szCs w:val="18"/>
                <w:color w:val="auto"/>
              </w:rPr>
            </w:pPr>
          </w:p>
        </w:tc>
        <w:tc>
          <w:tcPr>
            <w:tcW w:w="2580" w:type="dxa"/>
            <w:vAlign w:val="bottom"/>
            <w:gridSpan w:val="3"/>
          </w:tcPr>
          <w:p>
            <w:pPr>
              <w:jc w:val="right"/>
              <w:ind w:right="59"/>
              <w:spacing w:after="0"/>
              <w:rPr>
                <w:sz w:val="20"/>
                <w:szCs w:val="20"/>
                <w:color w:val="auto"/>
              </w:rPr>
            </w:pPr>
            <w:r>
              <w:rPr>
                <w:rFonts w:ascii="Arial" w:cs="Arial" w:eastAsia="Arial" w:hAnsi="Arial"/>
                <w:sz w:val="15"/>
                <w:szCs w:val="15"/>
                <w:b w:val="1"/>
                <w:bCs w:val="1"/>
                <w:color w:val="auto"/>
                <w:w w:val="94"/>
              </w:rPr>
              <w:t>Three Months Ended September 30,</w:t>
            </w:r>
          </w:p>
        </w:tc>
        <w:tc>
          <w:tcPr>
            <w:tcW w:w="3100" w:type="dxa"/>
            <w:vAlign w:val="bottom"/>
            <w:gridSpan w:val="4"/>
          </w:tcPr>
          <w:p>
            <w:pPr>
              <w:ind w:left="80"/>
              <w:spacing w:after="0"/>
              <w:rPr>
                <w:sz w:val="20"/>
                <w:szCs w:val="20"/>
                <w:color w:val="auto"/>
              </w:rPr>
            </w:pPr>
            <w:r>
              <w:rPr>
                <w:rFonts w:ascii="Arial" w:cs="Arial" w:eastAsia="Arial" w:hAnsi="Arial"/>
                <w:sz w:val="15"/>
                <w:szCs w:val="15"/>
                <w:b w:val="1"/>
                <w:bCs w:val="1"/>
                <w:color w:val="auto"/>
              </w:rPr>
              <w:t>Nine Months Ended September 30,</w:t>
            </w:r>
          </w:p>
        </w:tc>
      </w:tr>
      <w:tr>
        <w:trPr>
          <w:trHeight w:val="207"/>
        </w:trPr>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7"/>
                <w:szCs w:val="17"/>
                <w:color w:val="auto"/>
              </w:rPr>
            </w:pPr>
          </w:p>
        </w:tc>
      </w:tr>
      <w:tr>
        <w:trPr>
          <w:trHeight w:val="161"/>
        </w:trPr>
        <w:tc>
          <w:tcPr>
            <w:tcW w:w="300" w:type="dxa"/>
            <w:vAlign w:val="bottom"/>
          </w:tcPr>
          <w:p>
            <w:pPr>
              <w:spacing w:after="0"/>
              <w:rPr>
                <w:sz w:val="14"/>
                <w:szCs w:val="14"/>
                <w:color w:val="auto"/>
              </w:rPr>
            </w:pPr>
          </w:p>
        </w:tc>
        <w:tc>
          <w:tcPr>
            <w:tcW w:w="4280" w:type="dxa"/>
            <w:vAlign w:val="bottom"/>
            <w:gridSpan w:val="3"/>
          </w:tcPr>
          <w:p>
            <w:pPr>
              <w:spacing w:after="0" w:line="142" w:lineRule="exact"/>
              <w:rPr>
                <w:sz w:val="20"/>
                <w:szCs w:val="20"/>
                <w:color w:val="auto"/>
              </w:rPr>
            </w:pPr>
            <w:r>
              <w:rPr>
                <w:rFonts w:ascii="Arial" w:cs="Arial" w:eastAsia="Arial" w:hAnsi="Arial"/>
                <w:sz w:val="16"/>
                <w:szCs w:val="16"/>
                <w:b w:val="1"/>
                <w:bCs w:val="1"/>
                <w:color w:val="auto"/>
              </w:rPr>
              <w:t>Applebee's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3"/>
          </w:tcPr>
          <w:p>
            <w:pPr>
              <w:ind w:left="800"/>
              <w:spacing w:after="0" w:line="142" w:lineRule="exact"/>
              <w:rPr>
                <w:sz w:val="20"/>
                <w:szCs w:val="20"/>
                <w:color w:val="auto"/>
              </w:rPr>
            </w:pPr>
            <w:r>
              <w:rPr>
                <w:rFonts w:ascii="Arial" w:cs="Arial" w:eastAsia="Arial" w:hAnsi="Arial"/>
                <w:sz w:val="16"/>
                <w:szCs w:val="16"/>
                <w:b w:val="1"/>
                <w:bCs w:val="1"/>
                <w:color w:val="auto"/>
              </w:rPr>
              <w:t>(Unaudited)</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6"/>
                <w:szCs w:val="16"/>
                <w:b w:val="1"/>
                <w:bCs w:val="1"/>
                <w:color w:val="auto"/>
              </w:rPr>
              <w:t>Summary - beginning of period:</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
        </w:trPr>
        <w:tc>
          <w:tcPr>
            <w:tcW w:w="3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Franchise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60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6"/>
                <w:szCs w:val="16"/>
                <w:color w:val="auto"/>
              </w:rPr>
              <w:t>Company</w:t>
            </w:r>
          </w:p>
        </w:tc>
        <w:tc>
          <w:tcPr>
            <w:tcW w:w="9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69</w:t>
            </w:r>
          </w:p>
        </w:tc>
        <w:tc>
          <w:tcPr>
            <w:tcW w:w="600" w:type="dxa"/>
            <w:vAlign w:val="bottom"/>
          </w:tcPr>
          <w:p>
            <w:pPr>
              <w:spacing w:after="0"/>
              <w:rPr>
                <w:sz w:val="18"/>
                <w:szCs w:val="18"/>
                <w:color w:val="auto"/>
              </w:rPr>
            </w:pPr>
          </w:p>
        </w:tc>
      </w:tr>
      <w:tr>
        <w:trPr>
          <w:trHeight w:val="238"/>
        </w:trPr>
        <w:tc>
          <w:tcPr>
            <w:tcW w:w="300" w:type="dxa"/>
            <w:vAlign w:val="bottom"/>
          </w:tcPr>
          <w:p>
            <w:pPr>
              <w:spacing w:after="0"/>
              <w:rPr>
                <w:sz w:val="20"/>
                <w:szCs w:val="20"/>
                <w:color w:val="auto"/>
              </w:rPr>
            </w:pPr>
          </w:p>
        </w:tc>
        <w:tc>
          <w:tcPr>
            <w:tcW w:w="4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Beginning of period</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1,673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1,680</w:t>
            </w:r>
          </w:p>
        </w:tc>
        <w:tc>
          <w:tcPr>
            <w:tcW w:w="60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3"/>
        </w:trPr>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Franchise restaurants opened:</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4280" w:type="dxa"/>
            <w:vAlign w:val="bottom"/>
            <w:gridSpan w:val="3"/>
          </w:tcPr>
          <w:p>
            <w:pPr>
              <w:ind w:left="220"/>
              <w:spacing w:after="0"/>
              <w:rPr>
                <w:sz w:val="20"/>
                <w:szCs w:val="20"/>
                <w:color w:val="auto"/>
              </w:rPr>
            </w:pPr>
            <w:r>
              <w:rPr>
                <w:rFonts w:ascii="Arial" w:cs="Arial" w:eastAsia="Arial" w:hAnsi="Arial"/>
                <w:sz w:val="16"/>
                <w:szCs w:val="16"/>
                <w:color w:val="auto"/>
              </w:rPr>
              <w:t>Domestic</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600" w:type="dxa"/>
            <w:vAlign w:val="bottom"/>
          </w:tcPr>
          <w:p>
            <w:pPr>
              <w:spacing w:after="0"/>
              <w:rPr>
                <w:sz w:val="18"/>
                <w:szCs w:val="18"/>
                <w:color w:val="auto"/>
              </w:rPr>
            </w:pPr>
          </w:p>
        </w:tc>
      </w:tr>
      <w:tr>
        <w:trPr>
          <w:trHeight w:val="219"/>
        </w:trPr>
        <w:tc>
          <w:tcPr>
            <w:tcW w:w="300" w:type="dxa"/>
            <w:vAlign w:val="bottom"/>
          </w:tcPr>
          <w:p>
            <w:pPr>
              <w:spacing w:after="0"/>
              <w:rPr>
                <w:sz w:val="19"/>
                <w:szCs w:val="19"/>
                <w:color w:val="auto"/>
              </w:rPr>
            </w:pPr>
          </w:p>
        </w:tc>
        <w:tc>
          <w:tcPr>
            <w:tcW w:w="42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9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19"/>
                <w:szCs w:val="19"/>
                <w:color w:val="auto"/>
              </w:rPr>
            </w:pPr>
          </w:p>
        </w:tc>
      </w:tr>
      <w:tr>
        <w:trPr>
          <w:trHeight w:val="207"/>
        </w:trPr>
        <w:tc>
          <w:tcPr>
            <w:tcW w:w="300" w:type="dxa"/>
            <w:vAlign w:val="bottom"/>
          </w:tcPr>
          <w:p>
            <w:pPr>
              <w:spacing w:after="0"/>
              <w:rPr>
                <w:sz w:val="17"/>
                <w:szCs w:val="17"/>
                <w:color w:val="auto"/>
              </w:rPr>
            </w:pPr>
          </w:p>
        </w:tc>
        <w:tc>
          <w:tcPr>
            <w:tcW w:w="4280" w:type="dxa"/>
            <w:vAlign w:val="bottom"/>
            <w:gridSpan w:val="3"/>
          </w:tcPr>
          <w:p>
            <w:pPr>
              <w:ind w:left="340"/>
              <w:spacing w:after="0"/>
              <w:rPr>
                <w:sz w:val="20"/>
                <w:szCs w:val="20"/>
                <w:color w:val="auto"/>
              </w:rPr>
            </w:pPr>
            <w:r>
              <w:rPr>
                <w:rFonts w:ascii="Arial" w:cs="Arial" w:eastAsia="Arial" w:hAnsi="Arial"/>
                <w:sz w:val="16"/>
                <w:szCs w:val="16"/>
                <w:color w:val="auto"/>
              </w:rPr>
              <w:t>Total franchise restaurants opened</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600" w:type="dxa"/>
            <w:vAlign w:val="bottom"/>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4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Franchise restaurants permanently closed:</w:t>
            </w:r>
          </w:p>
        </w:tc>
        <w:tc>
          <w:tcPr>
            <w:tcW w:w="9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4280" w:type="dxa"/>
            <w:vAlign w:val="bottom"/>
            <w:gridSpan w:val="3"/>
          </w:tcPr>
          <w:p>
            <w:pPr>
              <w:ind w:left="220"/>
              <w:spacing w:after="0"/>
              <w:rPr>
                <w:sz w:val="20"/>
                <w:szCs w:val="20"/>
                <w:color w:val="auto"/>
              </w:rPr>
            </w:pPr>
            <w:r>
              <w:rPr>
                <w:rFonts w:ascii="Arial" w:cs="Arial" w:eastAsia="Arial" w:hAnsi="Arial"/>
                <w:sz w:val="16"/>
                <w:szCs w:val="16"/>
                <w:color w:val="auto"/>
              </w:rPr>
              <w:t>Domestic</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600" w:type="dxa"/>
            <w:vAlign w:val="bottom"/>
          </w:tcPr>
          <w:p>
            <w:pPr>
              <w:spacing w:after="0"/>
              <w:rPr>
                <w:sz w:val="18"/>
                <w:szCs w:val="18"/>
                <w:color w:val="auto"/>
              </w:rPr>
            </w:pPr>
          </w:p>
        </w:tc>
      </w:tr>
      <w:tr>
        <w:trPr>
          <w:trHeight w:val="219"/>
        </w:trPr>
        <w:tc>
          <w:tcPr>
            <w:tcW w:w="300" w:type="dxa"/>
            <w:vAlign w:val="bottom"/>
          </w:tcPr>
          <w:p>
            <w:pPr>
              <w:spacing w:after="0"/>
              <w:rPr>
                <w:sz w:val="19"/>
                <w:szCs w:val="19"/>
                <w:color w:val="auto"/>
              </w:rPr>
            </w:pPr>
          </w:p>
        </w:tc>
        <w:tc>
          <w:tcPr>
            <w:tcW w:w="42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9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9"/>
                <w:szCs w:val="19"/>
                <w:color w:val="auto"/>
              </w:rPr>
            </w:pPr>
          </w:p>
        </w:tc>
      </w:tr>
      <w:tr>
        <w:trPr>
          <w:trHeight w:val="207"/>
        </w:trPr>
        <w:tc>
          <w:tcPr>
            <w:tcW w:w="300" w:type="dxa"/>
            <w:vAlign w:val="bottom"/>
          </w:tcPr>
          <w:p>
            <w:pPr>
              <w:spacing w:after="0"/>
              <w:rPr>
                <w:sz w:val="17"/>
                <w:szCs w:val="17"/>
                <w:color w:val="auto"/>
              </w:rPr>
            </w:pPr>
          </w:p>
        </w:tc>
        <w:tc>
          <w:tcPr>
            <w:tcW w:w="4280" w:type="dxa"/>
            <w:vAlign w:val="bottom"/>
            <w:gridSpan w:val="3"/>
          </w:tcPr>
          <w:p>
            <w:pPr>
              <w:ind w:left="340"/>
              <w:spacing w:after="0"/>
              <w:rPr>
                <w:sz w:val="20"/>
                <w:szCs w:val="20"/>
                <w:color w:val="auto"/>
              </w:rPr>
            </w:pPr>
            <w:r>
              <w:rPr>
                <w:rFonts w:ascii="Arial" w:cs="Arial" w:eastAsia="Arial" w:hAnsi="Arial"/>
                <w:sz w:val="16"/>
                <w:szCs w:val="16"/>
                <w:color w:val="auto"/>
              </w:rPr>
              <w:t>Total franchise restaurants permanently closed</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600" w:type="dxa"/>
            <w:vAlign w:val="bottom"/>
          </w:tcPr>
          <w:p>
            <w:pPr>
              <w:spacing w:after="0"/>
              <w:rPr>
                <w:sz w:val="17"/>
                <w:szCs w:val="17"/>
                <w:color w:val="auto"/>
              </w:rPr>
            </w:pPr>
          </w:p>
        </w:tc>
      </w:tr>
      <w:tr>
        <w:trPr>
          <w:trHeight w:val="210"/>
        </w:trPr>
        <w:tc>
          <w:tcPr>
            <w:tcW w:w="300" w:type="dxa"/>
            <w:vAlign w:val="bottom"/>
          </w:tcPr>
          <w:p>
            <w:pPr>
              <w:spacing w:after="0"/>
              <w:rPr>
                <w:sz w:val="17"/>
                <w:szCs w:val="17"/>
                <w:color w:val="auto"/>
              </w:rPr>
            </w:pPr>
          </w:p>
        </w:tc>
        <w:tc>
          <w:tcPr>
            <w:tcW w:w="4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Net franchise restaurant reduction</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60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3"/>
        </w:trPr>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Summary - end of period:</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6"/>
                <w:szCs w:val="16"/>
                <w:color w:val="auto"/>
              </w:rPr>
              <w:t>Franchise</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1,601</w:t>
            </w:r>
          </w:p>
        </w:tc>
        <w:tc>
          <w:tcPr>
            <w:tcW w:w="1160" w:type="dxa"/>
            <w:vAlign w:val="bottom"/>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1,601</w:t>
            </w:r>
          </w:p>
        </w:tc>
        <w:tc>
          <w:tcPr>
            <w:tcW w:w="600" w:type="dxa"/>
            <w:vAlign w:val="bottom"/>
          </w:tcPr>
          <w:p>
            <w:pPr>
              <w:spacing w:after="0"/>
              <w:rPr>
                <w:sz w:val="18"/>
                <w:szCs w:val="18"/>
                <w:color w:val="auto"/>
              </w:rPr>
            </w:pPr>
          </w:p>
        </w:tc>
      </w:tr>
      <w:tr>
        <w:trPr>
          <w:trHeight w:val="219"/>
        </w:trPr>
        <w:tc>
          <w:tcPr>
            <w:tcW w:w="300" w:type="dxa"/>
            <w:vAlign w:val="bottom"/>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Company</w:t>
            </w:r>
          </w:p>
        </w:tc>
        <w:tc>
          <w:tcPr>
            <w:tcW w:w="9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600" w:type="dxa"/>
            <w:vAlign w:val="bottom"/>
          </w:tcPr>
          <w:p>
            <w:pPr>
              <w:spacing w:after="0"/>
              <w:rPr>
                <w:sz w:val="19"/>
                <w:szCs w:val="19"/>
                <w:color w:val="auto"/>
              </w:rPr>
            </w:pPr>
          </w:p>
        </w:tc>
      </w:tr>
      <w:tr>
        <w:trPr>
          <w:trHeight w:val="209"/>
        </w:trPr>
        <w:tc>
          <w:tcPr>
            <w:tcW w:w="30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6"/>
                <w:szCs w:val="16"/>
                <w:b w:val="1"/>
                <w:bCs w:val="1"/>
                <w:color w:val="auto"/>
              </w:rPr>
              <w:t>Total Applebee's restaurants, end of period</w:t>
            </w:r>
          </w:p>
        </w:tc>
        <w:tc>
          <w:tcPr>
            <w:tcW w:w="9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1,652</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1,670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1,652</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1,670</w:t>
            </w:r>
          </w:p>
        </w:tc>
        <w:tc>
          <w:tcPr>
            <w:tcW w:w="6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Domestic</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6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6"/>
                <w:szCs w:val="16"/>
                <w:color w:val="auto"/>
              </w:rPr>
              <w:t>International</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c>
          <w:tcPr>
            <w:tcW w:w="600" w:type="dxa"/>
            <w:vAlign w:val="bottom"/>
          </w:tcPr>
          <w:p>
            <w:pPr>
              <w:spacing w:after="0"/>
              <w:rPr>
                <w:sz w:val="20"/>
                <w:szCs w:val="20"/>
                <w:color w:val="auto"/>
              </w:rPr>
            </w:pPr>
          </w:p>
        </w:tc>
      </w:tr>
      <w:tr>
        <w:trPr>
          <w:trHeight w:val="904"/>
        </w:trPr>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0" w:type="dxa"/>
            <w:vAlign w:val="bottom"/>
            <w:gridSpan w:val="2"/>
          </w:tcPr>
          <w:p>
            <w:pPr>
              <w:jc w:val="right"/>
              <w:ind w:right="9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Restaurant Development Activity (continued)</w:t>
            </w:r>
          </w:p>
        </w:tc>
        <w:tc>
          <w:tcPr>
            <w:tcW w:w="25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5"/>
                <w:szCs w:val="15"/>
                <w:b w:val="1"/>
                <w:bCs w:val="1"/>
                <w:color w:val="auto"/>
                <w:w w:val="94"/>
              </w:rPr>
              <w:t>Three Months Ended September 30,</w:t>
            </w:r>
          </w:p>
        </w:tc>
        <w:tc>
          <w:tcPr>
            <w:tcW w:w="2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5"/>
                <w:szCs w:val="15"/>
                <w:b w:val="1"/>
                <w:bCs w:val="1"/>
                <w:color w:val="auto"/>
                <w:w w:val="94"/>
              </w:rPr>
              <w:t>Nine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1"/>
        </w:trPr>
        <w:tc>
          <w:tcPr>
            <w:tcW w:w="5340" w:type="dxa"/>
            <w:vAlign w:val="bottom"/>
            <w:gridSpan w:val="3"/>
          </w:tcPr>
          <w:p>
            <w:pPr>
              <w:ind w:left="20"/>
              <w:spacing w:after="0" w:line="161" w:lineRule="exact"/>
              <w:rPr>
                <w:sz w:val="20"/>
                <w:szCs w:val="20"/>
                <w:color w:val="auto"/>
              </w:rPr>
            </w:pPr>
            <w:r>
              <w:rPr>
                <w:rFonts w:ascii="Arial" w:cs="Arial" w:eastAsia="Arial" w:hAnsi="Arial"/>
                <w:sz w:val="16"/>
                <w:szCs w:val="16"/>
                <w:b w:val="1"/>
                <w:bCs w:val="1"/>
                <w:color w:val="auto"/>
              </w:rPr>
              <w:t>IHOP</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340" w:type="dxa"/>
            <w:vAlign w:val="bottom"/>
            <w:gridSpan w:val="3"/>
          </w:tcPr>
          <w:p>
            <w:pPr>
              <w:ind w:left="20"/>
              <w:spacing w:after="0"/>
              <w:rPr>
                <w:sz w:val="20"/>
                <w:szCs w:val="20"/>
                <w:color w:val="auto"/>
              </w:rPr>
            </w:pPr>
            <w:r>
              <w:rPr>
                <w:rFonts w:ascii="Arial" w:cs="Arial" w:eastAsia="Arial" w:hAnsi="Arial"/>
                <w:sz w:val="16"/>
                <w:szCs w:val="16"/>
                <w:b w:val="1"/>
                <w:bCs w:val="1"/>
                <w:color w:val="auto"/>
              </w:rPr>
              <w:t>Summary - beginning of period:</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Franchise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Area license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IHOP restaurants, beginning of period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1,764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Franchise/area license restaurants opened: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6"/>
                <w:szCs w:val="16"/>
                <w:color w:val="auto"/>
              </w:rPr>
              <w:t>Domestic franchise</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Domestic area license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International franchise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franchise/area license restaurants opened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7"/>
        </w:trPr>
        <w:tc>
          <w:tcPr>
            <w:tcW w:w="5340" w:type="dxa"/>
            <w:vAlign w:val="bottom"/>
            <w:gridSpan w:val="3"/>
          </w:tcPr>
          <w:p>
            <w:pPr>
              <w:ind w:left="20"/>
              <w:spacing w:after="0"/>
              <w:rPr>
                <w:sz w:val="20"/>
                <w:szCs w:val="20"/>
                <w:color w:val="auto"/>
              </w:rPr>
            </w:pPr>
            <w:r>
              <w:rPr>
                <w:rFonts w:ascii="Arial" w:cs="Arial" w:eastAsia="Arial" w:hAnsi="Arial"/>
                <w:sz w:val="16"/>
                <w:szCs w:val="16"/>
                <w:color w:val="auto"/>
              </w:rPr>
              <w:t>Franchise/area license restaurants permanently closed:</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Domestic franchise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6"/>
                <w:szCs w:val="16"/>
                <w:color w:val="auto"/>
              </w:rPr>
              <w:t>Domestic area license</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International franchise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53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Total franchise/area license restaurants permanently closed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franchise/area license restaurant additions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color w:val="auto"/>
              </w:rPr>
              <w:t>Refranchised by the Company</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40" w:type="dxa"/>
            <w:vAlign w:val="bottom"/>
            <w:gridSpan w:val="3"/>
            <w:vMerge w:val="continue"/>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Franchise restaurants reacquired by the Company</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increase in franchise/area license restaurants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40" w:type="dxa"/>
            <w:vAlign w:val="bottom"/>
            <w:gridSpan w:val="3"/>
          </w:tcPr>
          <w:p>
            <w:pPr>
              <w:ind w:left="20"/>
              <w:spacing w:after="0"/>
              <w:rPr>
                <w:sz w:val="20"/>
                <w:szCs w:val="20"/>
                <w:color w:val="auto"/>
              </w:rPr>
            </w:pPr>
            <w:r>
              <w:rPr>
                <w:rFonts w:ascii="Arial" w:cs="Arial" w:eastAsia="Arial" w:hAnsi="Arial"/>
                <w:sz w:val="16"/>
                <w:szCs w:val="16"/>
                <w:b w:val="1"/>
                <w:bCs w:val="1"/>
                <w:color w:val="auto"/>
              </w:rPr>
              <w:t>Summary - end of period: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Franchise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13"/>
        </w:trPr>
        <w:tc>
          <w:tcPr>
            <w:tcW w:w="5340" w:type="dxa"/>
            <w:vAlign w:val="bottom"/>
            <w:gridSpan w:val="3"/>
          </w:tcPr>
          <w:p>
            <w:pPr>
              <w:ind w:left="20"/>
              <w:spacing w:after="0"/>
              <w:rPr>
                <w:sz w:val="20"/>
                <w:szCs w:val="20"/>
                <w:color w:val="auto"/>
              </w:rPr>
            </w:pPr>
            <w:r>
              <w:rPr>
                <w:rFonts w:ascii="Arial" w:cs="Arial" w:eastAsia="Arial" w:hAnsi="Arial"/>
                <w:sz w:val="16"/>
                <w:szCs w:val="16"/>
                <w:color w:val="auto"/>
              </w:rPr>
              <w:t>Area license</w:t>
            </w: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1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IHOP restaurants, end of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1,794</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1,766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1,794</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10"/>
        </w:trPr>
        <w:tc>
          <w:tcPr>
            <w:tcW w:w="5340" w:type="dxa"/>
            <w:vAlign w:val="bottom"/>
            <w:gridSpan w:val="3"/>
          </w:tcPr>
          <w:p>
            <w:pPr>
              <w:ind w:left="20"/>
              <w:spacing w:after="0"/>
              <w:rPr>
                <w:sz w:val="20"/>
                <w:szCs w:val="20"/>
                <w:color w:val="auto"/>
              </w:rPr>
            </w:pPr>
            <w:r>
              <w:rPr>
                <w:rFonts w:ascii="Arial" w:cs="Arial" w:eastAsia="Arial" w:hAnsi="Arial"/>
                <w:sz w:val="16"/>
                <w:szCs w:val="16"/>
                <w:color w:val="auto"/>
              </w:rPr>
              <w:t>International</w:t>
            </w:r>
          </w:p>
        </w:tc>
        <w:tc>
          <w:tcPr>
            <w:tcW w:w="12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1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47 franchise groups operated 137 Fuzzy's restaurants in 18 states within the United States and we had one company-owned restaurant in Texas, totaling 138 restaurants. Fuzzy's average weekly sales for the three and nine months ended September 30, 2023 were $30,628 and $31,575, respectively.</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restaurant counts and activity presented above do not include one domestic Applebee's ghost kitchen (small kitchens with no store-front presence, used to fill off-premise orders), 10 international Applebee's ghost kitchens and 38 international IHOP ghost kitchens.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Closures of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the Three and Nine Months Ended September 30, 2023 and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6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100" w:type="dxa"/>
            <w:vAlign w:val="bottom"/>
          </w:tcPr>
          <w:p>
            <w:pPr>
              <w:spacing w:after="0"/>
              <w:rPr>
                <w:sz w:val="20"/>
                <w:szCs w:val="20"/>
                <w:color w:val="auto"/>
              </w:rPr>
            </w:pPr>
          </w:p>
        </w:tc>
        <w:tc>
          <w:tcPr>
            <w:tcW w:w="2740" w:type="dxa"/>
            <w:vAlign w:val="bottom"/>
            <w:gridSpan w:val="5"/>
            <w:vMerge w:val="restart"/>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20"/>
                <w:szCs w:val="2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Favorable</w:t>
            </w:r>
          </w:p>
        </w:tc>
        <w:tc>
          <w:tcPr>
            <w:tcW w:w="120" w:type="dxa"/>
            <w:vAlign w:val="bottom"/>
          </w:tcPr>
          <w:p>
            <w:pPr>
              <w:spacing w:after="0"/>
              <w:rPr>
                <w:sz w:val="20"/>
                <w:szCs w:val="20"/>
                <w:color w:val="auto"/>
              </w:rPr>
            </w:pPr>
          </w:p>
        </w:tc>
        <w:tc>
          <w:tcPr>
            <w:tcW w:w="27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40" w:type="dxa"/>
            <w:vAlign w:val="bottom"/>
          </w:tcPr>
          <w:p>
            <w:pPr>
              <w:spacing w:after="0"/>
              <w:rPr>
                <w:sz w:val="20"/>
                <w:szCs w:val="20"/>
                <w:color w:val="auto"/>
              </w:rPr>
            </w:pPr>
          </w:p>
        </w:tc>
        <w:tc>
          <w:tcPr>
            <w:tcW w:w="116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2"/>
              </w:rPr>
              <w:t>Favorable</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(Unfavorable)</w:t>
            </w:r>
          </w:p>
        </w:tc>
        <w:tc>
          <w:tcPr>
            <w:tcW w:w="120" w:type="dxa"/>
            <w:vAlign w:val="bottom"/>
          </w:tcPr>
          <w:p>
            <w:pPr>
              <w:spacing w:after="0"/>
              <w:rPr>
                <w:sz w:val="9"/>
                <w:szCs w:val="9"/>
                <w:color w:val="auto"/>
              </w:rPr>
            </w:pPr>
          </w:p>
        </w:tc>
        <w:tc>
          <w:tcPr>
            <w:tcW w:w="27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53"/>
              <w:spacing w:after="0" w:line="162" w:lineRule="exact"/>
              <w:rPr>
                <w:sz w:val="20"/>
                <w:szCs w:val="20"/>
                <w:color w:val="auto"/>
              </w:rPr>
            </w:pPr>
            <w:r>
              <w:rPr>
                <w:rFonts w:ascii="Arial" w:cs="Arial" w:eastAsia="Arial" w:hAnsi="Arial"/>
                <w:sz w:val="16"/>
                <w:szCs w:val="16"/>
                <w:b w:val="1"/>
                <w:bCs w:val="1"/>
                <w:color w:val="auto"/>
                <w:w w:val="94"/>
              </w:rPr>
              <w:t>(Unfavorable)</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vMerge w:val="restart"/>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vMerge w:val="restart"/>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8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Variance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2"/>
              </w:rPr>
              <w:t>Variance</w:t>
            </w: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530.4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1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 operations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tcPr>
          <w:p>
            <w:pPr>
              <w:ind w:left="20"/>
              <w:spacing w:after="0" w:line="203" w:lineRule="exact"/>
              <w:rPr>
                <w:sz w:val="20"/>
                <w:szCs w:val="20"/>
                <w:color w:val="auto"/>
              </w:rPr>
            </w:pPr>
            <w:r>
              <w:rPr>
                <w:rFonts w:ascii="Arial" w:cs="Arial" w:eastAsia="Arial" w:hAnsi="Arial"/>
                <w:sz w:val="18"/>
                <w:szCs w:val="18"/>
                <w:color w:val="auto"/>
              </w:rPr>
              <w:t>Change vs. prior period</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for the three months ended September 30, 2023 decreased compared with the same period of the prior year, primarily due to the decrease in company restaurant operations primarily as a result of refranchising the Applebee's company-operated restaurants, partially offset by an increase in IHOP franchise operations revenue and the inclusion of Fuzzy's franchise operations revenue.</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revenue for the nine months ended September 30, 2023 decreased compared with the same period of the prior year, primarily due to the decrease in company restaurant operations as a result of refranchising the Applebee's company-operated restaurants, partially offset by increases in Applebee's and IHOP franchise operations revenue and the inclusion of Fuzzy's franchise operations revenue.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Gross Profit</w:t>
      </w:r>
    </w:p>
    <w:tbl>
      <w:tblPr>
        <w:tblLayout w:type="fixed"/>
        <w:tblInd w:w="16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2800" w:type="dxa"/>
            <w:vAlign w:val="bottom"/>
            <w:gridSpan w:val="6"/>
          </w:tcPr>
          <w:p>
            <w:pPr>
              <w:ind w:left="100"/>
              <w:spacing w:after="0" w:line="158" w:lineRule="exact"/>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3"/>
              </w:rPr>
              <w:t>Favorable</w:t>
            </w:r>
          </w:p>
        </w:tc>
        <w:tc>
          <w:tcPr>
            <w:tcW w:w="100" w:type="dxa"/>
            <w:vAlign w:val="bottom"/>
          </w:tcPr>
          <w:p>
            <w:pPr>
              <w:spacing w:after="0"/>
              <w:rPr>
                <w:sz w:val="13"/>
                <w:szCs w:val="13"/>
                <w:color w:val="auto"/>
              </w:rPr>
            </w:pPr>
          </w:p>
        </w:tc>
        <w:tc>
          <w:tcPr>
            <w:tcW w:w="2660" w:type="dxa"/>
            <w:vAlign w:val="bottom"/>
            <w:gridSpan w:val="5"/>
          </w:tcPr>
          <w:p>
            <w:pPr>
              <w:ind w:left="20"/>
              <w:spacing w:after="0" w:line="158" w:lineRule="exact"/>
              <w:rPr>
                <w:sz w:val="20"/>
                <w:szCs w:val="20"/>
                <w:color w:val="auto"/>
              </w:rPr>
            </w:pPr>
            <w:r>
              <w:rPr>
                <w:rFonts w:ascii="Arial" w:cs="Arial" w:eastAsia="Arial" w:hAnsi="Arial"/>
                <w:sz w:val="16"/>
                <w:szCs w:val="16"/>
                <w:b w:val="1"/>
                <w:bCs w:val="1"/>
                <w:color w:val="auto"/>
                <w:w w:val="99"/>
              </w:rPr>
              <w:t>Nine Months Ended September 30,</w:t>
            </w:r>
          </w:p>
        </w:tc>
        <w:tc>
          <w:tcPr>
            <w:tcW w:w="160" w:type="dxa"/>
            <w:vAlign w:val="bottom"/>
          </w:tcPr>
          <w:p>
            <w:pPr>
              <w:spacing w:after="0"/>
              <w:rPr>
                <w:sz w:val="13"/>
                <w:szCs w:val="13"/>
                <w:color w:val="auto"/>
              </w:rPr>
            </w:pPr>
          </w:p>
        </w:tc>
        <w:tc>
          <w:tcPr>
            <w:tcW w:w="1100" w:type="dxa"/>
            <w:vAlign w:val="bottom"/>
          </w:tcPr>
          <w:p>
            <w:pPr>
              <w:jc w:val="center"/>
              <w:ind w:right="77"/>
              <w:spacing w:after="0" w:line="159" w:lineRule="exact"/>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line="113" w:lineRule="exact"/>
              <w:rPr>
                <w:sz w:val="20"/>
                <w:szCs w:val="20"/>
                <w:color w:val="auto"/>
              </w:rPr>
            </w:pPr>
            <w:r>
              <w:rPr>
                <w:rFonts w:ascii="Arial" w:cs="Arial" w:eastAsia="Arial" w:hAnsi="Arial"/>
                <w:sz w:val="13"/>
                <w:szCs w:val="13"/>
                <w:b w:val="1"/>
                <w:bCs w:val="1"/>
                <w:color w:val="auto"/>
              </w:rPr>
              <w:t>(Unfavorable)</w:t>
            </w: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13"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38"/>
        </w:trPr>
        <w:tc>
          <w:tcPr>
            <w:tcW w:w="2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91"/>
        </w:trPr>
        <w:tc>
          <w:tcPr>
            <w:tcW w:w="2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639"/>
              <w:spacing w:after="0"/>
              <w:rPr>
                <w:sz w:val="20"/>
                <w:szCs w:val="20"/>
                <w:color w:val="auto"/>
              </w:rPr>
            </w:pPr>
            <w:r>
              <w:rPr>
                <w:rFonts w:ascii="Arial" w:cs="Arial" w:eastAsia="Arial" w:hAnsi="Arial"/>
                <w:sz w:val="18"/>
                <w:szCs w:val="18"/>
                <w:color w:val="auto"/>
                <w:w w:val="95"/>
              </w:rPr>
              <w:t>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271.6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639"/>
              <w:spacing w:after="0"/>
              <w:rPr>
                <w:sz w:val="20"/>
                <w:szCs w:val="20"/>
                <w:color w:val="auto"/>
              </w:rPr>
            </w:pPr>
            <w:r>
              <w:rPr>
                <w:rFonts w:ascii="Arial" w:cs="Arial" w:eastAsia="Arial" w:hAnsi="Arial"/>
                <w:sz w:val="18"/>
                <w:szCs w:val="18"/>
                <w:color w:val="auto"/>
                <w:w w:val="95"/>
              </w:rPr>
              <w:t>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9"/>
              <w:spacing w:after="0"/>
              <w:rPr>
                <w:sz w:val="20"/>
                <w:szCs w:val="20"/>
                <w:color w:val="auto"/>
              </w:rPr>
            </w:pPr>
            <w:r>
              <w:rPr>
                <w:rFonts w:ascii="Arial" w:cs="Arial" w:eastAsia="Arial" w:hAnsi="Arial"/>
                <w:sz w:val="18"/>
                <w:szCs w:val="18"/>
                <w:color w:val="auto"/>
                <w:w w:val="91"/>
              </w:rPr>
              <w:t>(1.7)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19"/>
              <w:spacing w:after="0"/>
              <w:rPr>
                <w:sz w:val="20"/>
                <w:szCs w:val="20"/>
                <w:color w:val="auto"/>
              </w:rPr>
            </w:pPr>
            <w:r>
              <w:rPr>
                <w:rFonts w:ascii="Arial" w:cs="Arial" w:eastAsia="Arial" w:hAnsi="Arial"/>
                <w:sz w:val="18"/>
                <w:szCs w:val="18"/>
                <w:color w:val="auto"/>
                <w:w w:val="91"/>
              </w:rPr>
              <w:t>(0.3)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profit</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639"/>
              <w:spacing w:after="0"/>
              <w:rPr>
                <w:sz w:val="20"/>
                <w:szCs w:val="20"/>
                <w:color w:val="auto"/>
              </w:rPr>
            </w:pPr>
            <w:r>
              <w:rPr>
                <w:rFonts w:ascii="Arial" w:cs="Arial" w:eastAsia="Arial" w:hAnsi="Arial"/>
                <w:sz w:val="18"/>
                <w:szCs w:val="18"/>
                <w:color w:val="auto"/>
                <w:w w:val="95"/>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tcPr>
          <w:p>
            <w:pPr>
              <w:ind w:left="20"/>
              <w:spacing w:after="0" w:line="203" w:lineRule="exact"/>
              <w:rPr>
                <w:sz w:val="20"/>
                <w:szCs w:val="20"/>
                <w:color w:val="auto"/>
              </w:rPr>
            </w:pPr>
            <w:r>
              <w:rPr>
                <w:rFonts w:ascii="Arial" w:cs="Arial" w:eastAsia="Arial" w:hAnsi="Arial"/>
                <w:sz w:val="18"/>
                <w:szCs w:val="18"/>
                <w:color w:val="auto"/>
              </w:rPr>
              <w:t>Change vs. prior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Total gross profit for the three and nine months ended September 30, 2023 increased compared with the same periods of the prior year, primarily due to the increased revenue from franchise operations, partially offset by the refranchising of Applebee's company-operated restaurants.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Favorable</w:t>
            </w:r>
          </w:p>
        </w:tc>
        <w:tc>
          <w:tcPr>
            <w:tcW w:w="160" w:type="dxa"/>
            <w:vAlign w:val="bottom"/>
          </w:tcPr>
          <w:p>
            <w:pPr>
              <w:spacing w:after="0"/>
              <w:rPr>
                <w:sz w:val="14"/>
                <w:szCs w:val="14"/>
                <w:color w:val="auto"/>
              </w:rPr>
            </w:pPr>
          </w:p>
        </w:tc>
        <w:tc>
          <w:tcPr>
            <w:tcW w:w="23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4"/>
              </w:rPr>
              <w:t>Nine Months Ended 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Franchise Operations</w:t>
            </w: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(Unfavorable)</w:t>
            </w: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ind w:right="40"/>
              <w:spacing w:after="0" w:line="135"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48"/>
        </w:trPr>
        <w:tc>
          <w:tcPr>
            <w:tcW w:w="3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1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Variance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00" w:type="dxa"/>
            <w:vAlign w:val="bottom"/>
            <w:gridSpan w:val="7"/>
          </w:tcPr>
          <w:p>
            <w:pPr>
              <w:ind w:left="20"/>
              <w:spacing w:after="0"/>
              <w:rPr>
                <w:sz w:val="20"/>
                <w:szCs w:val="20"/>
                <w:color w:val="auto"/>
              </w:rPr>
            </w:pPr>
            <w:r>
              <w:rPr>
                <w:rFonts w:ascii="Arial" w:cs="Arial" w:eastAsia="Arial" w:hAnsi="Arial"/>
                <w:sz w:val="14"/>
                <w:szCs w:val="14"/>
                <w:b w:val="1"/>
                <w:bCs w:val="1"/>
                <w:color w:val="auto"/>
                <w:w w:val="93"/>
              </w:rPr>
              <w:t>(In millions, except number of restaurants)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60" w:type="dxa"/>
            <w:vAlign w:val="bottom"/>
          </w:tcPr>
          <w:p>
            <w:pPr>
              <w:ind w:left="20"/>
              <w:spacing w:after="0" w:line="232" w:lineRule="exact"/>
              <w:rPr>
                <w:sz w:val="20"/>
                <w:szCs w:val="20"/>
                <w:color w:val="auto"/>
              </w:rPr>
            </w:pPr>
            <w:r>
              <w:rPr>
                <w:rFonts w:ascii="Arial" w:cs="Arial" w:eastAsia="Arial" w:hAnsi="Arial"/>
                <w:sz w:val="16"/>
                <w:szCs w:val="16"/>
                <w:color w:val="auto"/>
              </w:rPr>
              <w:t>Effective Franchise Restaurants:</w:t>
            </w:r>
            <w:r>
              <w:rPr>
                <w:rFonts w:ascii="Arial" w:cs="Arial" w:eastAsia="Arial" w:hAnsi="Arial"/>
                <w:sz w:val="21"/>
                <w:szCs w:val="21"/>
                <w:color w:val="auto"/>
                <w:vertAlign w:val="superscript"/>
              </w:rPr>
              <w:t>(1)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Applebee’s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IHOP</w:t>
            </w: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6"/>
                <w:szCs w:val="16"/>
                <w:color w:val="auto"/>
              </w:rPr>
              <w:t>Applebee’s franchise fees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43.1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131.1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IHOP franchise fees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6"/>
                <w:szCs w:val="16"/>
                <w:color w:val="auto"/>
              </w:rPr>
              <w:t>Advertising fees</w:t>
            </w: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Fuzzy's franchise fees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6"/>
        </w:trPr>
        <w:tc>
          <w:tcPr>
            <w:tcW w:w="3160" w:type="dxa"/>
            <w:vAlign w:val="bottom"/>
          </w:tcPr>
          <w:p>
            <w:pPr>
              <w:ind w:left="20"/>
              <w:spacing w:after="0"/>
              <w:rPr>
                <w:sz w:val="20"/>
                <w:szCs w:val="20"/>
                <w:color w:val="auto"/>
              </w:rPr>
            </w:pPr>
            <w:r>
              <w:rPr>
                <w:rFonts w:ascii="Arial" w:cs="Arial" w:eastAsia="Arial" w:hAnsi="Arial"/>
                <w:sz w:val="16"/>
                <w:szCs w:val="16"/>
                <w:color w:val="auto"/>
              </w:rPr>
              <w:t>Total franchise revenues</w:t>
            </w:r>
          </w:p>
        </w:tc>
        <w:tc>
          <w:tcPr>
            <w:tcW w:w="12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530.4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6"/>
                <w:szCs w:val="16"/>
                <w:color w:val="auto"/>
              </w:rPr>
              <w:t>Applebee’s</w:t>
            </w: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IHOP</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6"/>
                <w:szCs w:val="16"/>
                <w:color w:val="auto"/>
              </w:rPr>
              <w:t>Advertising expenses</w:t>
            </w: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Fuzzy's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6"/>
                <w:szCs w:val="16"/>
                <w:color w:val="auto"/>
              </w:rPr>
              <w:t>Total franchise expenses</w:t>
            </w:r>
          </w:p>
        </w:tc>
        <w:tc>
          <w:tcPr>
            <w:tcW w:w="12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240.6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Gross Profit: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6"/>
                <w:szCs w:val="16"/>
                <w:color w:val="auto"/>
              </w:rPr>
              <w:t>Applebee’s</w:t>
            </w: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IHOP</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Fuzzy's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franchise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271.6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60" w:type="dxa"/>
            <w:vAlign w:val="bottom"/>
          </w:tcPr>
          <w:p>
            <w:pPr>
              <w:ind w:left="20"/>
              <w:spacing w:after="0" w:line="190" w:lineRule="exact"/>
              <w:rPr>
                <w:sz w:val="20"/>
                <w:szCs w:val="20"/>
                <w:color w:val="auto"/>
              </w:rPr>
            </w:pPr>
            <w:r>
              <w:rPr>
                <w:rFonts w:ascii="Arial" w:cs="Arial" w:eastAsia="Arial" w:hAnsi="Arial"/>
                <w:sz w:val="16"/>
                <w:szCs w:val="16"/>
                <w:color w:val="auto"/>
              </w:rPr>
              <w:t xml:space="preserve">Gross profit as % of franchise revenue </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51.2 %</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16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Gross profit as % of franchise fees </w:t>
            </w:r>
            <w:r>
              <w:rPr>
                <w:rFonts w:ascii="Arial" w:cs="Arial" w:eastAsia="Arial" w:hAnsi="Arial"/>
                <w:sz w:val="21"/>
                <w:szCs w:val="21"/>
                <w:color w:val="auto"/>
                <w:vertAlign w:val="superscript"/>
              </w:rPr>
              <w:t>(2)(3)</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7" w:lineRule="exact"/>
        <w:rPr>
          <w:sz w:val="20"/>
          <w:szCs w:val="20"/>
          <w:color w:val="auto"/>
        </w:rPr>
      </w:pPr>
    </w:p>
    <w:p>
      <w:pPr>
        <w:ind w:left="180" w:hanging="172"/>
        <w:spacing w:after="0" w:line="237" w:lineRule="auto"/>
        <w:tabs>
          <w:tab w:leader="none" w:pos="15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4" w:lineRule="exact"/>
        <w:rPr>
          <w:rFonts w:ascii="Arial" w:cs="Arial" w:eastAsia="Arial" w:hAnsi="Arial"/>
          <w:sz w:val="9"/>
          <w:szCs w:val="9"/>
          <w:color w:val="auto"/>
        </w:rPr>
      </w:pPr>
    </w:p>
    <w:p>
      <w:pPr>
        <w:ind w:left="180" w:hanging="172"/>
        <w:spacing w:after="0" w:line="221" w:lineRule="auto"/>
        <w:tabs>
          <w:tab w:leader="none" w:pos="165"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Applebee's franchise fee revenue for the three months ended September 30, 2023 decreased 3.2% as compared with the same period of the prior year, primarily due to the unfavorable impact on royalties of a 2.4% decrease in domestic same-restaurant sales. Applebee's franchise fee revenue for the nine months ended September 30, 2023 increased 0.5% as compared with the same period of the prior year primarily due to an increase in termination fees, an increase in international revenue and the favorable impact on royalties of a 0.9% increase in domestic same-restaurant sales and increase in the number of effective franchise restaurants.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Applebee's franchise expenses for the nine months ended September 30, 2023 increased $0.1 million as compared with the same period of the prior year primarily due to an increase in costs related to franchisee support fees offset by a decrease in bad debt expense. Applebee's franchise expenses for the nine months ended September 30, 2023 increased $1.2 million as compared with the same periods of the prior year primarily due to increases in bad debt expense and costs related to franchisee support fees.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IHOP's franchise fee revenue for the three and nine months ended September 30, 2023 increased 8.0% and 10.3%, respectively, as compared with the same periods of the prior year, primarily due to favorable domestic same-restaurant sales and an increase in the number of effective franchise restaurants which resulted in higher sales of proprietary products and increased royalties.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IHOP's franchise expenses for the three and nine months ended September 30, 2023 increased $0.7 million and $6.4 million, respectively, as compared with same periods of the prior year, primarily due to an increase in cost of proprietary products and increases in bad debt expense and costs related to franchisee support fees.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Advertising revenue and expense by brand for the three and nine months ended September 30, 2023 and 2022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5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Increase</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660" w:type="dxa"/>
            <w:vAlign w:val="bottom"/>
          </w:tcPr>
          <w:p>
            <w:pPr>
              <w:ind w:left="20"/>
              <w:spacing w:after="0"/>
              <w:rPr>
                <w:sz w:val="20"/>
                <w:szCs w:val="20"/>
                <w:color w:val="auto"/>
              </w:rPr>
            </w:pPr>
            <w:r>
              <w:rPr>
                <w:rFonts w:ascii="Arial" w:cs="Arial" w:eastAsia="Arial" w:hAnsi="Arial"/>
                <w:sz w:val="18"/>
                <w:szCs w:val="18"/>
                <w:color w:val="auto"/>
              </w:rPr>
              <w:t>Advertising Revenues and Expenses:</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Applebee’s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456"/>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660" w:type="dxa"/>
            <w:vAlign w:val="bottom"/>
          </w:tcPr>
          <w:p>
            <w:pPr>
              <w:ind w:left="220"/>
              <w:spacing w:after="0"/>
              <w:rPr>
                <w:sz w:val="20"/>
                <w:szCs w:val="20"/>
                <w:color w:val="auto"/>
              </w:rPr>
            </w:pPr>
            <w:r>
              <w:rPr>
                <w:rFonts w:ascii="Arial" w:cs="Arial" w:eastAsia="Arial" w:hAnsi="Arial"/>
                <w:sz w:val="18"/>
                <w:szCs w:val="18"/>
                <w:color w:val="auto"/>
              </w:rPr>
              <w:t>IHOP</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left="496"/>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Fuzzy's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 advertising revenues and expenses</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73.4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center"/>
              <w:ind w:left="496"/>
              <w:spacing w:after="0"/>
              <w:rPr>
                <w:sz w:val="20"/>
                <w:szCs w:val="20"/>
                <w:color w:val="auto"/>
              </w:rPr>
            </w:pPr>
            <w:r>
              <w:rPr>
                <w:rFonts w:ascii="Arial" w:cs="Arial" w:eastAsia="Arial" w:hAnsi="Arial"/>
                <w:sz w:val="18"/>
                <w:szCs w:val="18"/>
                <w:color w:val="auto"/>
                <w:w w:val="87"/>
              </w:rPr>
              <w:t>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Applebee’s advertising revenue and expense for the three months ended September 30, 2023 decreased slightly compared to the same period of the prior year, primarily due to the 2.4% decrease in domestic franchise same-restaurant sales. IHOP advertising revenue and expense for the three months ended September 30, 2023 increased compared to the same period of the prior year, primarily due to the 2.0% increase in domestic franchise same-restaurant sales and an increase in the number of effective franchise restaurants.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Applebee's and IHOP's advertising revenue and expense for the nine months ended September 30, 2023 increased 1.9% and 5.0%, respectively, compared to the same period of the prior year primarily due to the increase in their respective domestic franchise same-restaurant sales.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Rental Operations</w:t>
            </w:r>
          </w:p>
        </w:tc>
        <w:tc>
          <w:tcPr>
            <w:tcW w:w="140" w:type="dxa"/>
            <w:vAlign w:val="bottom"/>
          </w:tcPr>
          <w:p>
            <w:pPr>
              <w:spacing w:after="0"/>
              <w:rPr>
                <w:sz w:val="20"/>
                <w:szCs w:val="20"/>
                <w:color w:val="auto"/>
              </w:rPr>
            </w:pPr>
          </w:p>
        </w:tc>
        <w:tc>
          <w:tcPr>
            <w:tcW w:w="2460" w:type="dxa"/>
            <w:vAlign w:val="bottom"/>
            <w:gridSpan w:val="4"/>
            <w:vMerge w:val="restart"/>
          </w:tcPr>
          <w:p>
            <w:pPr>
              <w:jc w:val="right"/>
              <w:ind w:right="9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Favorable</w:t>
            </w:r>
          </w:p>
        </w:tc>
        <w:tc>
          <w:tcPr>
            <w:tcW w:w="180" w:type="dxa"/>
            <w:vAlign w:val="bottom"/>
          </w:tcPr>
          <w:p>
            <w:pPr>
              <w:spacing w:after="0"/>
              <w:rPr>
                <w:sz w:val="20"/>
                <w:szCs w:val="20"/>
                <w:color w:val="auto"/>
              </w:rPr>
            </w:pPr>
          </w:p>
        </w:tc>
        <w:tc>
          <w:tcPr>
            <w:tcW w:w="24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(Unfavorable)</w:t>
            </w: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ind w:right="59"/>
              <w:spacing w:after="0" w:line="126"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38"/>
        </w:trPr>
        <w:tc>
          <w:tcPr>
            <w:tcW w:w="2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Variance</w:t>
            </w: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expenses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operations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540"/>
              <w:spacing w:after="0" w:line="203" w:lineRule="exact"/>
              <w:rPr>
                <w:sz w:val="20"/>
                <w:szCs w:val="20"/>
                <w:color w:val="auto"/>
              </w:rPr>
            </w:pPr>
            <w:r>
              <w:rPr>
                <w:rFonts w:ascii="Arial" w:cs="Arial" w:eastAsia="Arial" w:hAnsi="Arial"/>
                <w:sz w:val="18"/>
                <w:szCs w:val="18"/>
                <w:color w:val="auto"/>
                <w:w w:val="89"/>
              </w:rPr>
              <w:t>27.5 %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20"/>
              <w:spacing w:after="0" w:line="203" w:lineRule="exact"/>
              <w:rPr>
                <w:sz w:val="20"/>
                <w:szCs w:val="20"/>
                <w:color w:val="auto"/>
              </w:rPr>
            </w:pPr>
            <w:r>
              <w:rPr>
                <w:rFonts w:ascii="Arial" w:cs="Arial" w:eastAsia="Arial" w:hAnsi="Arial"/>
                <w:sz w:val="18"/>
                <w:szCs w:val="18"/>
                <w:color w:val="auto"/>
                <w:w w:val="92"/>
              </w:rPr>
              <w:t>24.2 %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59"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2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Rental operations gross profit for the three months ended September 30, 2023 increased from the same period of the prior year, primarily due to operating lease renewals and extensions.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Rental operations gross profit for the nine months ended September 30, 2023 increased as compared to the same period of the prior year, primarily due to lease buyouts and operating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Restaurant Operations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Favorable</w:t>
            </w:r>
          </w:p>
        </w:tc>
        <w:tc>
          <w:tcPr>
            <w:tcW w:w="160" w:type="dxa"/>
            <w:vAlign w:val="bottom"/>
          </w:tcPr>
          <w:p>
            <w:pPr>
              <w:spacing w:after="0"/>
              <w:rPr>
                <w:sz w:val="14"/>
                <w:szCs w:val="14"/>
                <w:color w:val="auto"/>
              </w:rPr>
            </w:pPr>
          </w:p>
        </w:tc>
        <w:tc>
          <w:tcPr>
            <w:tcW w:w="23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rPr>
                <w:sz w:val="20"/>
                <w:szCs w:val="20"/>
                <w:color w:val="auto"/>
              </w:rPr>
            </w:pPr>
            <w:r>
              <w:rPr>
                <w:rFonts w:ascii="Arial" w:cs="Arial" w:eastAsia="Arial" w:hAnsi="Arial"/>
                <w:sz w:val="13"/>
                <w:szCs w:val="13"/>
                <w:b w:val="1"/>
                <w:bCs w:val="1"/>
                <w:color w:val="auto"/>
                <w:w w:val="87"/>
              </w:rPr>
              <w:t>Favorable</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restart"/>
          </w:tcPr>
          <w:p>
            <w:pPr>
              <w:jc w:val="center"/>
              <w:ind w:right="220"/>
              <w:spacing w:after="0" w:line="131" w:lineRule="exact"/>
              <w:rPr>
                <w:sz w:val="20"/>
                <w:szCs w:val="20"/>
                <w:color w:val="auto"/>
              </w:rPr>
            </w:pPr>
            <w:r>
              <w:rPr>
                <w:rFonts w:ascii="Arial" w:cs="Arial" w:eastAsia="Arial" w:hAnsi="Arial"/>
                <w:sz w:val="13"/>
                <w:szCs w:val="13"/>
                <w:b w:val="1"/>
                <w:bCs w:val="1"/>
                <w:color w:val="auto"/>
                <w:w w:val="90"/>
              </w:rPr>
              <w:t>(Unfavorable)</w:t>
            </w: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vMerge w:val="restart"/>
          </w:tcPr>
          <w:p>
            <w:pPr>
              <w:jc w:val="center"/>
              <w:ind w:right="39"/>
              <w:spacing w:after="0" w:line="131" w:lineRule="exact"/>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70"/>
        </w:trPr>
        <w:tc>
          <w:tcPr>
            <w:tcW w:w="3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Variance</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Arial" w:cs="Arial" w:eastAsia="Arial" w:hAnsi="Arial"/>
                <w:sz w:val="13"/>
                <w:szCs w:val="13"/>
                <w:b w:val="1"/>
                <w:bCs w:val="1"/>
                <w:color w:val="auto"/>
                <w:w w:val="88"/>
              </w:rPr>
              <w:t>Variance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Restaurants</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gridSpan w:val="5"/>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6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Applebee's company restaurant sales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w w:val="98"/>
              </w:rPr>
              <w:t xml:space="preserve">Applebee's company restaurant expenses </w:t>
            </w:r>
            <w:r>
              <w:rPr>
                <w:rFonts w:ascii="Arial" w:cs="Arial" w:eastAsia="Arial" w:hAnsi="Arial"/>
                <w:sz w:val="23"/>
                <w:szCs w:val="23"/>
                <w:color w:val="auto"/>
                <w:w w:val="98"/>
                <w:vertAlign w:val="superscript"/>
              </w:rPr>
              <w:t>(1)</w:t>
            </w:r>
          </w:p>
        </w:tc>
        <w:tc>
          <w:tcPr>
            <w:tcW w:w="1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Fuzzy's company restaurant sales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Fuzzy's company restaurant expenses </w:t>
            </w:r>
            <w:r>
              <w:rPr>
                <w:rFonts w:ascii="Arial" w:cs="Arial" w:eastAsia="Arial" w:hAnsi="Arial"/>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restaurant 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3"/>
                <w:szCs w:val="23"/>
                <w:color w:val="auto"/>
                <w:vertAlign w:val="superscript"/>
              </w:rPr>
              <w:t>(3)</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ind w:left="160" w:hanging="152"/>
        <w:spacing w:after="0" w:line="207"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Related to 69 Applebee's company-operated restaurants that were still operating through October 2022.</w:t>
      </w:r>
    </w:p>
    <w:p>
      <w:pPr>
        <w:ind w:left="160" w:hanging="152"/>
        <w:spacing w:after="0"/>
        <w:tabs>
          <w:tab w:leader="none" w:pos="160" w:val="left"/>
        </w:tabs>
        <w:numPr>
          <w:ilvl w:val="0"/>
          <w:numId w:val="16"/>
        </w:numPr>
        <w:rPr>
          <w:rFonts w:ascii="Arial" w:cs="Arial" w:eastAsia="Arial" w:hAnsi="Arial"/>
          <w:sz w:val="9"/>
          <w:szCs w:val="9"/>
          <w:color w:val="auto"/>
        </w:rPr>
      </w:pPr>
      <w:r>
        <w:rPr>
          <w:rFonts w:ascii="Arial" w:cs="Arial" w:eastAsia="Arial" w:hAnsi="Arial"/>
          <w:sz w:val="14"/>
          <w:szCs w:val="14"/>
          <w:color w:val="auto"/>
        </w:rPr>
        <w:t>Related to three Fuzzy's company-operated restaurants that were acquired in December 2022 of which two restaurants were refranchised in April 2023.</w:t>
      </w:r>
    </w:p>
    <w:p>
      <w:pPr>
        <w:spacing w:after="0" w:line="9" w:lineRule="exact"/>
        <w:rPr>
          <w:rFonts w:ascii="Arial" w:cs="Arial" w:eastAsia="Arial" w:hAnsi="Arial"/>
          <w:sz w:val="9"/>
          <w:szCs w:val="9"/>
          <w:color w:val="auto"/>
        </w:rPr>
      </w:pPr>
    </w:p>
    <w:p>
      <w:pPr>
        <w:ind w:left="160" w:hanging="152"/>
        <w:spacing w:after="0"/>
        <w:tabs>
          <w:tab w:leader="none" w:pos="160" w:val="left"/>
        </w:tabs>
        <w:numPr>
          <w:ilvl w:val="0"/>
          <w:numId w:val="16"/>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Applebee's company restaurant gross profit for the three and nine months ended September 30, 2023 decreased 100% compared to the same period of 2022, due to the refranchising of the company-operated restaurants in October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2023, company restaurant operations included three Fuzzy's restaurants, following the acquisition of Fuzzy's in December 2022 of which two out of three restaurants were refranchised in April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segment restaurant expenses may include costs associated with reacquired restaurants in the process of being refranchised. There were no reacquired restaurants expenses during the nine months ended September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as well as interest income on notes receivable due from franchisees. Financing expenses are the cost of taxes related to IHOP equipment leases.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revenue and gross profit for the three and nine months ended September 30, 2023 declined compared to the same period of the prior year, primarily due to progressive decline in interest income as note balances are repaid.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G&amp;A Expenses</w:t>
            </w:r>
          </w:p>
        </w:tc>
        <w:tc>
          <w:tcPr>
            <w:tcW w:w="120" w:type="dxa"/>
            <w:vAlign w:val="bottom"/>
          </w:tcPr>
          <w:p>
            <w:pPr>
              <w:spacing w:after="0"/>
              <w:rPr>
                <w:sz w:val="20"/>
                <w:szCs w:val="20"/>
                <w:color w:val="auto"/>
              </w:rPr>
            </w:pPr>
          </w:p>
        </w:tc>
        <w:tc>
          <w:tcPr>
            <w:tcW w:w="24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0"/>
                <w:szCs w:val="2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Favorable</w:t>
            </w:r>
          </w:p>
        </w:tc>
        <w:tc>
          <w:tcPr>
            <w:tcW w:w="140" w:type="dxa"/>
            <w:vAlign w:val="bottom"/>
          </w:tcPr>
          <w:p>
            <w:pPr>
              <w:spacing w:after="0"/>
              <w:rPr>
                <w:sz w:val="20"/>
                <w:szCs w:val="20"/>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20"/>
                <w:szCs w:val="20"/>
                <w:color w:val="auto"/>
              </w:rPr>
            </w:pPr>
          </w:p>
        </w:tc>
        <w:tc>
          <w:tcPr>
            <w:tcW w:w="106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(Unfavorable)</w:t>
            </w: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ind w:right="64"/>
              <w:spacing w:after="0" w:line="135"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Variance</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G&amp;A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G&amp;A expenses for the three months ended September 30, 2023 increased 4.9% compared to the same period of the prior year, primarily due to an increase in personnel-related costs as well as increases in travel, conference and software maintenance expenses partially offset by a decrease in occupancy and recruiting costs. Included in total G&amp;A expenses for the three months ended September 30, 2023 was $1.2 million of expense related to Fuzzy's, which was acquired in December 2022.</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G&amp;A expenses for the nine months ended September 30, 2023 increased 11.8% compared to the same period of the prior year, primarily due to increases in professional services and personnel-related costs, the stopping of our IHOP Flip'd initiative, and increases in software maintenance, travel and conference expenses. Included in total G&amp;A expenses for the nine months ended September 30, 2023 was $4.3 million of expense related to Fuzzy's, which was acquired in December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3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Income and Expense Items</w:t>
            </w:r>
          </w:p>
        </w:tc>
        <w:tc>
          <w:tcPr>
            <w:tcW w:w="25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0"/>
                <w:szCs w:val="20"/>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40" w:type="dxa"/>
            <w:vAlign w:val="bottom"/>
          </w:tcPr>
          <w:p>
            <w:pPr>
              <w:spacing w:after="0"/>
              <w:rPr>
                <w:sz w:val="20"/>
                <w:szCs w:val="20"/>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20"/>
                <w:szCs w:val="20"/>
                <w:color w:val="auto"/>
              </w:rPr>
            </w:pPr>
          </w:p>
        </w:tc>
        <w:tc>
          <w:tcPr>
            <w:tcW w:w="10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72"/>
        </w:trPr>
        <w:tc>
          <w:tcPr>
            <w:tcW w:w="3320" w:type="dxa"/>
            <w:vAlign w:val="bottom"/>
          </w:tcPr>
          <w:p>
            <w:pPr>
              <w:spacing w:after="0"/>
              <w:rPr>
                <w:sz w:val="6"/>
                <w:szCs w:val="6"/>
                <w:color w:val="auto"/>
              </w:rPr>
            </w:pPr>
          </w:p>
        </w:tc>
        <w:tc>
          <w:tcPr>
            <w:tcW w:w="252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76"/>
              <w:spacing w:after="0" w:line="125"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Closure and impairment charges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disposition of assets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320" w:type="dxa"/>
            <w:vAlign w:val="bottom"/>
          </w:tcPr>
          <w:p>
            <w:pPr>
              <w:ind w:left="2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 and 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12, 2022, the Company established a new revolving financing facility and the debt financing costs related to the previous credit facility were expensed for the three and nine months ended September 30, 2022. For additional details, please refer to Note 7, Long-Term Debt, in the Notes to Consolidated Financial Statements.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repaid the entire outstanding balance of approximately $585.1 million of its 2019 Class A-2 Notes during the nine months ended September 30, 2023 and recognized a $1.7 million loss on extinguishment of debt from the write-off of the related remaining issuance costs. This loss was offset by a $1.7 million gain on extinguishment of debt from the purchase of $67.9 million of its 2019 Class A-2 Notes under par value during the nine months ended September 30, 2023.</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expense, net for the three months ended September 30, 2023 increased compared to the same period of the prior year primarily due to the higher interest rate on our refinanced securitized notes as well as borrowings from and the increase in interest rate on our Credit Facility, partially offset by the increase in interest income from improved yields. Interest expense, net for the nine months ended September 30, 2023 increased compared to the same period of the prior year primarily due to borrowings from and the increase in interest rate on our Credit Facility as well as the higher interest rate on our refinanced securitized notes, partially offset by the increase in interest income from improved yields.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(gain) on disposition of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individually significant asset dispositions during the three months ended September 30, 2023. The loss on disposition of assets for the nine months ended September 30, 2023 primarily related to the disposition of certain IHOP Flip'd assets. The gain on disposition of assets for the three and nine months ended September 30, 2022 primarily related to the sale of land and buildings for three IHOP restaurants located on sites owned by us and termination of an IHOP restaurant lease.</w:t>
      </w:r>
    </w:p>
    <w:p>
      <w:pPr>
        <w:sectPr>
          <w:pgSz w:w="11900" w:h="16838" w:orient="portrait"/>
          <w:cols w:equalWidth="0" w:num="1">
            <w:col w:w="11240"/>
          </w:cols>
          <w:pgMar w:left="320" w:top="121" w:right="339" w:bottom="1440" w:gutter="0" w:footer="0" w:header="0"/>
        </w:sectPr>
      </w:pP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Income before income taxes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tax provision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420" w:type="dxa"/>
            <w:vAlign w:val="bottom"/>
            <w:gridSpan w:val="3"/>
            <w:vMerge w:val="restart"/>
          </w:tcPr>
          <w:p>
            <w:pPr>
              <w:jc w:val="right"/>
              <w:ind w:right="75"/>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4"/>
                <w:szCs w:val="14"/>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Favorable</w:t>
            </w:r>
          </w:p>
        </w:tc>
        <w:tc>
          <w:tcPr>
            <w:tcW w:w="160" w:type="dxa"/>
            <w:vAlign w:val="bottom"/>
          </w:tcPr>
          <w:p>
            <w:pPr>
              <w:spacing w:after="0"/>
              <w:rPr>
                <w:sz w:val="14"/>
                <w:szCs w:val="14"/>
                <w:color w:val="auto"/>
              </w:rPr>
            </w:pPr>
          </w:p>
        </w:tc>
        <w:tc>
          <w:tcPr>
            <w:tcW w:w="2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4"/>
                <w:szCs w:val="14"/>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vMerge w:val="restart"/>
          </w:tcPr>
          <w:p>
            <w:pPr>
              <w:jc w:val="center"/>
              <w:ind w:right="181"/>
              <w:spacing w:after="0" w:line="115" w:lineRule="exact"/>
              <w:rPr>
                <w:sz w:val="20"/>
                <w:szCs w:val="20"/>
                <w:color w:val="auto"/>
              </w:rPr>
            </w:pPr>
            <w:r>
              <w:rPr>
                <w:rFonts w:ascii="Arial" w:cs="Arial" w:eastAsia="Arial" w:hAnsi="Arial"/>
                <w:sz w:val="13"/>
                <w:szCs w:val="13"/>
                <w:b w:val="1"/>
                <w:bCs w:val="1"/>
                <w:color w:val="auto"/>
              </w:rPr>
              <w:t>(Unfavorable)</w:t>
            </w:r>
          </w:p>
        </w:tc>
        <w:tc>
          <w:tcPr>
            <w:tcW w:w="1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restart"/>
          </w:tcPr>
          <w:p>
            <w:pPr>
              <w:jc w:val="center"/>
              <w:ind w:right="100"/>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25"/>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2"/>
              </w:rPr>
              <w:t>Variance</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3"/>
          </w:tcPr>
          <w:p>
            <w:pPr>
              <w:ind w:left="8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24.9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28.7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01"/>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520"/>
              <w:spacing w:after="0"/>
              <w:rPr>
                <w:sz w:val="20"/>
                <w:szCs w:val="20"/>
                <w:color w:val="auto"/>
              </w:rPr>
            </w:pPr>
            <w:r>
              <w:rPr>
                <w:rFonts w:ascii="Arial" w:cs="Arial" w:eastAsia="Arial" w:hAnsi="Arial"/>
                <w:sz w:val="18"/>
                <w:szCs w:val="18"/>
                <w:color w:val="auto"/>
              </w:rPr>
              <w:t>85.6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95.4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6.5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680"/>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520"/>
              <w:spacing w:after="0"/>
              <w:rPr>
                <w:sz w:val="20"/>
                <w:szCs w:val="20"/>
                <w:color w:val="auto"/>
              </w:rPr>
            </w:pPr>
            <w:r>
              <w:rPr>
                <w:rFonts w:ascii="Arial" w:cs="Arial" w:eastAsia="Arial" w:hAnsi="Arial"/>
                <w:sz w:val="18"/>
                <w:szCs w:val="18"/>
                <w:color w:val="auto"/>
              </w:rPr>
              <w:t>21.4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25.7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7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25.9 %</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27.1 %</w:t>
            </w:r>
          </w:p>
        </w:tc>
        <w:tc>
          <w:tcPr>
            <w:tcW w:w="26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rPr>
              <w:t>25.0 %</w:t>
            </w:r>
          </w:p>
        </w:tc>
        <w:tc>
          <w:tcPr>
            <w:tcW w:w="340" w:type="dxa"/>
            <w:vAlign w:val="bottom"/>
          </w:tcPr>
          <w:p>
            <w:pPr>
              <w:spacing w:after="0"/>
              <w:rPr>
                <w:sz w:val="20"/>
                <w:szCs w:val="20"/>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w w:val="92"/>
              </w:rPr>
              <w:t>26.9 %</w:t>
            </w:r>
          </w:p>
        </w:tc>
        <w:tc>
          <w:tcPr>
            <w:tcW w:w="260" w:type="dxa"/>
            <w:vAlign w:val="bottom"/>
          </w:tcPr>
          <w:p>
            <w:pPr>
              <w:spacing w:after="0"/>
              <w:rPr>
                <w:sz w:val="20"/>
                <w:szCs w:val="20"/>
                <w:color w:val="auto"/>
              </w:rPr>
            </w:pPr>
          </w:p>
        </w:tc>
        <w:tc>
          <w:tcPr>
            <w:tcW w:w="1160" w:type="dxa"/>
            <w:vAlign w:val="bottom"/>
          </w:tcPr>
          <w:p>
            <w:pPr>
              <w:ind w:left="700"/>
              <w:spacing w:after="0"/>
              <w:rPr>
                <w:sz w:val="20"/>
                <w:szCs w:val="20"/>
                <w:color w:val="auto"/>
              </w:rPr>
            </w:pPr>
            <w:r>
              <w:rPr>
                <w:rFonts w:ascii="Arial" w:cs="Arial" w:eastAsia="Arial" w:hAnsi="Arial"/>
                <w:sz w:val="18"/>
                <w:szCs w:val="18"/>
                <w:color w:val="auto"/>
                <w:w w:val="95"/>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-1757680</wp:posOffset>
            </wp:positionH>
            <wp:positionV relativeFrom="paragraph">
              <wp:posOffset>-436245</wp:posOffset>
            </wp:positionV>
            <wp:extent cx="683196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145415"/>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-145415</wp:posOffset>
            </wp:positionV>
            <wp:extent cx="683196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1460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2300" w:space="720"/>
            <w:col w:w="8220"/>
          </w:cols>
          <w:pgMar w:left="320" w:top="121"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Arial" w:cs="Arial" w:eastAsia="Arial" w:hAnsi="Arial"/>
          <w:sz w:val="18"/>
          <w:szCs w:val="18"/>
          <w:i w:val="1"/>
          <w:iCs w:val="1"/>
          <w:color w:val="auto"/>
        </w:rPr>
        <w:t>“Consolidated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 - Comparison of the Three and Nine Months Ended September 30, 2023 and 2022."</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tax rate for the three and nine months ended September 30, 2023 was different than the rate of the prior comparable periods primarily due to the recognition of higher excess tax benefits from stock-based compensation and lower non-deductible executive compensation.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Key provisions of our long-term debt potentially impacting liquidity are summarized below. See Note 7 - Long-Term Debt, of the Notes to the Consolidated Financial Statements, for additional detail on long-term debt, including the balances outstanding at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 The Series 2019-1 4.194% Fixed Rate Senior Secured Notes, Class A-2-I (the “Class A-2-I Notes”) were voluntarily repaid in full on April 17, 2023. For a description of the 2019 Class A-2-I Notes, refer to Note 8 of the Notes to Consolidated Financial Statements included in the Company’s Annual Report on Form 10-K for the year ended December 31, 2022.</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long-term debt also includes a revolving financing facility, the 2022-1 Variable Funding Senior Notes, Class A-1 (the “Credit Facility”) that allows for drawings up to $325 million of variable funding notes on a revolving basis and the issuance of letters of credit.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final maturity of the 2019 Class A-2-II Notes is in June 2049, but it is anticipated that, unless repaid earlier, the 2019 Class A-2-II Notes will be repaid in June 2026.</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renewal date of the Credit Facility is June 2027, subject to two additional one-year extensions at the option of the Company upon the satisfaction of certain conditions.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Payment of Principal and Interest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September 30, 2023, our leverage ratio was approximately 4.6x. Therefore, quarterly principal payments are not required.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Exceeding the leverage ratio of 5.25x does not violate any covenant related to the Class A-2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Make-whole Premiums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voluntarily repay the Class A-2 Notes at any time; however, if repaid prior to certain dates we would be required to pay make-whole premiums. As of September 30, 2023, there was no make-whole premium associated with voluntary prepayment of the 2019 Class A-2-II Notes. As of September 30, 2023, the make-whole premium associated with voluntary prepayment of the 2023 Class A-2 Notes was approximately $35.3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September 30, 2023, based on the probability-weighted discounted cash flows associated with either event.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Covenants and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Failure to maintain a prescribed DSCR can trigger the following events:</w:t>
      </w:r>
    </w:p>
    <w:p>
      <w:pPr>
        <w:spacing w:after="0" w:line="11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Our DSCR for the reporting period ended September 30, 2023 was approximately 3.7x.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2023, the outstanding balance of the Credit Facility was $100 million. The amount of $3.4 million was pledged against the Credit Facility for outstanding letters of credit, leaving $221.6 million of the Credit Facility available for borrowing at September 30, 2023.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nine months ended September 30, 2023 was 7.60%.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per share for the three and nine months ended September 30, 2023 and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6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49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Dividends paid per common share</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and 2022, the Company paid dividends of $31.7 million and $30.8 million,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7, 2023, the Board of Directors declared a third quarter 2023 cash dividend of $0.51 per share of common stock, paid on September 29, 2023 to the stockholders of record as of the close of business on September 19,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Share Repurchase Program terminated effective April 1, 2022.</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 Company repurchased 318,356 shares of common stock at a cost of $20.0 million. Cumulatively, the Company repurchased 1,467,945 shares at a cost of $98.7 million under the 2022 Repurchase Program.</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summary, our cash flows for the nine months ended September 30, 2023 and September 30,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6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Variance</w:t>
            </w:r>
          </w:p>
        </w:tc>
      </w:tr>
      <w:tr>
        <w:trPr>
          <w:trHeight w:val="191"/>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6500" w:type="dxa"/>
            <w:vAlign w:val="bottom"/>
          </w:tcPr>
          <w:p>
            <w:pPr>
              <w:ind w:left="14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r>
      <w:tr>
        <w:trPr>
          <w:trHeight w:val="21"/>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provided by operating activities is primarily driven by revenues earned and collected from our franchisees, and profit from our rental operations, financing operations and our company-owned restaurants. Cash provided by operating activities increased $15.8 million during the nine months ended September 30, 2023 compared to the same period of the prior year. This increase was primarily attributable to a decrease in payment for incentive compensation for the 2022 fiscal year paid in 2023, tenant improvement reimbursements received, financing activities prepaid in 2022, and the increase in gross segment profit as discussed in the preceding sections of this MD&amp;A, offset by an increase in advertising and marketing spend primarily due to the utilization of carryover advertising fund balances from prior periods.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Investing activities used net cash of $26.6 million for the nine months ended September 30, 2023 compared to investing activities provided net cash of $3.4 million for the nine months ended September 30, 2022, an unfavorable change of $23.2 million. Capital expenditures of $32 million was partially offset by principal receipts from notes, equipment contracts and other long-term receivables of $6.7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activities used net cash of $218.0 million for the nine months ended September 30, 2023. The net increase in cash used by financing activities was primarily due to the repayment and issuance of long-term debt of $159.7 million during the nine months ended September 30, 2023. This was partially offset by a decrease of repurchase of common stock of $93.8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total cash balances, net of revolving credit facility borrowings, as of September 30, 2023 and December 31,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4"/>
              </w:rPr>
              <w:t>December 31, 2022</w:t>
            </w:r>
          </w:p>
        </w:tc>
      </w:tr>
      <w:tr>
        <w:trPr>
          <w:trHeight w:val="191"/>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gridSpan w:val="4"/>
          </w:tcPr>
          <w:p>
            <w:pPr>
              <w:jc w:val="right"/>
              <w:ind w:right="1391"/>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Revolving credit facility borrowing</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Total cash, restricted cash and cash equivalents,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$67.5 million and $96.6 million of cash held for gift card programs and advertising funds as of September 30, 2023 and December 31, 2022, respectively. The decrease in cash and cash equivalents between September 30, 2023 and December 31, 2022 was primarily due to repayment of long-term debt, additions to property and equipment, payments to repurchase common stock, dividend payments and other payments including employee bonuses and advertising.</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unrestricted cash and cash equivalents on hand, cash flow from operations and the borrowing capacity available under our Credit Facility will provide us with adequate liquidity for at least the next twelve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3200" w:type="dxa"/>
            <w:vAlign w:val="bottom"/>
            <w:gridSpan w:val="6"/>
          </w:tcPr>
          <w:p>
            <w:pPr>
              <w:ind w:left="34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4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Variance</w:t>
            </w:r>
          </w:p>
        </w:tc>
      </w:tr>
      <w:tr>
        <w:trPr>
          <w:trHeight w:val="191"/>
        </w:trPr>
        <w:tc>
          <w:tcPr>
            <w:tcW w:w="6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Principal receipts from notes and equipment contracts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additions to property and equipment</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6440" w:type="dxa"/>
            <w:vAlign w:val="bottom"/>
          </w:tcPr>
          <w:p>
            <w:pPr>
              <w:ind w:left="120"/>
              <w:spacing w:after="0"/>
              <w:rPr>
                <w:sz w:val="20"/>
                <w:szCs w:val="20"/>
                <w:color w:val="auto"/>
              </w:rPr>
            </w:pPr>
            <w:r>
              <w:rPr>
                <w:rFonts w:ascii="Arial" w:cs="Arial" w:eastAsia="Arial" w:hAnsi="Arial"/>
                <w:sz w:val="18"/>
                <w:szCs w:val="18"/>
                <w:color w:val="auto"/>
              </w:rPr>
              <w:t>Adjusted free cash flow</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free cash flow for the nine months ended September 30, 2023 improved compared to the same period of the prior year due to the increase in cash flows provided by operating activities, partially offset by the increase in capital expenditures and a decrease in receipts from notes and equipment contracts receivable.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the contractual obligations as disclosed in our Annual Report on Form 10-K for the year ended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5"/>
        <w:spacing w:after="0" w:line="293" w:lineRule="auto"/>
        <w:rPr>
          <w:sz w:val="20"/>
          <w:szCs w:val="20"/>
          <w:color w:val="auto"/>
        </w:rPr>
      </w:pPr>
      <w:r>
        <w:rPr>
          <w:rFonts w:ascii="Arial" w:cs="Arial" w:eastAsia="Arial" w:hAnsi="Arial"/>
          <w:sz w:val="16"/>
          <w:szCs w:val="16"/>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2022. During the nine months ended September 30, 2023, there were no significant changes in our critical accounting policies or in our critical accounting estimates.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from the information contained in the Company’s Annual Report on Form 10-K for the year ended December 31,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20" w:firstLine="45"/>
        <w:spacing w:after="0" w:line="277"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2022.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7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580" w:type="dxa"/>
            <w:vAlign w:val="bottom"/>
          </w:tcPr>
          <w:p>
            <w:pPr>
              <w:jc w:val="center"/>
              <w:ind w:left="1648"/>
              <w:spacing w:after="0"/>
              <w:rPr>
                <w:sz w:val="20"/>
                <w:szCs w:val="20"/>
                <w:color w:val="auto"/>
              </w:rPr>
            </w:pPr>
            <w:r>
              <w:rPr>
                <w:rFonts w:ascii="Arial" w:cs="Arial" w:eastAsia="Arial" w:hAnsi="Arial"/>
                <w:sz w:val="14"/>
                <w:szCs w:val="14"/>
                <w:b w:val="1"/>
                <w:bCs w:val="1"/>
                <w:color w:val="auto"/>
                <w:w w:val="92"/>
              </w:rPr>
              <w:t>Total number of</w:t>
            </w:r>
          </w:p>
        </w:tc>
        <w:tc>
          <w:tcPr>
            <w:tcW w:w="1340" w:type="dxa"/>
            <w:vAlign w:val="bottom"/>
          </w:tcPr>
          <w:p>
            <w:pPr>
              <w:spacing w:after="0"/>
              <w:rPr>
                <w:sz w:val="14"/>
                <w:szCs w:val="14"/>
                <w:color w:val="auto"/>
              </w:rPr>
            </w:pP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Total number of</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3580" w:type="dxa"/>
            <w:vAlign w:val="bottom"/>
          </w:tcPr>
          <w:p>
            <w:pPr>
              <w:jc w:val="center"/>
              <w:ind w:left="1648"/>
              <w:spacing w:after="0" w:line="145" w:lineRule="exact"/>
              <w:rPr>
                <w:sz w:val="20"/>
                <w:szCs w:val="20"/>
                <w:color w:val="auto"/>
              </w:rPr>
            </w:pPr>
            <w:r>
              <w:rPr>
                <w:rFonts w:ascii="Arial" w:cs="Arial" w:eastAsia="Arial" w:hAnsi="Arial"/>
                <w:sz w:val="14"/>
                <w:szCs w:val="14"/>
                <w:b w:val="1"/>
                <w:bCs w:val="1"/>
                <w:color w:val="auto"/>
                <w:w w:val="84"/>
              </w:rPr>
              <w:t>shares</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150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w w:val="87"/>
              </w:rPr>
              <w:t>shares purchased as</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3580" w:type="dxa"/>
            <w:vAlign w:val="bottom"/>
          </w:tcPr>
          <w:p>
            <w:pPr>
              <w:jc w:val="center"/>
              <w:ind w:left="1648"/>
              <w:spacing w:after="0" w:line="139" w:lineRule="exact"/>
              <w:rPr>
                <w:sz w:val="20"/>
                <w:szCs w:val="20"/>
                <w:color w:val="auto"/>
              </w:rPr>
            </w:pPr>
            <w:r>
              <w:rPr>
                <w:rFonts w:ascii="Arial" w:cs="Arial" w:eastAsia="Arial" w:hAnsi="Arial"/>
                <w:sz w:val="14"/>
                <w:szCs w:val="14"/>
                <w:b w:val="1"/>
                <w:bCs w:val="1"/>
                <w:color w:val="auto"/>
                <w:w w:val="91"/>
              </w:rPr>
              <w:t>purchased to satisfy tax</w:t>
            </w:r>
          </w:p>
        </w:tc>
        <w:tc>
          <w:tcPr>
            <w:tcW w:w="1340" w:type="dxa"/>
            <w:vAlign w:val="bottom"/>
            <w:vMerge w:val="continue"/>
          </w:tcPr>
          <w:p>
            <w:pPr>
              <w:spacing w:after="0"/>
              <w:rPr>
                <w:sz w:val="12"/>
                <w:szCs w:val="12"/>
                <w:color w:val="auto"/>
              </w:rPr>
            </w:pPr>
          </w:p>
        </w:tc>
        <w:tc>
          <w:tcPr>
            <w:tcW w:w="1500" w:type="dxa"/>
            <w:vAlign w:val="bottom"/>
          </w:tcPr>
          <w:p>
            <w:pPr>
              <w:jc w:val="center"/>
              <w:ind w:left="228"/>
              <w:spacing w:after="0" w:line="139" w:lineRule="exact"/>
              <w:rPr>
                <w:sz w:val="20"/>
                <w:szCs w:val="20"/>
                <w:color w:val="auto"/>
              </w:rPr>
            </w:pPr>
            <w:r>
              <w:rPr>
                <w:rFonts w:ascii="Arial" w:cs="Arial" w:eastAsia="Arial" w:hAnsi="Arial"/>
                <w:sz w:val="14"/>
                <w:szCs w:val="14"/>
                <w:b w:val="1"/>
                <w:bCs w:val="1"/>
                <w:color w:val="auto"/>
                <w:w w:val="95"/>
              </w:rPr>
              <w:t>part of publicly</w:t>
            </w:r>
          </w:p>
        </w:tc>
        <w:tc>
          <w:tcPr>
            <w:tcW w:w="0" w:type="dxa"/>
            <w:vAlign w:val="bottom"/>
          </w:tcPr>
          <w:p>
            <w:pPr>
              <w:spacing w:after="0"/>
              <w:rPr>
                <w:sz w:val="1"/>
                <w:szCs w:val="1"/>
                <w:color w:val="auto"/>
              </w:rPr>
            </w:pPr>
          </w:p>
        </w:tc>
      </w:tr>
      <w:tr>
        <w:trPr>
          <w:trHeight w:val="144"/>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580" w:type="dxa"/>
            <w:vAlign w:val="bottom"/>
          </w:tcPr>
          <w:p>
            <w:pPr>
              <w:jc w:val="center"/>
              <w:ind w:left="1648"/>
              <w:spacing w:after="0" w:line="144" w:lineRule="exact"/>
              <w:rPr>
                <w:sz w:val="20"/>
                <w:szCs w:val="20"/>
                <w:color w:val="auto"/>
              </w:rPr>
            </w:pPr>
            <w:r>
              <w:rPr>
                <w:rFonts w:ascii="Arial" w:cs="Arial" w:eastAsia="Arial" w:hAnsi="Arial"/>
                <w:sz w:val="14"/>
                <w:szCs w:val="14"/>
                <w:b w:val="1"/>
                <w:bCs w:val="1"/>
                <w:color w:val="auto"/>
                <w:w w:val="92"/>
              </w:rPr>
              <w:t>withholding obligations</w:t>
            </w:r>
          </w:p>
        </w:tc>
        <w:tc>
          <w:tcPr>
            <w:tcW w:w="13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paid per</w:t>
            </w:r>
          </w:p>
        </w:tc>
        <w:tc>
          <w:tcPr>
            <w:tcW w:w="1500" w:type="dxa"/>
            <w:vAlign w:val="bottom"/>
          </w:tcPr>
          <w:p>
            <w:pPr>
              <w:jc w:val="center"/>
              <w:ind w:left="228"/>
              <w:spacing w:after="0" w:line="144" w:lineRule="exact"/>
              <w:rPr>
                <w:sz w:val="20"/>
                <w:szCs w:val="20"/>
                <w:color w:val="auto"/>
              </w:rPr>
            </w:pPr>
            <w:r>
              <w:rPr>
                <w:rFonts w:ascii="Arial" w:cs="Arial" w:eastAsia="Arial" w:hAnsi="Arial"/>
                <w:sz w:val="14"/>
                <w:szCs w:val="14"/>
                <w:b w:val="1"/>
                <w:bCs w:val="1"/>
                <w:color w:val="auto"/>
                <w:w w:val="90"/>
              </w:rPr>
              <w:t>announced plans or</w:t>
            </w:r>
          </w:p>
        </w:tc>
        <w:tc>
          <w:tcPr>
            <w:tcW w:w="0" w:type="dxa"/>
            <w:vAlign w:val="bottom"/>
          </w:tcPr>
          <w:p>
            <w:pPr>
              <w:spacing w:after="0"/>
              <w:rPr>
                <w:sz w:val="1"/>
                <w:szCs w:val="1"/>
                <w:color w:val="auto"/>
              </w:rPr>
            </w:pPr>
          </w:p>
        </w:tc>
      </w:tr>
      <w:tr>
        <w:trPr>
          <w:trHeight w:val="191"/>
        </w:trPr>
        <w:tc>
          <w:tcPr>
            <w:tcW w:w="2340" w:type="dxa"/>
            <w:vAlign w:val="bottom"/>
            <w:vMerge w:val="continue"/>
          </w:tcPr>
          <w:p>
            <w:pPr>
              <w:spacing w:after="0"/>
              <w:rPr>
                <w:sz w:val="16"/>
                <w:szCs w:val="16"/>
                <w:color w:val="auto"/>
              </w:rPr>
            </w:pPr>
          </w:p>
        </w:tc>
        <w:tc>
          <w:tcPr>
            <w:tcW w:w="3580" w:type="dxa"/>
            <w:vAlign w:val="bottom"/>
          </w:tcPr>
          <w:p>
            <w:pPr>
              <w:jc w:val="center"/>
              <w:ind w:left="1648"/>
              <w:spacing w:after="0"/>
              <w:rPr>
                <w:sz w:val="20"/>
                <w:szCs w:val="20"/>
                <w:color w:val="auto"/>
              </w:rPr>
            </w:pPr>
            <w:r>
              <w:rPr>
                <w:rFonts w:ascii="Arial" w:cs="Arial" w:eastAsia="Arial" w:hAnsi="Arial"/>
                <w:sz w:val="14"/>
                <w:szCs w:val="14"/>
                <w:b w:val="1"/>
                <w:bCs w:val="1"/>
                <w:color w:val="auto"/>
              </w:rPr>
              <w:t>(a)</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share</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Approximate dollar value of</w:t>
      </w:r>
    </w:p>
    <w:p>
      <w:pPr>
        <w:spacing w:after="0" w:line="15" w:lineRule="exact"/>
        <w:rPr>
          <w:sz w:val="20"/>
          <w:szCs w:val="20"/>
          <w:color w:val="auto"/>
        </w:rPr>
      </w:pPr>
    </w:p>
    <w:p>
      <w:pPr>
        <w:ind w:left="240" w:right="480" w:hanging="51"/>
        <w:spacing w:after="0" w:line="246" w:lineRule="auto"/>
        <w:rPr>
          <w:sz w:val="20"/>
          <w:szCs w:val="20"/>
          <w:color w:val="auto"/>
        </w:rPr>
      </w:pPr>
      <w:r>
        <w:rPr>
          <w:rFonts w:ascii="Arial" w:cs="Arial" w:eastAsia="Arial" w:hAnsi="Arial"/>
          <w:sz w:val="12"/>
          <w:szCs w:val="12"/>
          <w:b w:val="1"/>
          <w:bCs w:val="1"/>
          <w:color w:val="auto"/>
        </w:rPr>
        <w:t>shares that may yet be purchased under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plans or programs (b)</w:t>
      </w:r>
    </w:p>
    <w:p>
      <w:pPr>
        <w:spacing w:after="0" w:line="23" w:lineRule="exact"/>
        <w:rPr>
          <w:sz w:val="20"/>
          <w:szCs w:val="20"/>
          <w:color w:val="auto"/>
        </w:rPr>
      </w:pPr>
    </w:p>
    <w:p>
      <w:pPr>
        <w:sectPr>
          <w:pgSz w:w="11900" w:h="16838" w:orient="portrait"/>
          <w:cols w:equalWidth="0" w:num="2">
            <w:col w:w="8780" w:space="420"/>
            <w:col w:w="20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3, 2023 - July 30, 2023</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12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680" w:type="dxa"/>
            <w:vAlign w:val="bottom"/>
            <w:tcBorders>
              <w:top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155,266,000</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July 31, 2023 - August 27, 2023</w:t>
            </w:r>
          </w:p>
        </w:tc>
        <w:tc>
          <w:tcPr>
            <w:tcW w:w="162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58.24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34,237</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153,266,000</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28, 2023 - October 1,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53.94</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6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151,266,000</w:t>
            </w:r>
          </w:p>
        </w:tc>
      </w:tr>
      <w:tr>
        <w:trPr>
          <w:trHeight w:val="209"/>
        </w:trPr>
        <w:tc>
          <w:tcPr>
            <w:tcW w:w="42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56.65</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105,864</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151,266,000</w:t>
            </w:r>
          </w:p>
        </w:tc>
      </w:tr>
      <w:tr>
        <w:trPr>
          <w:trHeight w:val="21"/>
        </w:trPr>
        <w:tc>
          <w:tcPr>
            <w:tcW w:w="4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right="240" w:hanging="252"/>
        <w:spacing w:after="0" w:line="238" w:lineRule="auto"/>
        <w:tabs>
          <w:tab w:leader="none" w:pos="15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jc w:val="both"/>
        <w:ind w:left="260" w:right="260" w:hanging="252"/>
        <w:spacing w:after="0" w:line="268" w:lineRule="auto"/>
        <w:tabs>
          <w:tab w:leader="none" w:pos="266" w:val="left"/>
        </w:tabs>
        <w:numPr>
          <w:ilvl w:val="0"/>
          <w:numId w:val="18"/>
        </w:numPr>
        <w:rPr>
          <w:rFonts w:ascii="Arial" w:cs="Arial" w:eastAsia="Arial" w:hAnsi="Arial"/>
          <w:sz w:val="9"/>
          <w:szCs w:val="9"/>
          <w:color w:val="auto"/>
        </w:rPr>
      </w:pPr>
      <w:r>
        <w:rPr>
          <w:rFonts w:ascii="Arial" w:cs="Arial" w:eastAsia="Arial" w:hAnsi="Arial"/>
          <w:sz w:val="14"/>
          <w:szCs w:val="14"/>
          <w:color w:val="auto"/>
        </w:rPr>
        <w:t>On February 17, 2022, the Company's Board of Directors authorized a share repurchase program, effective April 1, 2022, of up to $250 million (the “2022 Repurchase Program”). In connection with the approval of the 2022 Repurchase Program, the 2019 Share Repurchase Program terminated effective April 1, 2022. The 2022 Repurchase Program, as approved by the Board of Directors, does not require the repurchase of a specific number of shares and can be terminated at any time.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239"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color w:val="auto"/>
        </w:rPr>
        <w:t>During the fiscal quarter ended September 30, 2023,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38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9700" w:type="dxa"/>
            <w:vAlign w:val="bottom"/>
            <w:gridSpan w:val="9"/>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Amended and Restated Bylaws of Dine Brands Global, Inc., effective as of September 6, 2023 (Exhibit 3.1 to Registrant’s Form 8-K</w:t>
              </w:r>
            </w:hyperlink>
          </w:p>
        </w:tc>
      </w:tr>
      <w:tr>
        <w:trPr>
          <w:trHeight w:val="156"/>
        </w:trPr>
        <w:tc>
          <w:tcPr>
            <w:tcW w:w="138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filed September 8, 2023 is incorporated herein by reference).</w:t>
              </w:r>
            </w:hyperlink>
          </w:p>
        </w:tc>
        <w:tc>
          <w:tcPr>
            <w:tcW w:w="5160" w:type="dxa"/>
            <w:vAlign w:val="bottom"/>
            <w:tcBorders>
              <w:top w:val="single" w:sz="8" w:color="0000FF"/>
            </w:tcBorders>
            <w:gridSpan w:val="4"/>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*31.1</w:t>
            </w:r>
          </w:p>
        </w:tc>
        <w:tc>
          <w:tcPr>
            <w:tcW w:w="87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Chief Executive Officer pursuant to Rule 13a-14(a) of the Securities Exchange Act of 1934, as amended.</w:t>
            </w:r>
          </w:p>
        </w:tc>
        <w:tc>
          <w:tcPr>
            <w:tcW w:w="980" w:type="dxa"/>
            <w:vAlign w:val="bottom"/>
            <w:gridSpan w:val="4"/>
          </w:tcPr>
          <w:p>
            <w:pPr>
              <w:spacing w:after="0"/>
              <w:rPr>
                <w:sz w:val="19"/>
                <w:szCs w:val="19"/>
                <w:color w:val="auto"/>
              </w:rPr>
            </w:pPr>
          </w:p>
        </w:tc>
      </w:tr>
      <w:tr>
        <w:trPr>
          <w:trHeight w:val="209"/>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9700" w:type="dxa"/>
            <w:vAlign w:val="bottom"/>
            <w:gridSpan w:val="9"/>
          </w:tcPr>
          <w:p>
            <w:pPr>
              <w:spacing w:after="0"/>
              <w:rPr>
                <w:sz w:val="20"/>
                <w:szCs w:val="20"/>
                <w:color w:val="auto"/>
              </w:rPr>
            </w:pPr>
            <w:r>
              <w:rPr>
                <w:rFonts w:ascii="Arial" w:cs="Arial" w:eastAsia="Arial" w:hAnsi="Arial"/>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9700" w:type="dxa"/>
            <w:vAlign w:val="bottom"/>
            <w:gridSpan w:val="9"/>
          </w:tcPr>
          <w:p>
            <w:pPr>
              <w:spacing w:after="0"/>
              <w:rPr>
                <w:sz w:val="20"/>
                <w:szCs w:val="20"/>
                <w:color w:val="auto"/>
              </w:rPr>
            </w:pPr>
            <w:r>
              <w:rPr>
                <w:rFonts w:ascii="Arial" w:cs="Arial" w:eastAsia="Arial" w:hAnsi="Arial"/>
                <w:sz w:val="18"/>
                <w:szCs w:val="18"/>
                <w:color w:val="0000FF"/>
                <w:w w:val="94"/>
              </w:rPr>
              <w:t>Certification of Chief Executive Officer pursuant to 18 U.S.C. Section 1350, as adopted pursuant to Section 906 of the Sarbanes-</w:t>
            </w:r>
          </w:p>
        </w:tc>
      </w:tr>
      <w:tr>
        <w:trPr>
          <w:trHeight w:val="156"/>
        </w:trPr>
        <w:tc>
          <w:tcPr>
            <w:tcW w:w="13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6"/>
              </w:rPr>
              <w:t>Oxley Act of 2002.**</w:t>
            </w:r>
          </w:p>
        </w:tc>
        <w:tc>
          <w:tcPr>
            <w:tcW w:w="7720" w:type="dxa"/>
            <w:vAlign w:val="bottom"/>
            <w:tcBorders>
              <w:top w:val="single" w:sz="8" w:color="0000FF"/>
            </w:tcBorders>
            <w:gridSpan w:val="4"/>
          </w:tcPr>
          <w:p>
            <w:pPr>
              <w:spacing w:after="0"/>
              <w:rPr>
                <w:sz w:val="13"/>
                <w:szCs w:val="13"/>
                <w:color w:val="auto"/>
              </w:rPr>
            </w:pPr>
          </w:p>
        </w:tc>
        <w:tc>
          <w:tcPr>
            <w:tcW w:w="3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9700" w:type="dxa"/>
            <w:vAlign w:val="bottom"/>
            <w:gridSpan w:val="9"/>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w:t>
            </w:r>
          </w:p>
        </w:tc>
      </w:tr>
      <w:tr>
        <w:trPr>
          <w:trHeight w:val="156"/>
        </w:trPr>
        <w:tc>
          <w:tcPr>
            <w:tcW w:w="13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8"/>
              </w:rPr>
              <w:t>Act of 2002.**</w:t>
            </w:r>
          </w:p>
        </w:tc>
        <w:tc>
          <w:tcPr>
            <w:tcW w:w="85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101.INS</w:t>
            </w:r>
          </w:p>
        </w:tc>
        <w:tc>
          <w:tcPr>
            <w:tcW w:w="9700" w:type="dxa"/>
            <w:vAlign w:val="bottom"/>
            <w:gridSpan w:val="9"/>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1380" w:type="dxa"/>
            <w:vAlign w:val="bottom"/>
          </w:tcPr>
          <w:p>
            <w:pPr>
              <w:spacing w:after="0"/>
              <w:rPr>
                <w:sz w:val="20"/>
                <w:szCs w:val="20"/>
                <w:color w:val="auto"/>
              </w:rPr>
            </w:pPr>
          </w:p>
        </w:tc>
        <w:tc>
          <w:tcPr>
            <w:tcW w:w="9700" w:type="dxa"/>
            <w:vAlign w:val="bottom"/>
            <w:gridSpan w:val="9"/>
          </w:tcPr>
          <w:p>
            <w:pPr>
              <w:ind w:left="260"/>
              <w:spacing w:after="0"/>
              <w:rPr>
                <w:sz w:val="20"/>
                <w:szCs w:val="20"/>
                <w:color w:val="auto"/>
              </w:rPr>
            </w:pPr>
            <w:r>
              <w:rPr>
                <w:rFonts w:ascii="Arial" w:cs="Arial" w:eastAsia="Arial" w:hAnsi="Arial"/>
                <w:sz w:val="18"/>
                <w:szCs w:val="18"/>
                <w:color w:val="auto"/>
              </w:rPr>
              <w:t>within the Inline XBRL document.</w:t>
            </w:r>
          </w:p>
        </w:tc>
      </w:tr>
      <w:tr>
        <w:trPr>
          <w:trHeight w:val="241"/>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101.SCH</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Schema Document.***</w:t>
            </w:r>
          </w:p>
        </w:tc>
      </w:tr>
      <w:tr>
        <w:trPr>
          <w:trHeight w:val="23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101.CAL</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9"/>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101.DEF</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29"/>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101.LAB</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Label Linkbase Document.***</w:t>
            </w:r>
          </w:p>
        </w:tc>
      </w:tr>
      <w:tr>
        <w:trPr>
          <w:trHeight w:val="230"/>
        </w:trPr>
        <w:tc>
          <w:tcPr>
            <w:tcW w:w="1380" w:type="dxa"/>
            <w:vAlign w:val="bottom"/>
          </w:tcPr>
          <w:p>
            <w:pPr>
              <w:jc w:val="right"/>
              <w:ind w:right="210"/>
              <w:spacing w:after="0"/>
              <w:rPr>
                <w:sz w:val="20"/>
                <w:szCs w:val="20"/>
                <w:color w:val="auto"/>
              </w:rPr>
            </w:pPr>
            <w:r>
              <w:rPr>
                <w:rFonts w:ascii="Arial" w:cs="Arial" w:eastAsia="Arial" w:hAnsi="Arial"/>
                <w:sz w:val="18"/>
                <w:szCs w:val="18"/>
                <w:color w:val="auto"/>
              </w:rPr>
              <w:t>101.PRE</w:t>
            </w:r>
          </w:p>
        </w:tc>
        <w:tc>
          <w:tcPr>
            <w:tcW w:w="9700" w:type="dxa"/>
            <w:vAlign w:val="bottom"/>
            <w:gridSpan w:val="9"/>
          </w:tcPr>
          <w:p>
            <w:pPr>
              <w:spacing w:after="0"/>
              <w:rPr>
                <w:sz w:val="20"/>
                <w:szCs w:val="20"/>
                <w:color w:val="auto"/>
              </w:rPr>
            </w:pPr>
            <w:r>
              <w:rPr>
                <w:rFonts w:ascii="Arial" w:cs="Arial" w:eastAsia="Arial" w:hAnsi="Arial"/>
                <w:sz w:val="18"/>
                <w:szCs w:val="18"/>
                <w:color w:val="auto"/>
              </w:rPr>
              <w:t>Inline XBRL Presentation Linkbase Document.***</w:t>
            </w:r>
          </w:p>
        </w:tc>
      </w:tr>
    </w:tbl>
    <w:p>
      <w:pPr>
        <w:ind w:left="1380" w:hanging="620"/>
        <w:spacing w:after="0"/>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500" w:hanging="492"/>
        <w:spacing w:after="0" w:line="250"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jc w:val="both"/>
        <w:ind w:left="500" w:hanging="492"/>
        <w:spacing w:after="0" w:line="277" w:lineRule="auto"/>
        <w:tabs>
          <w:tab w:leader="none" w:pos="513"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Dine Brands Global, Inc.</w:t>
      </w:r>
    </w:p>
    <w:p>
      <w:pPr>
        <w:ind w:left="4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79" w:lineRule="exact"/>
        <w:rPr>
          <w:sz w:val="20"/>
          <w:szCs w:val="20"/>
          <w:color w:val="auto"/>
        </w:rPr>
      </w:pPr>
    </w:p>
    <w:p>
      <w:pPr>
        <w:ind w:left="820"/>
        <w:spacing w:after="0"/>
        <w:tabs>
          <w:tab w:leader="none" w:pos="5800" w:val="left"/>
          <w:tab w:leader="none" w:pos="7440" w:val="left"/>
        </w:tabs>
        <w:rPr>
          <w:sz w:val="20"/>
          <w:szCs w:val="20"/>
          <w:color w:val="auto"/>
        </w:rPr>
      </w:pPr>
      <w:r>
        <w:rPr>
          <w:rFonts w:ascii="Arial" w:cs="Arial" w:eastAsia="Arial" w:hAnsi="Arial"/>
          <w:sz w:val="18"/>
          <w:szCs w:val="18"/>
          <w:color w:val="auto"/>
        </w:rPr>
        <w:t>Dated: 1st day of November,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71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John W. Peyton</w:t>
      </w:r>
    </w:p>
    <w:p>
      <w:pPr>
        <w:jc w:val="center"/>
        <w:ind w:left="4980"/>
        <w:spacing w:after="0" w:line="219" w:lineRule="auto"/>
        <w:rPr>
          <w:sz w:val="20"/>
          <w:szCs w:val="20"/>
          <w:color w:val="auto"/>
        </w:rPr>
      </w:pPr>
      <w:r>
        <w:rPr>
          <w:rFonts w:ascii="Arial" w:cs="Arial" w:eastAsia="Arial" w:hAnsi="Arial"/>
          <w:sz w:val="18"/>
          <w:szCs w:val="18"/>
          <w:i w:val="1"/>
          <w:iCs w:val="1"/>
          <w:color w:val="auto"/>
        </w:rPr>
        <w:t>Chief Executive Officer</w:t>
      </w:r>
    </w:p>
    <w:p>
      <w:pPr>
        <w:ind w:left="7080"/>
        <w:spacing w:after="0"/>
        <w:rPr>
          <w:sz w:val="20"/>
          <w:szCs w:val="20"/>
          <w:color w:val="auto"/>
        </w:rPr>
      </w:pPr>
      <w:r>
        <w:rPr>
          <w:rFonts w:ascii="Arial" w:cs="Arial" w:eastAsia="Arial" w:hAnsi="Arial"/>
          <w:sz w:val="18"/>
          <w:szCs w:val="18"/>
          <w:i w:val="1"/>
          <w:iCs w:val="1"/>
          <w:color w:val="auto"/>
        </w:rPr>
        <w:t>(Principal Executive Officer)</w:t>
      </w:r>
    </w:p>
    <w:p>
      <w:pPr>
        <w:spacing w:after="0" w:line="263" w:lineRule="exact"/>
        <w:rPr>
          <w:sz w:val="20"/>
          <w:szCs w:val="20"/>
          <w:color w:val="auto"/>
        </w:rPr>
      </w:pPr>
    </w:p>
    <w:p>
      <w:pPr>
        <w:ind w:left="820"/>
        <w:spacing w:after="0"/>
        <w:tabs>
          <w:tab w:leader="none" w:pos="5800" w:val="left"/>
          <w:tab w:leader="none" w:pos="7420" w:val="left"/>
        </w:tabs>
        <w:rPr>
          <w:sz w:val="20"/>
          <w:szCs w:val="20"/>
          <w:color w:val="auto"/>
        </w:rPr>
      </w:pPr>
      <w:r>
        <w:rPr>
          <w:rFonts w:ascii="Arial" w:cs="Arial" w:eastAsia="Arial" w:hAnsi="Arial"/>
          <w:sz w:val="18"/>
          <w:szCs w:val="18"/>
          <w:color w:val="auto"/>
        </w:rPr>
        <w:t>Dated: 1st day of November,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717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Vance Y. Chang</w:t>
      </w:r>
    </w:p>
    <w:p>
      <w:pPr>
        <w:jc w:val="center"/>
        <w:ind w:left="4980"/>
        <w:spacing w:after="0" w:line="219" w:lineRule="auto"/>
        <w:rPr>
          <w:sz w:val="20"/>
          <w:szCs w:val="20"/>
          <w:color w:val="auto"/>
        </w:rPr>
      </w:pPr>
      <w:r>
        <w:rPr>
          <w:rFonts w:ascii="Arial" w:cs="Arial" w:eastAsia="Arial" w:hAnsi="Arial"/>
          <w:sz w:val="18"/>
          <w:szCs w:val="18"/>
          <w:i w:val="1"/>
          <w:iCs w:val="1"/>
          <w:color w:val="auto"/>
        </w:rPr>
        <w:t>Chief Financial Officer</w:t>
      </w:r>
    </w:p>
    <w:p>
      <w:pPr>
        <w:ind w:left="7080"/>
        <w:spacing w:after="0"/>
        <w:rPr>
          <w:sz w:val="20"/>
          <w:szCs w:val="20"/>
          <w:color w:val="auto"/>
        </w:rPr>
      </w:pPr>
      <w:r>
        <w:rPr>
          <w:rFonts w:ascii="Arial" w:cs="Arial" w:eastAsia="Arial" w:hAnsi="Arial"/>
          <w:sz w:val="18"/>
          <w:szCs w:val="18"/>
          <w:i w:val="1"/>
          <w:iCs w:val="1"/>
          <w:color w:val="auto"/>
        </w:rPr>
        <w:t>(Principal Financial Officer)</w:t>
      </w:r>
    </w:p>
    <w:p>
      <w:pPr>
        <w:spacing w:after="0" w:line="236" w:lineRule="exact"/>
        <w:rPr>
          <w:sz w:val="20"/>
          <w:szCs w:val="20"/>
          <w:color w:val="auto"/>
        </w:rPr>
      </w:pPr>
    </w:p>
    <w:p>
      <w:pPr>
        <w:ind w:left="820"/>
        <w:spacing w:after="0"/>
        <w:tabs>
          <w:tab w:leader="none" w:pos="5800" w:val="left"/>
          <w:tab w:leader="none" w:pos="7560" w:val="left"/>
        </w:tabs>
        <w:rPr>
          <w:sz w:val="20"/>
          <w:szCs w:val="20"/>
          <w:color w:val="auto"/>
        </w:rPr>
      </w:pPr>
      <w:r>
        <w:rPr>
          <w:rFonts w:ascii="Arial" w:cs="Arial" w:eastAsia="Arial" w:hAnsi="Arial"/>
          <w:sz w:val="18"/>
          <w:szCs w:val="18"/>
          <w:color w:val="auto"/>
        </w:rPr>
        <w:t>Dated: 1st day of November,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717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Allison Hall</w:t>
      </w:r>
    </w:p>
    <w:p>
      <w:pPr>
        <w:jc w:val="center"/>
        <w:ind w:left="4980"/>
        <w:spacing w:after="0" w:line="219" w:lineRule="auto"/>
        <w:rPr>
          <w:sz w:val="20"/>
          <w:szCs w:val="20"/>
          <w:color w:val="auto"/>
        </w:rPr>
      </w:pPr>
      <w:r>
        <w:rPr>
          <w:rFonts w:ascii="Arial" w:cs="Arial" w:eastAsia="Arial" w:hAnsi="Arial"/>
          <w:sz w:val="18"/>
          <w:szCs w:val="18"/>
          <w:i w:val="1"/>
          <w:iCs w:val="1"/>
          <w:color w:val="auto"/>
        </w:rPr>
        <w:t>Chief Accounting Officer</w:t>
      </w:r>
    </w:p>
    <w:p>
      <w:pPr>
        <w:ind w:left="70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22"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117" w:lineRule="exact"/>
        <w:rPr>
          <w:rFonts w:ascii="Arial" w:cs="Arial" w:eastAsia="Arial" w:hAnsi="Arial"/>
          <w:sz w:val="18"/>
          <w:szCs w:val="18"/>
          <w:color w:val="auto"/>
        </w:rPr>
      </w:pPr>
    </w:p>
    <w:p>
      <w:pPr>
        <w:ind w:firstLine="8"/>
        <w:spacing w:after="0" w:line="342" w:lineRule="auto"/>
        <w:tabs>
          <w:tab w:leader="none" w:pos="7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6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8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firstLine="656"/>
        <w:spacing w:after="0" w:line="263" w:lineRule="auto"/>
        <w:tabs>
          <w:tab w:leader="none" w:pos="90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656"/>
        <w:spacing w:after="0" w:line="263" w:lineRule="auto"/>
        <w:tabs>
          <w:tab w:leader="none" w:pos="11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656"/>
        <w:spacing w:after="0" w:line="308" w:lineRule="auto"/>
        <w:tabs>
          <w:tab w:leader="none" w:pos="1172"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firstLine="656"/>
        <w:spacing w:after="0" w:line="263" w:lineRule="auto"/>
        <w:tabs>
          <w:tab w:leader="none" w:pos="9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81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656"/>
        <w:spacing w:after="0" w:line="277" w:lineRule="auto"/>
        <w:tabs>
          <w:tab w:leader="none" w:pos="9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656"/>
        <w:spacing w:after="0" w:line="277"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840"/>
        <w:spacing w:after="0"/>
        <w:tabs>
          <w:tab w:leader="none" w:pos="8580" w:val="left"/>
        </w:tabs>
        <w:rPr>
          <w:sz w:val="20"/>
          <w:szCs w:val="20"/>
          <w:color w:val="auto"/>
        </w:rPr>
      </w:pPr>
      <w:r>
        <w:rPr>
          <w:rFonts w:ascii="Arial" w:cs="Arial" w:eastAsia="Arial" w:hAnsi="Arial"/>
          <w:sz w:val="18"/>
          <w:szCs w:val="18"/>
          <w:color w:val="auto"/>
        </w:rPr>
        <w:t>Dated: 1st day of November, 2023</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3831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5"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John W. Peyton</w:t>
      </w:r>
    </w:p>
    <w:p>
      <w:pPr>
        <w:jc w:val="center"/>
        <w:ind w:left="7280"/>
        <w:spacing w:after="0" w:line="203" w:lineRule="auto"/>
        <w:rPr>
          <w:sz w:val="20"/>
          <w:szCs w:val="20"/>
          <w:color w:val="auto"/>
        </w:rPr>
      </w:pPr>
      <w:r>
        <w:rPr>
          <w:rFonts w:ascii="Arial" w:cs="Arial" w:eastAsia="Arial" w:hAnsi="Arial"/>
          <w:sz w:val="18"/>
          <w:szCs w:val="18"/>
          <w:i w:val="1"/>
          <w:iCs w:val="1"/>
          <w:color w:val="auto"/>
        </w:rPr>
        <w:t>Chief Executive Officer</w:t>
      </w:r>
    </w:p>
    <w:p>
      <w:pPr>
        <w:jc w:val="center"/>
        <w:ind w:left="7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0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117" w:lineRule="exact"/>
        <w:rPr>
          <w:rFonts w:ascii="Arial" w:cs="Arial" w:eastAsia="Arial" w:hAnsi="Arial"/>
          <w:sz w:val="18"/>
          <w:szCs w:val="18"/>
          <w:color w:val="auto"/>
        </w:rPr>
      </w:pPr>
    </w:p>
    <w:p>
      <w:pPr>
        <w:ind w:right="100" w:firstLine="8"/>
        <w:spacing w:after="0" w:line="342" w:lineRule="auto"/>
        <w:tabs>
          <w:tab w:leader="none" w:pos="66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6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8"/>
        <w:spacing w:after="0" w:line="263" w:lineRule="auto"/>
        <w:tabs>
          <w:tab w:leader="none" w:pos="6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656"/>
        <w:spacing w:after="0" w:line="263" w:lineRule="auto"/>
        <w:tabs>
          <w:tab w:leader="none" w:pos="13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656"/>
        <w:spacing w:after="0" w:line="263" w:lineRule="auto"/>
        <w:tabs>
          <w:tab w:leader="none" w:pos="13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00" w:firstLine="656"/>
        <w:spacing w:after="0" w:line="308" w:lineRule="auto"/>
        <w:tabs>
          <w:tab w:leader="none" w:pos="1325"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180" w:firstLine="656"/>
        <w:spacing w:after="0" w:line="263" w:lineRule="auto"/>
        <w:tabs>
          <w:tab w:leader="none" w:pos="13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60" w:firstLine="8"/>
        <w:spacing w:after="0" w:line="342" w:lineRule="auto"/>
        <w:tabs>
          <w:tab w:leader="none" w:pos="66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40" w:firstLine="656"/>
        <w:spacing w:after="0" w:line="308" w:lineRule="auto"/>
        <w:tabs>
          <w:tab w:leader="none" w:pos="1311"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20" w:firstLine="656"/>
        <w:spacing w:after="0" w:line="277" w:lineRule="auto"/>
        <w:tabs>
          <w:tab w:leader="none" w:pos="13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840"/>
        <w:spacing w:after="0"/>
        <w:tabs>
          <w:tab w:leader="none" w:pos="8540" w:val="left"/>
        </w:tabs>
        <w:rPr>
          <w:sz w:val="20"/>
          <w:szCs w:val="20"/>
          <w:color w:val="auto"/>
        </w:rPr>
      </w:pPr>
      <w:r>
        <w:rPr>
          <w:rFonts w:ascii="Arial" w:cs="Arial" w:eastAsia="Arial" w:hAnsi="Arial"/>
          <w:sz w:val="18"/>
          <w:szCs w:val="18"/>
          <w:color w:val="auto"/>
        </w:rPr>
        <w:t>Dated: 1st day of November, 2023</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34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5"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Vance Y. Chang</w:t>
      </w:r>
    </w:p>
    <w:p>
      <w:pPr>
        <w:ind w:left="8400"/>
        <w:spacing w:after="0" w:line="203" w:lineRule="auto"/>
        <w:rPr>
          <w:sz w:val="20"/>
          <w:szCs w:val="20"/>
          <w:color w:val="auto"/>
        </w:rPr>
      </w:pPr>
      <w:r>
        <w:rPr>
          <w:rFonts w:ascii="Arial" w:cs="Arial" w:eastAsia="Arial" w:hAnsi="Arial"/>
          <w:sz w:val="18"/>
          <w:szCs w:val="18"/>
          <w:i w:val="1"/>
          <w:iCs w:val="1"/>
          <w:color w:val="auto"/>
        </w:rPr>
        <w:t>Chief Financial Officer</w:t>
      </w:r>
    </w:p>
    <w:p>
      <w:pPr>
        <w:ind w:left="82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0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September 30, 2023, as filed with the Securities and Exchange Commission on the 1st day of November, 2023 (the “Report”), John W. Peyton, as Chief Executive Officer of the Company, hereby certifies, pursuant to 18 U.S.C. Section 1350, as adopted pursuant to Section 906 of the Sarbanes-Oxley Act of 2002, to the best of his knowledge, that:</w:t>
      </w:r>
    </w:p>
    <w:p>
      <w:pPr>
        <w:spacing w:after="0" w:line="217" w:lineRule="exact"/>
        <w:rPr>
          <w:sz w:val="20"/>
          <w:szCs w:val="20"/>
          <w:color w:val="auto"/>
        </w:rPr>
      </w:pPr>
    </w:p>
    <w:p>
      <w:pPr>
        <w:ind w:left="1660" w:hanging="518"/>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15" w:lineRule="exact"/>
        <w:rPr>
          <w:rFonts w:ascii="Arial" w:cs="Arial" w:eastAsia="Arial" w:hAnsi="Arial"/>
          <w:sz w:val="16"/>
          <w:szCs w:val="16"/>
          <w:color w:val="auto"/>
        </w:rPr>
      </w:pPr>
    </w:p>
    <w:p>
      <w:pPr>
        <w:ind w:left="1760" w:hanging="618"/>
        <w:spacing w:after="0"/>
        <w:tabs>
          <w:tab w:leader="none" w:pos="1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6920" w:type="dxa"/>
            <w:vAlign w:val="bottom"/>
          </w:tcPr>
          <w:p>
            <w:pPr>
              <w:ind w:left="200"/>
              <w:spacing w:after="0"/>
              <w:rPr>
                <w:sz w:val="20"/>
                <w:szCs w:val="20"/>
                <w:color w:val="auto"/>
              </w:rPr>
            </w:pPr>
            <w:r>
              <w:rPr>
                <w:rFonts w:ascii="Arial" w:cs="Arial" w:eastAsia="Arial" w:hAnsi="Arial"/>
                <w:sz w:val="18"/>
                <w:szCs w:val="18"/>
                <w:color w:val="auto"/>
              </w:rPr>
              <w:t>1st day of November, 2023</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W. Peyton</w:t>
            </w:r>
          </w:p>
        </w:tc>
      </w:tr>
      <w:tr>
        <w:trPr>
          <w:trHeight w:val="222"/>
        </w:trPr>
        <w:tc>
          <w:tcPr>
            <w:tcW w:w="6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8"/>
              </w:rPr>
              <w:t>John W. Peyton</w:t>
            </w:r>
          </w:p>
        </w:tc>
      </w:tr>
      <w:tr>
        <w:trPr>
          <w:trHeight w:val="176"/>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pacing w:after="0" w:line="39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September 30, 2023, as filed with the Securities and Exchange Commission on the 1st day of November, 2023 (the “Report”), Vance Y. Chang, as Chief Financial Officer of the Company, hereby certifies, pursuant to 18 U.S.C. Section 1350, as adopted pursuant to Section 906 of the Sarbanes-Oxley Act of 2002, to the best of his knowledge, that:</w:t>
      </w:r>
    </w:p>
    <w:p>
      <w:pPr>
        <w:spacing w:after="0" w:line="217" w:lineRule="exact"/>
        <w:rPr>
          <w:sz w:val="20"/>
          <w:szCs w:val="20"/>
          <w:color w:val="auto"/>
        </w:rPr>
      </w:pPr>
    </w:p>
    <w:p>
      <w:pPr>
        <w:ind w:left="1660" w:hanging="518"/>
        <w:spacing w:after="0"/>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315" w:lineRule="exact"/>
        <w:rPr>
          <w:rFonts w:ascii="Arial" w:cs="Arial" w:eastAsia="Arial" w:hAnsi="Arial"/>
          <w:sz w:val="16"/>
          <w:szCs w:val="16"/>
          <w:color w:val="auto"/>
        </w:rPr>
      </w:pPr>
    </w:p>
    <w:p>
      <w:pPr>
        <w:ind w:left="1760" w:hanging="618"/>
        <w:spacing w:after="0"/>
        <w:tabs>
          <w:tab w:leader="none" w:pos="1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6980" w:type="dxa"/>
            <w:vAlign w:val="bottom"/>
          </w:tcPr>
          <w:p>
            <w:pPr>
              <w:ind w:left="200"/>
              <w:spacing w:after="0"/>
              <w:rPr>
                <w:sz w:val="20"/>
                <w:szCs w:val="20"/>
                <w:color w:val="auto"/>
              </w:rPr>
            </w:pPr>
            <w:r>
              <w:rPr>
                <w:rFonts w:ascii="Arial" w:cs="Arial" w:eastAsia="Arial" w:hAnsi="Arial"/>
                <w:sz w:val="18"/>
                <w:szCs w:val="18"/>
                <w:color w:val="auto"/>
              </w:rPr>
              <w:t>1st day of November, 2023</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Vance Y. Chang</w:t>
            </w:r>
          </w:p>
        </w:tc>
      </w:tr>
      <w:tr>
        <w:trPr>
          <w:trHeight w:val="222"/>
        </w:trPr>
        <w:tc>
          <w:tcPr>
            <w:tcW w:w="68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6"/>
              </w:rPr>
              <w:t>Vance Y. Chang</w:t>
            </w:r>
          </w:p>
        </w:tc>
      </w:tr>
      <w:tr>
        <w:trPr>
          <w:trHeight w:val="176"/>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39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upperLetter"/>
      <w:start w:val="2"/>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3"/>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lvl w:ilvl="1">
      <w:lvlJc w:val="left"/>
      <w:lvlText w:val="%2"/>
      <w:numFmt w:val="decimal"/>
      <w:start w:val="1"/>
    </w:lvl>
  </w:abstractNum>
  <w:abstractNum w:abstractNumId="20">
    <w:nsid w:val="2D1D5AE9"/>
    <w:multiLevelType w:val="hybridMultilevel"/>
    <w:lvl w:ilvl="0">
      <w:lvlJc w:val="left"/>
      <w:lvlText w:val="***"/>
      <w:numFmt w:val="bullet"/>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69" Type="http://schemas.openxmlformats.org/officeDocument/2006/relationships/hyperlink" Target="https://www.sec.gov/Archives/edgar/data/49754/000119312523231139/d53261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2023-11-01T06:41:54Z</dcterms:created>
  <dcterms:modified xsi:type="dcterms:W3CDTF">2023-11-01T06:41:54Z</dcterms:modified>
</cp:coreProperties>
</file>