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440"/>
        <w:spacing w:after="0" w:line="227" w:lineRule="auto"/>
        <w:rPr>
          <w:sz w:val="20"/>
          <w:szCs w:val="20"/>
          <w:color w:val="auto"/>
        </w:rPr>
      </w:pPr>
      <w:r>
        <w:rPr>
          <w:rFonts w:ascii="Times New Roman" w:cs="Times New Roman" w:eastAsia="Times New Roman" w:hAnsi="Times New Roman"/>
          <w:sz w:val="18"/>
          <w:szCs w:val="18"/>
          <w:color w:val="auto"/>
        </w:rPr>
        <w:t>__________________________________________________</w:t>
      </w:r>
    </w:p>
    <w:p>
      <w:pPr>
        <w:jc w:val="center"/>
        <w:spacing w:after="0" w:line="224" w:lineRule="auto"/>
        <w:rPr>
          <w:sz w:val="20"/>
          <w:szCs w:val="20"/>
          <w:color w:val="auto"/>
        </w:rPr>
      </w:pPr>
      <w:r>
        <w:rPr>
          <w:rFonts w:ascii="Times New Roman" w:cs="Times New Roman" w:eastAsia="Times New Roman" w:hAnsi="Times New Roman"/>
          <w:sz w:val="32"/>
          <w:szCs w:val="32"/>
          <w:b w:val="1"/>
          <w:bCs w:val="1"/>
          <w:color w:val="auto"/>
        </w:rPr>
        <w:t>FORM 10-Q</w:t>
      </w:r>
    </w:p>
    <w:p>
      <w:pPr>
        <w:ind w:left="60"/>
        <w:spacing w:after="0" w:line="230" w:lineRule="auto"/>
        <w:rPr>
          <w:sz w:val="20"/>
          <w:szCs w:val="20"/>
          <w:color w:val="auto"/>
        </w:rPr>
      </w:pPr>
      <w:r>
        <w:rPr>
          <w:rFonts w:ascii="Times New Roman" w:cs="Times New Roman" w:eastAsia="Times New Roman" w:hAnsi="Times New Roman"/>
          <w:sz w:val="18"/>
          <w:szCs w:val="18"/>
          <w:b w:val="1"/>
          <w:bCs w:val="1"/>
          <w:color w:val="auto"/>
        </w:rPr>
        <w:t>(Mark One)</w:t>
      </w:r>
    </w:p>
    <w:p>
      <w:pPr>
        <w:ind w:left="560" w:hanging="228"/>
        <w:spacing w:after="0"/>
        <w:tabs>
          <w:tab w:leader="none" w:pos="5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w:t>
      </w:r>
    </w:p>
    <w:p>
      <w:pPr>
        <w:spacing w:after="0" w:line="238" w:lineRule="auto"/>
        <w:rPr>
          <w:sz w:val="20"/>
          <w:szCs w:val="20"/>
          <w:color w:val="auto"/>
        </w:rPr>
      </w:pPr>
      <w:r>
        <w:rPr>
          <w:rFonts w:ascii="Times New Roman" w:cs="Times New Roman" w:eastAsia="Times New Roman" w:hAnsi="Times New Roman"/>
          <w:sz w:val="22"/>
          <w:szCs w:val="22"/>
          <w:b w:val="1"/>
          <w:bCs w:val="1"/>
          <w:color w:val="auto"/>
        </w:rPr>
        <w:t>OF 1934</w:t>
      </w:r>
    </w:p>
    <w:p>
      <w:pPr>
        <w:jc w:val="center"/>
        <w:ind w:right="-59"/>
        <w:spacing w:after="0" w:line="220" w:lineRule="auto"/>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jc w:val="center"/>
        <w:ind w:right="-59"/>
        <w:spacing w:after="0" w:line="229" w:lineRule="auto"/>
        <w:rPr>
          <w:sz w:val="20"/>
          <w:szCs w:val="20"/>
          <w:color w:val="auto"/>
        </w:rPr>
      </w:pPr>
      <w:r>
        <w:rPr>
          <w:rFonts w:ascii="Times New Roman" w:cs="Times New Roman" w:eastAsia="Times New Roman" w:hAnsi="Times New Roman"/>
          <w:sz w:val="18"/>
          <w:szCs w:val="18"/>
          <w:b w:val="1"/>
          <w:bCs w:val="1"/>
          <w:color w:val="auto"/>
        </w:rPr>
        <w:t>OR</w:t>
      </w: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238" w:lineRule="auto"/>
        <w:rPr>
          <w:sz w:val="20"/>
          <w:szCs w:val="20"/>
          <w:color w:val="auto"/>
        </w:rPr>
      </w:pPr>
      <w:r>
        <w:rPr>
          <w:rFonts w:ascii="Times New Roman" w:cs="Times New Roman" w:eastAsia="Times New Roman" w:hAnsi="Times New Roman"/>
          <w:sz w:val="22"/>
          <w:szCs w:val="22"/>
          <w:b w:val="1"/>
          <w:bCs w:val="1"/>
          <w:color w:val="auto"/>
        </w:rPr>
        <w:t>1934</w:t>
      </w:r>
    </w:p>
    <w:p>
      <w:pPr>
        <w:spacing w:after="0" w:line="1" w:lineRule="exact"/>
        <w:rPr>
          <w:sz w:val="24"/>
          <w:szCs w:val="24"/>
          <w:color w:val="auto"/>
        </w:rPr>
      </w:pPr>
    </w:p>
    <w:p>
      <w:pPr>
        <w:ind w:left="37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jc w:val="center"/>
        <w:spacing w:after="0"/>
        <w:rPr>
          <w:sz w:val="20"/>
          <w:szCs w:val="20"/>
          <w:color w:val="auto"/>
        </w:rPr>
      </w:pPr>
      <w:r>
        <w:rPr>
          <w:sz w:val="1"/>
          <w:szCs w:val="1"/>
          <w:color w:val="auto"/>
        </w:rPr>
        <w:drawing>
          <wp:inline distT="0" distB="0" distL="0" distR="0">
            <wp:extent cx="114935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552450"/>
                    </a:xfrm>
                    <a:prstGeom prst="rect">
                      <a:avLst/>
                    </a:prstGeom>
                    <a:noFill/>
                    <a:ln>
                      <a:noFill/>
                    </a:ln>
                  </pic:spPr>
                </pic:pic>
              </a:graphicData>
            </a:graphic>
          </wp:inline>
        </w:drawing>
      </w:r>
      <w:r>
        <w:rPr>
          <w:rFonts w:ascii="Times New Roman" w:cs="Times New Roman" w:eastAsia="Times New Roman" w:hAnsi="Times New Roman"/>
          <w:sz w:val="32"/>
          <w:szCs w:val="32"/>
          <w:b w:val="1"/>
          <w:bCs w:val="1"/>
          <w:color w:val="auto"/>
        </w:rPr>
        <w:t xml:space="preserve"> Dine Brands Global, Inc. </w:t>
      </w:r>
      <w:r>
        <w:rPr>
          <w:sz w:val="1"/>
          <w:szCs w:val="1"/>
          <w:color w:val="auto"/>
        </w:rPr>
        <w:drawing>
          <wp:inline distT="0" distB="0" distL="0" distR="0">
            <wp:extent cx="926465"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548640"/>
                    </a:xfrm>
                    <a:prstGeom prst="rect">
                      <a:avLst/>
                    </a:prstGeom>
                    <a:noFill/>
                    <a:ln>
                      <a:noFill/>
                    </a:ln>
                  </pic:spPr>
                </pic:pic>
              </a:graphicData>
            </a:graphic>
          </wp:inline>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7" w:lineRule="exact"/>
        <w:rPr>
          <w:sz w:val="24"/>
          <w:szCs w:val="24"/>
          <w:color w:val="auto"/>
        </w:rPr>
      </w:pPr>
    </w:p>
    <w:tbl>
      <w:tblPr>
        <w:tblLayout w:type="fixed"/>
        <w:tblInd w:w="320" w:type="dxa"/>
        <w:tblCellMar>
          <w:top w:w="0" w:type="dxa"/>
          <w:left w:w="0" w:type="dxa"/>
          <w:bottom w:w="0" w:type="dxa"/>
          <w:right w:w="0" w:type="dxa"/>
        </w:tblCellMar>
      </w:tblPr>
      <w:tr>
        <w:trPr>
          <w:trHeight w:val="205"/>
        </w:trPr>
        <w:tc>
          <w:tcPr>
            <w:tcW w:w="6580" w:type="dxa"/>
            <w:vAlign w:val="bottom"/>
          </w:tcPr>
          <w:p>
            <w:pPr>
              <w:jc w:val="center"/>
              <w:ind w:right="163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60" w:type="dxa"/>
            <w:vAlign w:val="bottom"/>
            <w:vMerge w:val="restart"/>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95-3038279</w:t>
            </w:r>
          </w:p>
        </w:tc>
        <w:tc>
          <w:tcPr>
            <w:tcW w:w="0" w:type="dxa"/>
            <w:vAlign w:val="bottom"/>
          </w:tcPr>
          <w:p>
            <w:pPr>
              <w:spacing w:after="0"/>
              <w:rPr>
                <w:sz w:val="1"/>
                <w:szCs w:val="1"/>
                <w:color w:val="auto"/>
              </w:rPr>
            </w:pPr>
          </w:p>
        </w:tc>
      </w:tr>
      <w:tr>
        <w:trPr>
          <w:trHeight w:val="203"/>
        </w:trPr>
        <w:tc>
          <w:tcPr>
            <w:tcW w:w="6580" w:type="dxa"/>
            <w:vAlign w:val="bottom"/>
          </w:tcPr>
          <w:p>
            <w:pPr>
              <w:jc w:val="center"/>
              <w:ind w:right="1637"/>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tcPr>
          <w:p>
            <w:pPr>
              <w:jc w:val="center"/>
              <w:ind w:right="1637"/>
              <w:spacing w:after="0"/>
              <w:rPr>
                <w:sz w:val="20"/>
                <w:szCs w:val="20"/>
                <w:color w:val="auto"/>
              </w:rPr>
            </w:pPr>
            <w:r>
              <w:rPr>
                <w:rFonts w:ascii="Times New Roman" w:cs="Times New Roman" w:eastAsia="Times New Roman" w:hAnsi="Times New Roman"/>
                <w:sz w:val="16"/>
                <w:szCs w:val="16"/>
                <w:color w:val="auto"/>
              </w:rPr>
              <w:t>organization)</w:t>
            </w:r>
          </w:p>
        </w:tc>
        <w:tc>
          <w:tcPr>
            <w:tcW w:w="296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70"/>
        </w:trPr>
        <w:tc>
          <w:tcPr>
            <w:tcW w:w="6580" w:type="dxa"/>
            <w:vAlign w:val="bottom"/>
          </w:tcPr>
          <w:p>
            <w:pPr>
              <w:jc w:val="center"/>
              <w:ind w:right="1637"/>
              <w:spacing w:after="0"/>
              <w:rPr>
                <w:sz w:val="20"/>
                <w:szCs w:val="20"/>
                <w:color w:val="auto"/>
              </w:rPr>
            </w:pPr>
            <w:r>
              <w:rPr>
                <w:rFonts w:ascii="Times New Roman" w:cs="Times New Roman" w:eastAsia="Times New Roman" w:hAnsi="Times New Roman"/>
                <w:sz w:val="16"/>
                <w:szCs w:val="16"/>
                <w:b w:val="1"/>
                <w:bCs w:val="1"/>
                <w:color w:val="auto"/>
              </w:rPr>
              <w:t xml:space="preserve">450 North Brand Boulevard, Glendale, California </w:t>
            </w:r>
            <w:r>
              <w:rPr>
                <w:rFonts w:ascii="Times New Roman" w:cs="Times New Roman" w:eastAsia="Times New Roman" w:hAnsi="Times New Roman"/>
                <w:sz w:val="16"/>
                <w:szCs w:val="16"/>
                <w:color w:val="auto"/>
              </w:rPr>
              <w:t>(Address of principal</w:t>
            </w:r>
          </w:p>
        </w:tc>
        <w:tc>
          <w:tcPr>
            <w:tcW w:w="2960" w:type="dxa"/>
            <w:vAlign w:val="bottom"/>
            <w:vMerge w:val="restart"/>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 xml:space="preserve">91203-1903 </w:t>
            </w: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10"/>
        </w:trPr>
        <w:tc>
          <w:tcPr>
            <w:tcW w:w="6580" w:type="dxa"/>
            <w:vAlign w:val="bottom"/>
          </w:tcPr>
          <w:p>
            <w:pPr>
              <w:jc w:val="center"/>
              <w:ind w:right="1637"/>
              <w:spacing w:after="0"/>
              <w:rPr>
                <w:sz w:val="20"/>
                <w:szCs w:val="20"/>
                <w:color w:val="auto"/>
              </w:rPr>
            </w:pPr>
            <w:r>
              <w:rPr>
                <w:rFonts w:ascii="Times New Roman" w:cs="Times New Roman" w:eastAsia="Times New Roman" w:hAnsi="Times New Roman"/>
                <w:sz w:val="16"/>
                <w:szCs w:val="16"/>
                <w:color w:val="auto"/>
                <w:w w:val="99"/>
              </w:rPr>
              <w:t>executive offices)</w:t>
            </w: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580" w:type="dxa"/>
            <w:vAlign w:val="bottom"/>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rPr>
              <w:t>(818) 240-6055</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line="203" w:lineRule="auto"/>
        <w:rPr>
          <w:sz w:val="20"/>
          <w:szCs w:val="20"/>
          <w:color w:val="auto"/>
        </w:rPr>
      </w:pPr>
      <w:r>
        <w:rPr>
          <w:rFonts w:ascii="Times New Roman" w:cs="Times New Roman" w:eastAsia="Times New Roman" w:hAnsi="Times New Roman"/>
          <w:sz w:val="18"/>
          <w:szCs w:val="18"/>
          <w:color w:val="auto"/>
        </w:rPr>
        <w:t>(Registrant’s telephone number, including area code)</w:t>
      </w: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24" w:lineRule="exact"/>
        <w:rPr>
          <w:sz w:val="24"/>
          <w:szCs w:val="24"/>
          <w:color w:val="auto"/>
        </w:rPr>
      </w:pPr>
    </w:p>
    <w:p>
      <w:pPr>
        <w:ind w:right="140" w:firstLine="324"/>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4" w:lineRule="exact"/>
        <w:rPr>
          <w:sz w:val="24"/>
          <w:szCs w:val="24"/>
          <w:color w:val="auto"/>
        </w:rPr>
      </w:pPr>
    </w:p>
    <w:p>
      <w:pPr>
        <w:ind w:right="160" w:firstLine="3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8" w:lineRule="exact"/>
        <w:rPr>
          <w:sz w:val="24"/>
          <w:szCs w:val="24"/>
          <w:color w:val="auto"/>
        </w:rPr>
      </w:pPr>
    </w:p>
    <w:p>
      <w:pPr>
        <w:ind w:right="120" w:firstLine="3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2" w:lineRule="exact"/>
        <w:rPr>
          <w:sz w:val="24"/>
          <w:szCs w:val="24"/>
          <w:color w:val="auto"/>
        </w:rPr>
      </w:pPr>
    </w:p>
    <w:p>
      <w:pPr>
        <w:ind w:left="1960"/>
        <w:spacing w:after="0"/>
        <w:tabs>
          <w:tab w:leader="none" w:pos="7980" w:val="left"/>
        </w:tabs>
        <w:rPr>
          <w:sz w:val="20"/>
          <w:szCs w:val="20"/>
          <w:color w:val="auto"/>
        </w:rPr>
      </w:pPr>
      <w:r>
        <w:rPr>
          <w:rFonts w:ascii="Times New Roman" w:cs="Times New Roman" w:eastAsia="Times New Roman" w:hAnsi="Times New Roman"/>
          <w:sz w:val="18"/>
          <w:szCs w:val="18"/>
          <w:color w:val="auto"/>
        </w:rPr>
        <w:t>Large accelerated filer x</w:t>
      </w:r>
      <w:r>
        <w:rPr>
          <w:sz w:val="20"/>
          <w:szCs w:val="20"/>
          <w:color w:val="auto"/>
        </w:rPr>
        <w:tab/>
      </w:r>
      <w:r>
        <w:rPr>
          <w:rFonts w:ascii="Times New Roman" w:cs="Times New Roman" w:eastAsia="Times New Roman" w:hAnsi="Times New Roman"/>
          <w:sz w:val="18"/>
          <w:szCs w:val="18"/>
          <w:color w:val="auto"/>
        </w:rPr>
        <w:t>Accelerated filer o</w:t>
      </w:r>
    </w:p>
    <w:p>
      <w:pPr>
        <w:spacing w:after="0" w:line="18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63" w:lineRule="exact"/>
        <w:rPr>
          <w:sz w:val="24"/>
          <w:szCs w:val="24"/>
          <w:color w:val="auto"/>
        </w:rPr>
      </w:pPr>
    </w:p>
    <w:p>
      <w:pPr>
        <w:ind w:left="7640"/>
        <w:spacing w:after="0"/>
        <w:rPr>
          <w:sz w:val="20"/>
          <w:szCs w:val="20"/>
          <w:color w:val="auto"/>
        </w:rPr>
      </w:pPr>
      <w:r>
        <w:rPr>
          <w:rFonts w:ascii="Times New Roman" w:cs="Times New Roman" w:eastAsia="Times New Roman" w:hAnsi="Times New Roman"/>
          <w:sz w:val="18"/>
          <w:szCs w:val="18"/>
          <w:color w:val="auto"/>
        </w:rPr>
        <w:t>Smaller reporting company o</w:t>
      </w:r>
    </w:p>
    <w:p>
      <w:pPr>
        <w:spacing w:after="0" w:line="63" w:lineRule="exact"/>
        <w:rPr>
          <w:sz w:val="24"/>
          <w:szCs w:val="24"/>
          <w:color w:val="auto"/>
        </w:rPr>
      </w:pPr>
    </w:p>
    <w:p>
      <w:pPr>
        <w:ind w:left="764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198" w:lineRule="exact"/>
        <w:rPr>
          <w:sz w:val="24"/>
          <w:szCs w:val="24"/>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1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80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2"/>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25, 2019, the Registrant had 17,535,046 shares of Common Stock outstanding.</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40" w:type="dxa"/>
            <w:vAlign w:val="bottom"/>
            <w:gridSpan w:val="3"/>
          </w:tcPr>
          <w:p>
            <w:pPr>
              <w:spacing w:after="0" w:line="202"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9780" w:type="dxa"/>
            <w:vAlign w:val="bottom"/>
            <w:gridSpan w:val="19"/>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c>
          <w:tcPr>
            <w:tcW w:w="5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50"/>
        </w:trPr>
        <w:tc>
          <w:tcPr>
            <w:tcW w:w="6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1—Financial Statements</w:t>
              </w:r>
            </w:hyperlink>
          </w:p>
        </w:tc>
        <w:tc>
          <w:tcPr>
            <w:tcW w:w="7540" w:type="dxa"/>
            <w:vAlign w:val="bottom"/>
            <w:gridSpan w:val="11"/>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March 31, 2019 (unaudited) and December 31, 2018</w:t>
              </w:r>
            </w:hyperlink>
          </w:p>
        </w:tc>
        <w:tc>
          <w:tcPr>
            <w:tcW w:w="352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Comprehensive Income (unaudited)—Three Months Ended March 31, 2019 and 2018</w:t>
              </w:r>
            </w:hyperlink>
          </w:p>
        </w:tc>
        <w:tc>
          <w:tcPr>
            <w:tcW w:w="14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Stockholders' Deficit (unaudited) - Three Months ended March 31, 2019 and 2018</w:t>
              </w:r>
            </w:hyperlink>
          </w:p>
        </w:tc>
        <w:tc>
          <w:tcPr>
            <w:tcW w:w="166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(unaudited)—Three Months Ended March 31, 2019 and 2018</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 (unaudited)</w:t>
              </w:r>
            </w:hyperlink>
          </w:p>
        </w:tc>
        <w:tc>
          <w:tcPr>
            <w:tcW w:w="228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Item 2—Management’s Discussion and Analysis of Financial Condition and Results of Operations</w:t>
              </w:r>
            </w:hyperlink>
          </w:p>
        </w:tc>
        <w:tc>
          <w:tcPr>
            <w:tcW w:w="26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3—Quantitative and Qualitative Disclosures about Market Risk</w:t>
              </w:r>
            </w:hyperlink>
          </w:p>
        </w:tc>
        <w:tc>
          <w:tcPr>
            <w:tcW w:w="26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40" w:type="dxa"/>
            <w:vAlign w:val="bottom"/>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4—Controls and Procedures</w:t>
              </w:r>
            </w:hyperlink>
          </w:p>
        </w:tc>
        <w:tc>
          <w:tcPr>
            <w:tcW w:w="484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Times New Roman" w:cs="Times New Roman" w:eastAsia="Times New Roman" w:hAnsi="Times New Roman"/>
                <w:sz w:val="18"/>
                <w:szCs w:val="18"/>
                <w:b w:val="1"/>
                <w:bCs w:val="1"/>
                <w:color w:val="0000EE"/>
                <w:w w:val="94"/>
              </w:rPr>
            </w:pPr>
            <w:hyperlink w:anchor="page35">
              <w:r>
                <w:rPr>
                  <w:rFonts w:ascii="Times New Roman" w:cs="Times New Roman" w:eastAsia="Times New Roman" w:hAnsi="Times New Roman"/>
                  <w:sz w:val="18"/>
                  <w:szCs w:val="18"/>
                  <w:b w:val="1"/>
                  <w:bCs w:val="1"/>
                  <w:color w:val="0000EE"/>
                  <w:w w:val="94"/>
                </w:rPr>
                <w:t>PART II.</w:t>
              </w:r>
            </w:hyperlink>
          </w:p>
        </w:tc>
        <w:tc>
          <w:tcPr>
            <w:tcW w:w="340" w:type="dxa"/>
            <w:vAlign w:val="bottom"/>
            <w:vMerge w:val="restart"/>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880" w:type="dxa"/>
            <w:vAlign w:val="bottom"/>
            <w:gridSpan w:val="5"/>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OTHER INFORMATION</w:t>
              </w:r>
            </w:hyperlink>
          </w:p>
        </w:tc>
        <w:tc>
          <w:tcPr>
            <w:tcW w:w="520" w:type="dxa"/>
            <w:vAlign w:val="bottom"/>
            <w:gridSpan w:val="4"/>
          </w:tcPr>
          <w:p>
            <w:pPr>
              <w:spacing w:after="0"/>
              <w:rPr>
                <w:sz w:val="21"/>
                <w:szCs w:val="21"/>
                <w:color w:val="auto"/>
              </w:rPr>
            </w:pPr>
          </w:p>
        </w:tc>
        <w:tc>
          <w:tcPr>
            <w:tcW w:w="7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Item 1—Legal Proceedings</w:t>
              </w:r>
            </w:hyperlink>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4"/>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Item 1A—Risk Factors</w:t>
              </w:r>
            </w:hyperlink>
          </w:p>
        </w:tc>
        <w:tc>
          <w:tcPr>
            <w:tcW w:w="280" w:type="dxa"/>
            <w:vAlign w:val="bottom"/>
            <w:gridSpan w:val="2"/>
          </w:tcPr>
          <w:p>
            <w:pPr>
              <w:spacing w:after="0"/>
              <w:rPr>
                <w:sz w:val="21"/>
                <w:szCs w:val="21"/>
                <w:color w:val="auto"/>
              </w:rPr>
            </w:pPr>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2—Unregistered Sales of Equity Securities and Use of Proceeds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3—Defaults Upon Senior Securities</w:t>
              </w:r>
            </w:hyperlink>
          </w:p>
        </w:tc>
        <w:tc>
          <w:tcPr>
            <w:tcW w:w="48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8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10"/>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4—Mine Safety Disclosures</w:t>
              </w:r>
            </w:hyperlink>
          </w:p>
        </w:tc>
        <w:tc>
          <w:tcPr>
            <w:tcW w:w="682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5—Other Information</w:t>
              </w:r>
            </w:hyperlink>
          </w:p>
        </w:tc>
        <w:tc>
          <w:tcPr>
            <w:tcW w:w="440" w:type="dxa"/>
            <w:vAlign w:val="bottom"/>
            <w:gridSpan w:val="3"/>
          </w:tcPr>
          <w:p>
            <w:pPr>
              <w:spacing w:after="0"/>
              <w:rPr>
                <w:sz w:val="21"/>
                <w:szCs w:val="21"/>
                <w:color w:val="auto"/>
              </w:rPr>
            </w:pPr>
          </w:p>
        </w:tc>
        <w:tc>
          <w:tcPr>
            <w:tcW w:w="7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8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Item 6—Exhibits</w:t>
              </w:r>
            </w:hyperlink>
          </w:p>
        </w:tc>
        <w:tc>
          <w:tcPr>
            <w:tcW w:w="720" w:type="dxa"/>
            <w:vAlign w:val="bottom"/>
            <w:gridSpan w:val="3"/>
          </w:tcPr>
          <w:p>
            <w:pPr>
              <w:spacing w:after="0"/>
              <w:rPr>
                <w:sz w:val="21"/>
                <w:szCs w:val="21"/>
                <w:color w:val="auto"/>
              </w:rPr>
            </w:pPr>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54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Signatures</w:t>
              </w:r>
            </w:hyperlink>
          </w:p>
        </w:tc>
        <w:tc>
          <w:tcPr>
            <w:tcW w:w="480" w:type="dxa"/>
            <w:vAlign w:val="bottom"/>
          </w:tcPr>
          <w:p>
            <w:pPr>
              <w:spacing w:after="0"/>
              <w:rPr>
                <w:sz w:val="21"/>
                <w:szCs w:val="21"/>
                <w:color w:val="auto"/>
              </w:rPr>
            </w:pPr>
          </w:p>
        </w:tc>
        <w:tc>
          <w:tcPr>
            <w:tcW w:w="854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the projections, forecasts, estimates and expectations discussed in this Quarterly Report on Form 10-Q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2019 began on December 31, 2018 and ended on March 31, 2019. The first fiscal quarter of 2018 began on January 1, 2018 and ended on April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00"/>
          </w:cols>
          <w:pgMar w:left="240" w:top="118" w:right="3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jc w:val="center"/>
        <w:ind w:right="-19"/>
        <w:spacing w:after="0" w:line="206"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2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137,164</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137,504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48,515</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gift card costs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38,195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382,190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585,889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345,314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240,264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103,102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77,069</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26,152</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2,076,117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1,774,680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8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43,468</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Gift card liability</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160,438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finance lease and financing obligations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27,479</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franchise revenue, short-term</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24,243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316,186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1,274,916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1,274,087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less current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less current maturities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87,762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less current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38,482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105,816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franchise revenue, long-term</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64,557</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90,063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2,266,938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1,976,953</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shares: 40,000,000 authorized; March 31, 2019 - 24,974,665</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17,650,765 outstanding; December 31, 2018 - 24,984,898 issued, 17,644,267 outstanding</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237,726</w:t>
            </w:r>
          </w:p>
        </w:tc>
        <w:tc>
          <w:tcPr>
            <w:tcW w:w="0" w:type="dxa"/>
            <w:vAlign w:val="bottom"/>
          </w:tcPr>
          <w:p>
            <w:pPr>
              <w:spacing w:after="0"/>
              <w:rPr>
                <w:sz w:val="1"/>
                <w:szCs w:val="1"/>
                <w:color w:val="auto"/>
              </w:rPr>
            </w:pPr>
          </w:p>
        </w:tc>
      </w:tr>
      <w:tr>
        <w:trPr>
          <w:trHeight w:val="243"/>
        </w:trPr>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10,414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shares: March 31, 2019 - 7,323,900; December 31, 2018 - 7,340,631</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(450,603)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(202,273)</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2,076,117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1,774,680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400"/>
          </w:cols>
          <w:pgMar w:left="240" w:top="118" w:right="259" w:bottom="7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77"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8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82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Franchise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96,296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91,477</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Advertising revenue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63,836</w:t>
            </w:r>
          </w:p>
        </w:tc>
        <w:tc>
          <w:tcPr>
            <w:tcW w:w="0" w:type="dxa"/>
            <w:vAlign w:val="bottom"/>
          </w:tcPr>
          <w:p>
            <w:pPr>
              <w:spacing w:after="0"/>
              <w:rPr>
                <w:sz w:val="1"/>
                <w:szCs w:val="1"/>
                <w:color w:val="auto"/>
              </w:rPr>
            </w:pPr>
          </w:p>
        </w:tc>
      </w:tr>
      <w:tr>
        <w:trPr>
          <w:trHeight w:val="217"/>
        </w:trPr>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168,926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155,313</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restaurant sales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Rental revenues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30,841</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Financing revenues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7"/>
        </w:trPr>
        <w:tc>
          <w:tcPr>
            <w:tcW w:w="8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237,182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188,163</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Franchise expenses: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Advertising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63,836</w:t>
            </w:r>
          </w:p>
        </w:tc>
        <w:tc>
          <w:tcPr>
            <w:tcW w:w="0" w:type="dxa"/>
            <w:vAlign w:val="bottom"/>
          </w:tcPr>
          <w:p>
            <w:pPr>
              <w:spacing w:after="0"/>
              <w:rPr>
                <w:sz w:val="1"/>
                <w:szCs w:val="1"/>
                <w:color w:val="auto"/>
              </w:rPr>
            </w:pPr>
          </w:p>
        </w:tc>
      </w:tr>
      <w:tr>
        <w:trPr>
          <w:trHeight w:val="237"/>
        </w:trPr>
        <w:tc>
          <w:tcPr>
            <w:tcW w:w="8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18,036</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franchise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81,872</w:t>
            </w:r>
          </w:p>
        </w:tc>
        <w:tc>
          <w:tcPr>
            <w:tcW w:w="0" w:type="dxa"/>
            <w:vAlign w:val="bottom"/>
          </w:tcPr>
          <w:p>
            <w:pPr>
              <w:spacing w:after="0"/>
              <w:rPr>
                <w:sz w:val="1"/>
                <w:szCs w:val="1"/>
                <w:color w:val="auto"/>
              </w:rPr>
            </w:pPr>
          </w:p>
        </w:tc>
      </w:tr>
      <w:tr>
        <w:trPr>
          <w:trHeight w:val="237"/>
        </w:trPr>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rental expenses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20,764</w:t>
            </w:r>
          </w:p>
        </w:tc>
        <w:tc>
          <w:tcPr>
            <w:tcW w:w="0" w:type="dxa"/>
            <w:vAlign w:val="bottom"/>
          </w:tcPr>
          <w:p>
            <w:pPr>
              <w:spacing w:after="0"/>
              <w:rPr>
                <w:sz w:val="1"/>
                <w:szCs w:val="1"/>
                <w:color w:val="auto"/>
              </w:rPr>
            </w:pPr>
          </w:p>
        </w:tc>
      </w:tr>
      <w:tr>
        <w:trPr>
          <w:trHeight w:val="217"/>
        </w:trPr>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rental expenses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22,624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22,641</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7"/>
        </w:trPr>
        <w:tc>
          <w:tcPr>
            <w:tcW w:w="8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134,611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104,663</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102,571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83,500</w:t>
            </w:r>
          </w:p>
        </w:tc>
        <w:tc>
          <w:tcPr>
            <w:tcW w:w="0" w:type="dxa"/>
            <w:vAlign w:val="bottom"/>
          </w:tcPr>
          <w:p>
            <w:pPr>
              <w:spacing w:after="0"/>
              <w:rPr>
                <w:sz w:val="1"/>
                <w:szCs w:val="1"/>
                <w:color w:val="auto"/>
              </w:rPr>
            </w:pPr>
          </w:p>
        </w:tc>
      </w:tr>
      <w:tr>
        <w:trPr>
          <w:trHeight w:val="237"/>
        </w:trPr>
        <w:tc>
          <w:tcPr>
            <w:tcW w:w="8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41,911</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15,199</w:t>
            </w:r>
          </w:p>
        </w:tc>
        <w:tc>
          <w:tcPr>
            <w:tcW w:w="0" w:type="dxa"/>
            <w:vAlign w:val="bottom"/>
          </w:tcPr>
          <w:p>
            <w:pPr>
              <w:spacing w:after="0"/>
              <w:rPr>
                <w:sz w:val="1"/>
                <w:szCs w:val="1"/>
                <w:color w:val="auto"/>
              </w:rPr>
            </w:pPr>
          </w:p>
        </w:tc>
      </w:tr>
      <w:tr>
        <w:trPr>
          <w:trHeight w:val="237"/>
        </w:trPr>
        <w:tc>
          <w:tcPr>
            <w:tcW w:w="8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2,502</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237"/>
        </w:trPr>
        <w:tc>
          <w:tcPr>
            <w:tcW w:w="8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Income before 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41,132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22,711</w:t>
            </w:r>
          </w:p>
        </w:tc>
        <w:tc>
          <w:tcPr>
            <w:tcW w:w="0" w:type="dxa"/>
            <w:vAlign w:val="bottom"/>
          </w:tcPr>
          <w:p>
            <w:pPr>
              <w:spacing w:after="0"/>
              <w:rPr>
                <w:sz w:val="1"/>
                <w:szCs w:val="1"/>
                <w:color w:val="auto"/>
              </w:rPr>
            </w:pPr>
          </w:p>
        </w:tc>
      </w:tr>
      <w:tr>
        <w:trPr>
          <w:trHeight w:val="237"/>
        </w:trPr>
        <w:tc>
          <w:tcPr>
            <w:tcW w:w="8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17,073</w:t>
            </w:r>
          </w:p>
        </w:tc>
        <w:tc>
          <w:tcPr>
            <w:tcW w:w="0" w:type="dxa"/>
            <w:vAlign w:val="bottom"/>
          </w:tcPr>
          <w:p>
            <w:pPr>
              <w:spacing w:after="0"/>
              <w:rPr>
                <w:sz w:val="1"/>
                <w:szCs w:val="1"/>
                <w:color w:val="auto"/>
              </w:rPr>
            </w:pPr>
          </w:p>
        </w:tc>
      </w:tr>
      <w:tr>
        <w:trPr>
          <w:trHeight w:val="237"/>
        </w:trPr>
        <w:tc>
          <w:tcPr>
            <w:tcW w:w="88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Adjustment to unrealized loss on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7"/>
        </w:trPr>
        <w:tc>
          <w:tcPr>
            <w:tcW w:w="8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17,120</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17,073</w:t>
            </w:r>
          </w:p>
        </w:tc>
        <w:tc>
          <w:tcPr>
            <w:tcW w:w="0" w:type="dxa"/>
            <w:vAlign w:val="bottom"/>
          </w:tcPr>
          <w:p>
            <w:pPr>
              <w:spacing w:after="0"/>
              <w:rPr>
                <w:sz w:val="1"/>
                <w:szCs w:val="1"/>
                <w:color w:val="auto"/>
              </w:rPr>
            </w:pPr>
          </w:p>
        </w:tc>
      </w:tr>
      <w:tr>
        <w:trPr>
          <w:trHeight w:val="237"/>
        </w:trPr>
        <w:tc>
          <w:tcPr>
            <w:tcW w:w="8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16,505</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8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0.92</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8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17,343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17,703</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17,690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17,845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420"/>
          </w:cols>
          <w:pgMar w:left="240" w:top="118" w:right="239" w:bottom="995"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995" w:gutter="0" w:footer="0" w:header="0"/>
          <w:type w:val="continuous"/>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Facility Exit Costs (Continued)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8"/>
        </w:trPr>
        <w:tc>
          <w:tcPr>
            <w:tcW w:w="35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6"/>
        </w:trPr>
        <w:tc>
          <w:tcPr>
            <w:tcW w:w="356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17,993</w:t>
            </w: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276,408</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7,029</w:t>
            </w: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(422,153)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(215,540)</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17,073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17,073</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3,368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3,368</w:t>
            </w:r>
          </w:p>
        </w:tc>
      </w:tr>
      <w:tr>
        <w:trPr>
          <w:trHeight w:val="221"/>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on common stock in excess of retained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(11,204)</w:t>
            </w:r>
          </w:p>
        </w:tc>
      </w:tr>
      <w:tr>
        <w:trPr>
          <w:trHeight w:val="232"/>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17,922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264,994</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7,091</w:t>
            </w: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(429,205)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(216,886)</w:t>
            </w: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5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2"/>
        </w:trPr>
        <w:tc>
          <w:tcPr>
            <w:tcW w:w="35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56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6"/>
        </w:trPr>
        <w:tc>
          <w:tcPr>
            <w:tcW w:w="356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17,644</w:t>
            </w: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237,726</w:t>
            </w:r>
          </w:p>
        </w:tc>
        <w:tc>
          <w:tcPr>
            <w:tcW w:w="1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7,341</w:t>
            </w: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(450,603)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(202,273)</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Adoption of ASC 842 (Note 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31,643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31,643</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(12,015)</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7,435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6,768</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r>
      <w:tr>
        <w:trPr>
          <w:trHeight w:val="27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4,107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4,107</w:t>
            </w:r>
          </w:p>
        </w:tc>
      </w:tr>
      <w:tr>
        <w:trPr>
          <w:trHeight w:val="265"/>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(12,203)</w:t>
            </w:r>
          </w:p>
        </w:tc>
      </w:tr>
      <w:tr>
        <w:trPr>
          <w:trHeight w:val="237"/>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17,651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239,585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(455,183)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(190,821)</w:t>
            </w: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9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17,073</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income tax receivables and payables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Gift card receivables and payables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37"/>
        </w:trPr>
        <w:tc>
          <w:tcPr>
            <w:tcW w:w="90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28,929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16,468</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Repayment of Variable Funding Notes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Principal payments on financing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7"/>
        </w:trPr>
        <w:tc>
          <w:tcPr>
            <w:tcW w:w="90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163,146</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143,490</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paid in 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16,621</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16"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2019 are not necessarily indicative of the results that may be expected for the twelve months ending December 31, 2019.</w:t>
      </w:r>
    </w:p>
    <w:p>
      <w:pPr>
        <w:spacing w:after="0" w:line="171"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consolidated balance sheet at December 31, 2018 has been derived from the audited consolidated financial statements at that date but does not include all of information and footnotes required by U.S. GAAP for complete financial statements.</w:t>
      </w:r>
    </w:p>
    <w:p>
      <w:pPr>
        <w:spacing w:after="0" w:line="14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89" w:lineRule="exact"/>
        <w:rPr>
          <w:sz w:val="20"/>
          <w:szCs w:val="20"/>
          <w:color w:val="auto"/>
        </w:rPr>
      </w:pPr>
    </w:p>
    <w:p>
      <w:pPr>
        <w:ind w:right="300" w:firstLine="324"/>
        <w:spacing w:after="0" w:line="250"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2019 began on December 31, 2018 and ended on March 31, 2019. The first fiscal quarter of 2018 began on January 1, 2018 and ended on April 1, 2018.</w:t>
      </w:r>
    </w:p>
    <w:p>
      <w:pPr>
        <w:spacing w:after="0" w:line="16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49"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41" w:lineRule="exact"/>
        <w:rPr>
          <w:sz w:val="20"/>
          <w:szCs w:val="20"/>
          <w:color w:val="auto"/>
        </w:rPr>
      </w:pPr>
    </w:p>
    <w:p>
      <w:pPr>
        <w:ind w:left="340" w:right="4340" w:hanging="332"/>
        <w:spacing w:after="0" w:line="472" w:lineRule="auto"/>
        <w:tabs>
          <w:tab w:leader="none" w:pos="19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Standards Adopted and Newly Issued Accounting Standards Not Yet Adopted </w:t>
      </w:r>
      <w:r>
        <w:rPr>
          <w:rFonts w:ascii="Times New Roman" w:cs="Times New Roman" w:eastAsia="Times New Roman" w:hAnsi="Times New Roman"/>
          <w:sz w:val="18"/>
          <w:szCs w:val="18"/>
          <w:b w:val="1"/>
          <w:bCs w:val="1"/>
          <w:i w:val="1"/>
          <w:iCs w:val="1"/>
          <w:color w:val="auto"/>
        </w:rPr>
        <w:t>Accounting Standards Adopted</w:t>
      </w:r>
    </w:p>
    <w:p>
      <w:pPr>
        <w:ind w:right="40" w:firstLine="324"/>
        <w:spacing w:after="0"/>
        <w:rPr>
          <w:sz w:val="20"/>
          <w:szCs w:val="20"/>
          <w:color w:val="auto"/>
        </w:rPr>
      </w:pPr>
      <w:r>
        <w:rPr>
          <w:rFonts w:ascii="Times New Roman" w:cs="Times New Roman" w:eastAsia="Times New Roman" w:hAnsi="Times New Roman"/>
          <w:sz w:val="18"/>
          <w:szCs w:val="18"/>
          <w:color w:val="auto"/>
        </w:rPr>
        <w:t>In February 2016, the Financial Accounting Standards Board (“FASB”) issued guidance with respect to the accounting for leases, as codified in Accounting Standards Topic 842 (“ASC 842”). The guidance is intended to improve financial reporting of leasing transactions by requiring entities that lease assets to recognize assets and liabilities for the rights and obligations created by leases, as well as requiring additional disclosures related to an entity's leasing activities. The Company adopted this change in accounting principle using the modified retrospective method as of the first day of the first fiscal quarter of 2019. Accordingly, financial information for periods prior to the date of initial application has not been adjusted. The Company has elected the package of practical expedients for adoption that permitted the Company not to reassess its prior conclusions regarding lease identification, lease classification and initial direct costs. The Company did not elect to use an allowable expedient that permitted the use of hindsight in performing evaluations of its leases.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adoption of ASC 842, the Company recognized operating lease obligations of $453.0 million, which represents the present value of the remaining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lease payments, discounted using the Company's incremental borrowing rate. The Company recognized operating lease right-of-use assets of</w:t>
      </w:r>
    </w:p>
    <w:p>
      <w:pPr>
        <w:spacing w:after="0" w:line="234" w:lineRule="auto"/>
        <w:rPr>
          <w:sz w:val="20"/>
          <w:szCs w:val="20"/>
          <w:color w:val="auto"/>
        </w:rPr>
      </w:pPr>
      <w:r>
        <w:rPr>
          <w:rFonts w:ascii="Times New Roman" w:cs="Times New Roman" w:eastAsia="Times New Roman" w:hAnsi="Times New Roman"/>
          <w:sz w:val="18"/>
          <w:szCs w:val="18"/>
          <w:color w:val="auto"/>
        </w:rPr>
        <w:t>$395.6 million. The Company recognized an adjustment to retained earnings upon adoption of $5.0 million, net of tax of $1.7 million, primarily related to an</w:t>
      </w:r>
    </w:p>
    <w:p>
      <w:pPr>
        <w:spacing w:after="0" w:line="235" w:lineRule="auto"/>
        <w:rPr>
          <w:sz w:val="20"/>
          <w:szCs w:val="20"/>
          <w:color w:val="auto"/>
        </w:rPr>
      </w:pPr>
      <w:r>
        <w:rPr>
          <w:rFonts w:ascii="Times New Roman" w:cs="Times New Roman" w:eastAsia="Times New Roman" w:hAnsi="Times New Roman"/>
          <w:sz w:val="18"/>
          <w:szCs w:val="18"/>
          <w:color w:val="auto"/>
        </w:rPr>
        <w:t>impairment resulting from an unfavorable differential between lease payments to be made and sublease rentals to be received on certain leases. The remaining</w:t>
      </w:r>
    </w:p>
    <w:p>
      <w:pPr>
        <w:spacing w:after="0" w:line="235" w:lineRule="auto"/>
        <w:rPr>
          <w:sz w:val="20"/>
          <w:szCs w:val="20"/>
          <w:color w:val="auto"/>
        </w:rPr>
      </w:pPr>
      <w:r>
        <w:rPr>
          <w:rFonts w:ascii="Times New Roman" w:cs="Times New Roman" w:eastAsia="Times New Roman" w:hAnsi="Times New Roman"/>
          <w:sz w:val="18"/>
          <w:szCs w:val="18"/>
          <w:color w:val="auto"/>
        </w:rPr>
        <w:t>difference of $50.7 million between the recognized operating lease obligation and right-of-use assets relates to the derecognition of certain liabilities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had been recorded in accordance with U.S. GAAP that had been applied prior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Accounting Standards Adopted and Newly Issued Accounting Standards Not Yet Adopted (Continued)</w:t>
      </w: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the adoption of ASC 842, primarily $43.3 million of accrued rent payments. Lease-related reserves for lease incentives, closed restaurants and unfavorable leaseholds were also derecognized.</w:t>
      </w:r>
    </w:p>
    <w:p>
      <w:pPr>
        <w:spacing w:after="0" w:line="149" w:lineRule="exact"/>
        <w:rPr>
          <w:sz w:val="20"/>
          <w:szCs w:val="20"/>
          <w:color w:val="auto"/>
        </w:rPr>
      </w:pPr>
    </w:p>
    <w:p>
      <w:pPr>
        <w:jc w:val="both"/>
        <w:ind w:right="100" w:firstLine="324"/>
        <w:spacing w:after="0" w:line="250" w:lineRule="auto"/>
        <w:rPr>
          <w:sz w:val="20"/>
          <w:szCs w:val="20"/>
          <w:color w:val="auto"/>
        </w:rPr>
      </w:pPr>
      <w:r>
        <w:rPr>
          <w:rFonts w:ascii="Times New Roman" w:cs="Times New Roman" w:eastAsia="Times New Roman" w:hAnsi="Times New Roman"/>
          <w:sz w:val="18"/>
          <w:szCs w:val="18"/>
          <w:color w:val="auto"/>
        </w:rPr>
        <w:t>The accounting for the Company's existing finance (capital) leases upon adoption of ASC 842 remained substantially unchanged. Adoption of ASC 842 had no significant impact on the Company's cash flows from operations or its results of operations and did not impact any covenant related to the Company's long-term debt. The Company implemented internal controls necessary to ensure compliance with the accounting and disclosure requirements of ASC 842.</w:t>
      </w:r>
    </w:p>
    <w:p>
      <w:pPr>
        <w:spacing w:after="0" w:line="16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2019 that the Company reviewed and concluded was either not applicable to its operations or had no material effect on its consolidated financial statements in the current or future fiscal years.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202"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In June 2016, the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be required to adopt the new guidance on a modified retrospective basis beginning with its first fiscal quarter of 2020, with early adoption permitted in its first fiscal quarter of 2019. The Company is currently evaluating the impact of the new guidance on its consolidated financial statements and related disclosures.</w:t>
      </w:r>
    </w:p>
    <w:p>
      <w:pPr>
        <w:spacing w:after="0" w:line="5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August 2018, the FASB issued guidance designed to improve the effectiveness of disclosures by removing, modifying and adding disclosures related to fair value measurements.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August 2018, the FASB issued new guidance on the accounting for implementation costs incurred in a cloud computing arrangement that is a service contract. The guidance aligns the requirements for capitalizing implementation costs incurred in a hosting arrangement that is a service contract with existing guidance for capitalizing implementation cost incurred to develop or obtain internal-use software. The guidance also provides presentation and disclosure requirements for such capitalized costs.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5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because of future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Disclosures</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Franchise revenue (which comprises most of the Company's revenues) and revenue from company-operated restaurants are recognized in accordance with ASC 606. Under ASC 606, revenue is recognized upon transfer of control of promised services or goods to customers in an amount that reflects the consideration the Company expects to receive for those services or goods.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Franchising Activities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4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225" w:lineRule="exact"/>
        <w:rPr>
          <w:sz w:val="20"/>
          <w:szCs w:val="20"/>
          <w:color w:val="auto"/>
        </w:rPr>
      </w:pPr>
    </w:p>
    <w:p>
      <w:pPr>
        <w:ind w:left="580" w:right="100" w:hanging="329"/>
        <w:spacing w:after="0" w:line="257"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1" w:lineRule="exact"/>
        <w:rPr>
          <w:rFonts w:ascii="Times New Roman" w:cs="Times New Roman" w:eastAsia="Times New Roman" w:hAnsi="Times New Roman"/>
          <w:sz w:val="18"/>
          <w:szCs w:val="18"/>
          <w:color w:val="auto"/>
        </w:rPr>
      </w:pPr>
    </w:p>
    <w:p>
      <w:pPr>
        <w:ind w:left="580" w:right="160" w:hanging="329"/>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on the balance sheet.</w:t>
      </w:r>
    </w:p>
    <w:p>
      <w:pPr>
        <w:spacing w:after="0" w:line="1" w:lineRule="exact"/>
        <w:rPr>
          <w:rFonts w:ascii="Times New Roman" w:cs="Times New Roman" w:eastAsia="Times New Roman" w:hAnsi="Times New Roman"/>
          <w:sz w:val="18"/>
          <w:szCs w:val="18"/>
          <w:color w:val="auto"/>
        </w:rPr>
      </w:pPr>
    </w:p>
    <w:p>
      <w:pPr>
        <w:ind w:left="580" w:right="600" w:hanging="329"/>
        <w:spacing w:after="0" w:line="261"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Restaurant Revenue</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16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its franchising activities. The Company believes its franchising arrangements do not contain a significant financing component.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months ended March 31,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3"/>
          </w:tcPr>
          <w:p>
            <w:pPr>
              <w:jc w:val="center"/>
              <w:ind w:left="49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Pr>
          <w:p>
            <w:pPr>
              <w:spacing w:after="0"/>
              <w:rPr>
                <w:sz w:val="23"/>
                <w:szCs w:val="23"/>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0"/>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0"/>
                <w:szCs w:val="20"/>
                <w:color w:val="auto"/>
              </w:rPr>
            </w:pPr>
          </w:p>
        </w:tc>
      </w:tr>
      <w:tr>
        <w:trPr>
          <w:trHeight w:val="253"/>
        </w:trPr>
        <w:tc>
          <w:tcPr>
            <w:tcW w:w="8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Franchise Revenue:</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78,730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75,097</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Advertising fees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72,630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63,836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13,097</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franchise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168,926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155,313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Receivables from franchisees as of March 31, 2019 and December 31, 2018 were $67.1 million (net of allowance of $2.1 million) and $62.6 million (net of allowance of $4.6 million), respectively, and were included in receivables, net in the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three months ended March 31, 2019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 Franchise Revenue</w:t>
            </w:r>
          </w:p>
        </w:tc>
      </w:tr>
      <w:tr>
        <w:trPr>
          <w:trHeight w:val="212"/>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(short- and long-term)</w:t>
            </w: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5"/>
        </w:trPr>
        <w:tc>
          <w:tcPr>
            <w:tcW w:w="9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74,695</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Recognized as revenue during the three months ended March 31, 2019</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Fees deferred during the three months ended March 31, 2019</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1,101</w:t>
            </w:r>
          </w:p>
        </w:tc>
      </w:tr>
      <w:tr>
        <w:trPr>
          <w:trHeight w:val="25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72,848</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of deferred revenue as of March 31, 2019 is expected to be recognized as follows:</w:t>
      </w:r>
    </w:p>
    <w:p>
      <w:pPr>
        <w:spacing w:after="0" w:line="232"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r>
      <w:tr>
        <w:trPr>
          <w:trHeight w:val="25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72,848</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 Disclosures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leasing or purchase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184" w:lineRule="exact"/>
        <w:rPr>
          <w:sz w:val="20"/>
          <w:szCs w:val="20"/>
          <w:color w:val="auto"/>
        </w:rPr>
      </w:pPr>
    </w:p>
    <w:p>
      <w:pPr>
        <w:ind w:right="80" w:firstLine="243"/>
        <w:spacing w:after="0" w:line="258"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on which approximately 620 IHOP franchisee-operated restaurants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a restaurant support center in Kansas City, Missouri. The Company does not have a significant amount of non-real estate leases.</w:t>
      </w:r>
    </w:p>
    <w:p>
      <w:pPr>
        <w:spacing w:after="0" w:line="184" w:lineRule="exact"/>
        <w:rPr>
          <w:sz w:val="20"/>
          <w:szCs w:val="20"/>
          <w:color w:val="auto"/>
        </w:rPr>
      </w:pPr>
    </w:p>
    <w:p>
      <w:pPr>
        <w:ind w:right="80" w:firstLine="243"/>
        <w:spacing w:after="0" w:line="261" w:lineRule="auto"/>
        <w:rPr>
          <w:sz w:val="20"/>
          <w:szCs w:val="20"/>
          <w:color w:val="auto"/>
        </w:rPr>
      </w:pPr>
      <w:r>
        <w:rPr>
          <w:rFonts w:ascii="Times New Roman" w:cs="Times New Roman" w:eastAsia="Times New Roman" w:hAnsi="Times New Roman"/>
          <w:sz w:val="18"/>
          <w:szCs w:val="18"/>
          <w:color w:val="auto"/>
        </w:rPr>
        <w:t>The Company's existing leases related to IHOP restaurants generally provided for an initial term of 20 to 25 years with most having one or more five-year renewal options. Option periods were not included in determining liabilities and right-of-use assets related to operating leases. Approximately 260 of the Company's leases contain provisions requiring additional rent payments to the Company (as lessor) based on a percentage of restaurant sales. Approximately 220 of the Company's leases contain provisions requiring additional rent payments by the Company (as lessee) based on a percentage of restaurant sales.</w:t>
      </w:r>
    </w:p>
    <w:p>
      <w:pPr>
        <w:spacing w:after="0" w:line="180"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The individual lease agreements do not provide information to determine the implicit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rate for each grouping primarily by reference to yield rates on debt issuances by companies of a similar credit rating as the Company, U.S. Treasury rates as of the adoption date and adjustments for differences in years to maturity.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Lease Disclosures (Continued)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52"/>
        </w:trPr>
        <w:tc>
          <w:tcPr>
            <w:tcW w:w="9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Company's lease cost for the three months ended March 31, 2019 was as follows: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5"/>
        </w:trPr>
        <w:tc>
          <w:tcPr>
            <w:tcW w:w="78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3"/>
        </w:trPr>
        <w:tc>
          <w:tcPr>
            <w:tcW w:w="780" w:type="dxa"/>
            <w:vAlign w:val="bottom"/>
          </w:tcPr>
          <w:p>
            <w:pPr>
              <w:spacing w:after="0"/>
              <w:rPr>
                <w:sz w:val="22"/>
                <w:szCs w:val="22"/>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80" w:type="dxa"/>
            <w:vAlign w:val="bottom"/>
          </w:tcPr>
          <w:p>
            <w:pPr>
              <w:spacing w:after="0"/>
              <w:rPr>
                <w:sz w:val="21"/>
                <w:szCs w:val="21"/>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7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80" w:type="dxa"/>
            <w:vAlign w:val="bottom"/>
          </w:tcPr>
          <w:p>
            <w:pPr>
              <w:spacing w:after="0"/>
              <w:rPr>
                <w:sz w:val="21"/>
                <w:szCs w:val="21"/>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7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80" w:type="dxa"/>
            <w:vAlign w:val="bottom"/>
          </w:tcPr>
          <w:p>
            <w:pPr>
              <w:spacing w:after="0"/>
              <w:rPr>
                <w:sz w:val="23"/>
                <w:szCs w:val="23"/>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57"/>
        </w:trPr>
        <w:tc>
          <w:tcPr>
            <w:tcW w:w="780" w:type="dxa"/>
            <w:vAlign w:val="bottom"/>
          </w:tcPr>
          <w:p>
            <w:pPr>
              <w:spacing w:after="0"/>
              <w:rPr>
                <w:sz w:val="22"/>
                <w:szCs w:val="22"/>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lessee as of March 31, 2019 were as follows:</w:t>
      </w:r>
    </w:p>
    <w:p>
      <w:pPr>
        <w:spacing w:after="0" w:line="15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60" w:type="dxa"/>
            <w:vAlign w:val="bottom"/>
          </w:tcPr>
          <w:p>
            <w:pPr>
              <w:spacing w:after="0"/>
              <w:rPr>
                <w:sz w:val="13"/>
                <w:szCs w:val="13"/>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5"/>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55"/>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 nine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76.0</w:t>
            </w: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212.7</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574.3</w:t>
            </w: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453.7</w:t>
            </w: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386.4</w:t>
            </w: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March 31, 2019 was 8.6 years for finance leases and 8.1 years for operating leases. The weighted average discount rate as of March 31, 2019 was 10.4% for finance leases and 5.8% for operating leases.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2019, the Company made the following payments for leases:</w:t>
      </w: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2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2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bl>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months ended March 31, 2019 was as follows:</w:t>
      </w:r>
    </w:p>
    <w:p>
      <w:pPr>
        <w:spacing w:after="0" w:line="232"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24765</wp:posOffset>
            </wp:positionV>
            <wp:extent cx="62687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8720" cy="171450"/>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p>
      <w:pPr>
        <w:spacing w:after="0" w:line="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Minimum lease payments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Variable 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34290</wp:posOffset>
            </wp:positionV>
            <wp:extent cx="62687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8720" cy="188595"/>
                    </a:xfrm>
                    <a:prstGeom prst="rect">
                      <a:avLst/>
                    </a:prstGeom>
                    <a:noFill/>
                  </pic:spPr>
                </pic:pic>
              </a:graphicData>
            </a:graphic>
          </wp:anchor>
        </w:drawing>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Total operating lease income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954" w:hanging="954"/>
        <w:spacing w:after="0"/>
        <w:tabs>
          <w:tab w:leader="none" w:pos="9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w:t>
      </w:r>
    </w:p>
    <w:p>
      <w:pPr>
        <w:spacing w:after="0" w:line="63" w:lineRule="exact"/>
        <w:rPr>
          <w:rFonts w:ascii="Times New Roman" w:cs="Times New Roman" w:eastAsia="Times New Roman" w:hAnsi="Times New Roman"/>
          <w:sz w:val="18"/>
          <w:szCs w:val="18"/>
          <w:color w:val="auto"/>
        </w:rPr>
      </w:pPr>
    </w:p>
    <w:p>
      <w:pPr>
        <w:ind w:left="10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w:t>
      </w:r>
    </w:p>
    <w:p>
      <w:pPr>
        <w:spacing w:after="0" w:line="88" w:lineRule="exact"/>
        <w:rPr>
          <w:sz w:val="20"/>
          <w:szCs w:val="20"/>
          <w:color w:val="auto"/>
        </w:rPr>
      </w:pPr>
    </w:p>
    <w:p>
      <w:pPr>
        <w:ind w:left="954" w:hanging="954"/>
        <w:spacing w:after="0"/>
        <w:tabs>
          <w:tab w:leader="none" w:pos="9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566" w:space="720"/>
            <w:col w:w="1914"/>
          </w:cols>
          <w:pgMar w:left="240" w:top="333" w:right="459" w:bottom="1440" w:gutter="0" w:footer="0" w:header="0"/>
          <w:type w:val="continuous"/>
        </w:sectPr>
      </w:pPr>
    </w:p>
    <w:p>
      <w:pPr>
        <w:spacing w:after="0" w:line="3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240" w:top="333" w:right="459" w:bottom="1440" w:gutter="0" w:footer="0" w:header="0"/>
          <w:type w:val="continuous"/>
        </w:sectPr>
      </w:pPr>
    </w:p>
    <w:bookmarkStart w:id="12" w:name="page13"/>
    <w:bookmarkEnd w:id="1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Lease Disclosures (Continued)</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noncancelable operating leases as of March 31, 2019 were as follows:</w:t>
      </w:r>
    </w:p>
    <w:p>
      <w:pPr>
        <w:spacing w:after="0" w:line="165"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3"/>
        </w:trPr>
        <w:tc>
          <w:tcPr>
            <w:tcW w:w="520" w:type="dxa"/>
            <w:vAlign w:val="bottom"/>
          </w:tcPr>
          <w:p>
            <w:pPr>
              <w:spacing w:after="0"/>
              <w:rPr>
                <w:sz w:val="22"/>
                <w:szCs w:val="22"/>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(remaining nine months)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43"/>
        </w:trPr>
        <w:tc>
          <w:tcPr>
            <w:tcW w:w="9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43"/>
        </w:trPr>
        <w:tc>
          <w:tcPr>
            <w:tcW w:w="9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288.3</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Company's income from direct financing leases for the three months ended March 31, 2019 was as follows:</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520" w:type="dxa"/>
            <w:vAlign w:val="bottom"/>
          </w:tcPr>
          <w:p>
            <w:pPr>
              <w:spacing w:after="0"/>
              <w:rPr>
                <w:sz w:val="22"/>
                <w:szCs w:val="22"/>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2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noncancelable direct financing leases as of March 31, 2019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3"/>
        </w:trPr>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(remaining nine months)</w:t>
            </w:r>
          </w:p>
        </w:tc>
        <w:tc>
          <w:tcPr>
            <w:tcW w:w="2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investment in direct financing leases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42.9</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 in direct financing leases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Long-Term Debt</w:t>
            </w: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8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March 31, 2019 and December 31, 2018, long-term debt consisted of the following:</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2014-1 4.277% Fixed Rate Senior Secured Notes, Class A-2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1,283.8</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Series 2018-1 Variable Funding Senior Notes Class A-1, variable interest rate of 4.93% at 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2018</w:t>
            </w:r>
          </w:p>
        </w:tc>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A-2 Note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1,274.9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the Series 2014-1 4.277% Fixed Rate Senior Secured Notes, Class A-2 and the Series 2018-1 Variable Funding Notes Class A-1, refer to Note 8 of the Notes to Consolidated Financial Statements included in the Company’s Annual Report on Form 10-K for the year ended December 31, 2018.</w:t>
      </w:r>
    </w:p>
    <w:p>
      <w:pPr>
        <w:sectPr>
          <w:pgSz w:w="11900" w:h="16838" w:orient="portrait"/>
          <w:cols w:equalWidth="0" w:num="1">
            <w:col w:w="11280"/>
          </w:cols>
          <w:pgMar w:left="240" w:top="333" w:right="379" w:bottom="1440" w:gutter="0" w:footer="0" w:header="0"/>
        </w:sect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80"/>
          </w:cols>
          <w:pgMar w:left="240" w:top="333" w:right="379" w:bottom="1440" w:gutter="0" w:footer="0" w:header="0"/>
          <w:type w:val="continuous"/>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DineEquity,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Long-Term Debt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repaid $25.0 million of Variable Funding Notes, representing the amount outstanding at December 31, 2018. The Company did not draw on the Variable Funding Notes during the three months ended March 31, 2019. The maximum amount of Variable Funding Notes outstanding during the three months ended March 31, 2019 was $25.0 million and the weighted average interest rate on the Variable Funding Notes for the period outstanding was 4.88%.</w:t>
      </w:r>
    </w:p>
    <w:p>
      <w:pPr>
        <w:spacing w:after="0" w:line="12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At March 31, 2019, $2.2 million was pledged against the Variable Funding Notes for outstanding letters of credit, leaving $222.8 million of 2018 Variable Funding Notes available for borrowing. The letters of credit are used primarily to satisfy insurance-related collateral requirements.</w:t>
      </w:r>
    </w:p>
    <w:p>
      <w:pPr>
        <w:spacing w:after="0" w:line="239" w:lineRule="exact"/>
        <w:rPr>
          <w:sz w:val="20"/>
          <w:szCs w:val="20"/>
          <w:color w:val="auto"/>
        </w:rPr>
      </w:pPr>
    </w:p>
    <w:p>
      <w:pPr>
        <w:ind w:left="340" w:right="9600" w:hanging="332"/>
        <w:spacing w:after="0" w:line="448" w:lineRule="auto"/>
        <w:tabs>
          <w:tab w:leader="none" w:pos="19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Deficit </w:t>
      </w:r>
      <w:r>
        <w:rPr>
          <w:rFonts w:ascii="Times New Roman" w:cs="Times New Roman" w:eastAsia="Times New Roman" w:hAnsi="Times New Roman"/>
          <w:sz w:val="18"/>
          <w:szCs w:val="18"/>
          <w:b w:val="1"/>
          <w:bCs w:val="1"/>
          <w:i w:val="1"/>
          <w:iCs w:val="1"/>
          <w:color w:val="auto"/>
        </w:rPr>
        <w:t>Dividends</w:t>
      </w:r>
    </w:p>
    <w:p>
      <w:pPr>
        <w:spacing w:after="0" w:line="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paid dividends on common stock of $11.2 million, representing a cash dividend of $0.63 per share declared in the fourth quarter of 2018. On February 20, 2019, the Company's Board of Directors declared a first quarter 2019 cash dividend of $0.69 per share of common stock. This dividend was paid on April 5, 2019 to stockholders of record at the close of business on March 20, 2019. The Company reported dividends payable of $12.5 million at March 31, 2019.</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2019 and 2018 were as follows:</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3"/>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20"/>
                <w:szCs w:val="20"/>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0.69</w:t>
            </w:r>
          </w:p>
        </w:tc>
        <w:tc>
          <w:tcPr>
            <w:tcW w:w="4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0.63</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0.63</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0.97</w:t>
            </w:r>
          </w:p>
        </w:tc>
      </w:tr>
    </w:tbl>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5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stock repurchase program authorizing the Company to repurchase up to $150 million of its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w:t>
      </w:r>
    </w:p>
    <w:p>
      <w:pPr>
        <w:spacing w:after="0" w:line="18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2019 Repurchase Program and the 2015 Repurchase Program, during the three months ended March 31, 2019 and cumulatively, is as follows:</w:t>
      </w:r>
    </w:p>
    <w:p>
      <w:pPr>
        <w:spacing w:after="0" w:line="124"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4"/>
        </w:trPr>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3"/>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2019 Repurchase Program:</w:t>
            </w: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27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Repurchased during the three months ended March 31, 2019</w:t>
            </w:r>
          </w:p>
        </w:tc>
        <w:tc>
          <w:tcPr>
            <w:tcW w:w="36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20" w:type="dxa"/>
            <w:vAlign w:val="bottom"/>
          </w:tcPr>
          <w:p>
            <w:pPr>
              <w:spacing w:after="0"/>
              <w:rPr>
                <w:sz w:val="21"/>
                <w:szCs w:val="21"/>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36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40,817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2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196.4</w:t>
            </w:r>
          </w:p>
        </w:tc>
      </w:tr>
      <w:tr>
        <w:trPr>
          <w:trHeight w:val="203"/>
        </w:trPr>
        <w:tc>
          <w:tcPr>
            <w:tcW w:w="47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2015 Repurchase Program:</w:t>
            </w:r>
          </w:p>
        </w:tc>
        <w:tc>
          <w:tcPr>
            <w:tcW w:w="2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27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Repurchased during the three months ended March 31, 2019</w:t>
            </w:r>
          </w:p>
        </w:tc>
        <w:tc>
          <w:tcPr>
            <w:tcW w:w="36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20" w:type="dxa"/>
            <w:vAlign w:val="bottom"/>
          </w:tcPr>
          <w:p>
            <w:pPr>
              <w:spacing w:after="0"/>
              <w:rPr>
                <w:sz w:val="21"/>
                <w:szCs w:val="21"/>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36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1,589,995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126.2</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2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n/a</w:t>
            </w:r>
          </w:p>
        </w:tc>
      </w:tr>
      <w:tr>
        <w:trPr>
          <w:trHeight w:val="459"/>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00"/>
          </w:cols>
          <w:pgMar w:left="240" w:top="126" w:right="2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Stockholders' Deficit (Continued)</w:t>
      </w: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2019, the Company re-issued 168,047 shares of treasury stock at a total FIFO cost of $7.4 million.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 xml:space="preserve">The Company's effective tax rate was 23.1% for the three months ended March 31, 2019 as compared to 24.8% for the three months ended March 31, 2018.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he effective tax rate of 23.1% for the three months ended March 31, 2019 was lower than the rate of the prior period primarily due to excess tax benefits on stock-based compensation.</w:t>
      </w:r>
    </w:p>
    <w:p>
      <w:pPr>
        <w:spacing w:after="0" w:line="16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total gross unrecognized tax benefit as of March 31, 2019 and December 31, 2018 was $5.2 million and $5.2 million, respectively, excluding interest, penalties and related tax benefits. The Company estimates the unrecognized tax benefit may decrease over the upcoming 12 months by an amount up to $0.9 million related to settlements with taxing authorities and the lapse of statutes of limitations. For the remaining liability, due to the uncertainties related to these tax matters, the Company is unable to make a reasonably reliable estimate as to when cash settlement with a taxing authority will occur.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2019, accrued interest was $1.3 million and accrued penalties were less than $0.1 million, excluding any related income tax benefits. As of December 31, 2018, accrued interest was $1.1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files income tax returns in various state and foreign jurisdictions. With few exceptions, the Company is no longer subject to federal, state or non-United States tax examinations by tax authorities for years before 2011. The Internal Revenue Service commenced examination of the Company’s U.S. federal income tax return for the tax years 2011 to 2013 in fiscal year 2016. The examination is anticipated to conclude during fiscal year 2019. The Company believes that adequate reserves have been provided relating to all matters contained in the tax periods open to examination.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20" w:type="dxa"/>
            <w:vAlign w:val="bottom"/>
            <w:gridSpan w:val="5"/>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9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 income tax benefit</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total unrecognized compensation expense of $24.1 million related to restricted stock and restricted stock units and $5.8 million related to stock options are expected to be recognized over a weighted average period of 1.7 years for restricted stock and restricted stock units and 1.8 years for stock options.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Stock-Based Compensation (Continued)</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granted 132,832 stock options during the three months ended March 31, 2019 for which the fair value was estimated using a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The following summarizes the assumptions used in the Black-Scholes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4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7"/>
        </w:trPr>
        <w:tc>
          <w:tcPr>
            <w:tcW w:w="71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balances at March 31, 2019, and activity for the three months ended March 31, 2019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8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Value (in</w:t>
            </w:r>
          </w:p>
        </w:tc>
      </w:tr>
      <w:tr>
        <w:trPr>
          <w:trHeight w:val="212"/>
        </w:trPr>
        <w:tc>
          <w:tcPr>
            <w:tcW w:w="5700" w:type="dxa"/>
            <w:vAlign w:val="bottom"/>
          </w:tcPr>
          <w:p>
            <w:pPr>
              <w:spacing w:after="0"/>
              <w:rPr>
                <w:sz w:val="18"/>
                <w:szCs w:val="18"/>
                <w:color w:val="auto"/>
              </w:rPr>
            </w:pPr>
          </w:p>
        </w:tc>
        <w:tc>
          <w:tcPr>
            <w:tcW w:w="12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80" w:type="dxa"/>
            <w:vAlign w:val="bottom"/>
          </w:tcPr>
          <w:p>
            <w:pPr>
              <w:spacing w:after="0"/>
              <w:rPr>
                <w:sz w:val="18"/>
                <w:szCs w:val="18"/>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Millions)</w:t>
            </w:r>
          </w:p>
        </w:tc>
      </w:tr>
      <w:tr>
        <w:trPr>
          <w:trHeight w:val="33"/>
        </w:trPr>
        <w:tc>
          <w:tcPr>
            <w:tcW w:w="5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1,439,708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1,455,950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38.2</w:t>
            </w:r>
          </w:p>
        </w:tc>
      </w:tr>
      <w:tr>
        <w:trPr>
          <w:trHeight w:val="251"/>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at March 31, 2019 and Expected to Vest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1,311,896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682,494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first quarter of 2019 and the exercise price, multiplied by the number of in-the-money options) that would have been received by the option holders had all option holders exercised their options on March 31, 2019. The aggregate intrinsic value will change based on the fair market value of the Company’s common stock and the number of in-the-money options.</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Outstanding balances as of March 31, 2019, and activity related to restricted stock and restricted stock units for the three months ended March 31, 2019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3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267,242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374,529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3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51,457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Released</w:t>
            </w:r>
          </w:p>
        </w:tc>
        <w:tc>
          <w:tcPr>
            <w:tcW w:w="3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33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268,115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375,700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Stock-Based Compensation (Continued)</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8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8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83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8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53,766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94.77</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91.05</w:t>
            </w:r>
          </w:p>
        </w:tc>
      </w:tr>
      <w:tr>
        <w:trPr>
          <w:trHeight w:val="27"/>
        </w:trPr>
        <w:tc>
          <w:tcPr>
            <w:tcW w:w="8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82.16</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98.96</w:t>
            </w:r>
          </w:p>
        </w:tc>
      </w:tr>
      <w:tr>
        <w:trPr>
          <w:trHeight w:val="27"/>
        </w:trPr>
        <w:tc>
          <w:tcPr>
            <w:tcW w:w="8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69,563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93.58</w:t>
            </w:r>
          </w:p>
        </w:tc>
      </w:tr>
      <w:tr>
        <w:trPr>
          <w:trHeight w:val="20"/>
        </w:trPr>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$0.6 million and $0.1 million, respectively, was included as stock-based compensation expense related to cash-settled restricted stock units.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(i) the total stockholder return of Dine Brands Global common stock compared to the total stockholder returns of a peer group of companies and (ii) the percentage increase in the Company's adjusted earnings per share (as defined). The awards are considered stock-based compensation and are classified as liabilities measured at fair value as of the respective period end. For the three months ended March 31, 2019 and 2018, $0.4 million and $0.4 million, respectively were included in total stock-based compensation expense related to LTIP awards. At March 31, 2019 and December 31, 2018, liabilities of $1.7 million and $2.4 million, respectively, related to LTIP awards were included as part of accrued employee compensation and benefits in the Consolidated Balance Sheets.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 considers these to be its reportable segments, regardless of whether any segment exceeds 10% of consolidated revenues, income before income tax provision or total assets.</w:t>
      </w:r>
    </w:p>
    <w:p>
      <w:pPr>
        <w:spacing w:after="0" w:line="14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As of March 31, 2019, the franchise operations segment consisted of (i) 1,761 restaurants operated by Applebee’s franchisees in the United States, two U.S. territories and 13 countries outside the United States and (ii) 1,822 restaurants operated by IHOP franchisees and area licensees in the United States, three U.S. territories and 12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18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Company restaurant sales are retail sales at company-operated restaurants. Company restaurant expenses are operating expenses at company-operated restaurants and include food, labor, utilities, rent and other restaurant operating costs.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direct financing leases. Rental operations expenses are costs of operating leases and interest expense from capital leases on franchisee-operated restaurants.</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franchise fees and equipment leases and sales of equipment associated with refranchised IHOP restaurants. Financing expenses are primarily the cost of restaurant equipment associated with refranchised IHOP restaurants.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26" w:right="27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Segments (Continued)</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5"/>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operations</w:t>
            </w:r>
          </w:p>
        </w:tc>
        <w:tc>
          <w:tcPr>
            <w:tcW w:w="1060" w:type="dxa"/>
            <w:vAlign w:val="bottom"/>
            <w:tcBorders>
              <w:bottom w:val="single" w:sz="8" w:color="CCEEFF"/>
            </w:tcBorders>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operations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 restaurants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operations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operations</w:t>
            </w:r>
          </w:p>
        </w:tc>
        <w:tc>
          <w:tcPr>
            <w:tcW w:w="1060" w:type="dxa"/>
            <w:vAlign w:val="bottom"/>
            <w:tcBorders>
              <w:bottom w:val="single" w:sz="8" w:color="CCEEFF"/>
            </w:tcBorders>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restaurants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5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operations</w:t>
            </w:r>
          </w:p>
        </w:tc>
        <w:tc>
          <w:tcPr>
            <w:tcW w:w="1060" w:type="dxa"/>
            <w:vAlign w:val="bottom"/>
            <w:tcBorders>
              <w:bottom w:val="single" w:sz="8" w:color="CCEEFF"/>
            </w:tcBorders>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operations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 restaurants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 by segment:</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operations</w:t>
            </w:r>
          </w:p>
        </w:tc>
        <w:tc>
          <w:tcPr>
            <w:tcW w:w="1060" w:type="dxa"/>
            <w:vAlign w:val="bottom"/>
            <w:tcBorders>
              <w:bottom w:val="single" w:sz="8" w:color="CCEEFF"/>
            </w:tcBorders>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operations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 restaurants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operations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BFE4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BFE4FF"/>
            </w:tcBorders>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6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6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38100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17,073</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16,505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16,507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17,703</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17,845</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549"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6" w:right="259" w:bottom="549" w:gutter="0" w:footer="0" w:header="0"/>
          <w:type w:val="continuous"/>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4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fair values of the Company's Series 2014-1 Class A-2 Notes (the “Class A-2 Notes”) at March 31, 2019 and December 31, 2018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r>
      <w:tr>
        <w:trPr>
          <w:trHeight w:val="245"/>
        </w:trPr>
        <w:tc>
          <w:tcPr>
            <w:tcW w:w="7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1"/>
                <w:szCs w:val="21"/>
                <w:color w:val="auto"/>
              </w:rPr>
            </w:pPr>
          </w:p>
        </w:tc>
      </w:tr>
      <w:tr>
        <w:trPr>
          <w:trHeight w:val="27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Class A-2 Notes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spacing w:after="0"/>
              <w:rPr>
                <w:sz w:val="23"/>
                <w:szCs w:val="23"/>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Class A-2 Notes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1,289.0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Pr>
          <w:p>
            <w:pPr>
              <w:spacing w:after="0"/>
              <w:rPr>
                <w:sz w:val="21"/>
                <w:szCs w:val="2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firstLine="366"/>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Class A-2 Notes and information on notes that are similar to those of the Company.</w:t>
      </w:r>
    </w:p>
    <w:p>
      <w:pPr>
        <w:spacing w:after="0" w:line="117" w:lineRule="exact"/>
        <w:rPr>
          <w:sz w:val="20"/>
          <w:szCs w:val="20"/>
          <w:color w:val="auto"/>
        </w:rPr>
      </w:pPr>
    </w:p>
    <w:p>
      <w:pPr>
        <w:ind w:left="340" w:right="8600" w:hanging="332"/>
        <w:spacing w:after="0" w:line="483" w:lineRule="auto"/>
        <w:tabs>
          <w:tab w:leader="none" w:pos="28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Litigation, Claims and Disputes</w:t>
      </w:r>
    </w:p>
    <w:p>
      <w:pPr>
        <w:ind w:right="100" w:firstLine="324"/>
        <w:spacing w:after="0" w:line="238"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6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the Company has, in certain cases, guaranteed or has potential continuing liability for lease payments totaling $280.0 million as of March 31, 2019. This amount represents the maximum potential liability for future payments under these leases. These leases have been assigned to the buyers and expire at the end of the respective lease terms, which range from 2019 through 2048. Excluding unexercised option periods, the Company's potential liability for future payments under these leases is $42.1 million. In the event of default, the indemnity and default clauses in the sale or assignment agreements govern the Company's ability to pursue and recover damages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Restricted Cash</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Current restricted cash of $36.7 million at March 31, 2019 primarily consisted of $33.7 million of funds required to be held in trust in connection with the Company's securitized debt and $2.9 million of funds from Applebee's franchisees pursuant to franchise agreements, usage of which was restricted to advertising activities. Current restricted cash of $48.5 million at December 31, 2018 primarily consisted of $42.3 million of funds required to be held in trust in connection with the Company's securitized debt and $6.2 million of funds from Applebee's franchisees pursuant to franchise agreements, usage of which was restricted to advertising activities.</w:t>
      </w:r>
    </w:p>
    <w:p>
      <w:pPr>
        <w:spacing w:after="0" w:line="18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Non-current restricted cash of $14.7 million at March 31, 2019 and December 31, 2018 represents interest reserves required to be set aside for the duration of the Company's securitized debt.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Facility Exit Costs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of Business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December 2018, the Company acquired 69 Applebee’s restaurants in North Carolina and South Carolina from a former Applebee's franchisee for a total purchase price of $21.6 million. The Company entered into the transaction to resolve certain franchisee financial health issues in what the Company believes was the most expedient and favorable manner for the Company and the Applebee's system.</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 Company completed the calculation of deferred income taxes related to the transaction and adjusted the preliminary purchase price as follows:</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240" w:type="dxa"/>
            <w:vAlign w:val="bottom"/>
          </w:tcPr>
          <w:p>
            <w:pPr>
              <w:spacing w:after="0"/>
              <w:rPr>
                <w:sz w:val="13"/>
                <w:szCs w:val="13"/>
                <w:color w:val="auto"/>
              </w:rPr>
            </w:pPr>
          </w:p>
        </w:tc>
        <w:tc>
          <w:tcPr>
            <w:tcW w:w="11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Adjusted Allocation</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Above-market leaseholds,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the Company assumed capital (finance) lease obligations and related property under capital (finance) leases of $9.1 million. The Company also entered into new capital (finance) leases totaling $28.1 million of property under capital (finance) leases and capital (finance) lease obligations.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00"/>
          </w:cols>
          <w:pgMar w:left="240" w:top="126" w:right="3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2018.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88" w:lineRule="exact"/>
        <w:rPr>
          <w:sz w:val="20"/>
          <w:szCs w:val="20"/>
          <w:color w:val="auto"/>
        </w:rPr>
      </w:pPr>
    </w:p>
    <w:p>
      <w:pPr>
        <w:ind w:right="60" w:firstLine="324"/>
        <w:spacing w:after="0" w:line="206" w:lineRule="auto"/>
        <w:rPr>
          <w:sz w:val="20"/>
          <w:szCs w:val="20"/>
          <w:color w:val="auto"/>
        </w:rPr>
      </w:pPr>
      <w:r>
        <w:rPr>
          <w:rFonts w:ascii="Times New Roman" w:cs="Times New Roman" w:eastAsia="Times New Roman" w:hAnsi="Times New Roman"/>
          <w:sz w:val="18"/>
          <w:szCs w:val="18"/>
          <w:color w:val="auto"/>
        </w:rPr>
        <w:t>Through various subsidiaries, we own, franchise and operate the Applebee's Neighborhood Grill &amp;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we own and franchise the International House of Pancakes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two restaurant concepts, whether operated by franchisees, area licensees and their sub-licensees (collectively, “area licensees”) or by us. With over 3,600 restaurants combined, the substantial majority of which are franchised, we believe we are one of the largest full-service restaurant companies in the world.</w:t>
      </w:r>
    </w:p>
    <w:p>
      <w:pPr>
        <w:spacing w:after="0" w:line="20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8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Pr>
          <w:p>
            <w:pPr>
              <w:spacing w:after="0"/>
              <w:rPr>
                <w:sz w:val="16"/>
                <w:szCs w:val="16"/>
                <w:color w:val="auto"/>
              </w:rPr>
            </w:pPr>
          </w:p>
        </w:tc>
        <w:tc>
          <w:tcPr>
            <w:tcW w:w="11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3860" w:type="dxa"/>
            <w:vAlign w:val="bottom"/>
          </w:tcPr>
          <w:p>
            <w:pPr>
              <w:spacing w:after="0"/>
              <w:rPr>
                <w:sz w:val="5"/>
                <w:szCs w:val="5"/>
                <w:color w:val="auto"/>
              </w:rPr>
            </w:pPr>
          </w:p>
        </w:tc>
        <w:tc>
          <w:tcPr>
            <w:tcW w:w="3480" w:type="dxa"/>
            <w:vAlign w:val="bottom"/>
            <w:vMerge w:val="restart"/>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380"/>
        </w:trPr>
        <w:tc>
          <w:tcPr>
            <w:tcW w:w="3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gridSpan w:val="7"/>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5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30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95"/>
              </w:rPr>
              <w:t>31.6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430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1.73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8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8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primary reasons for the increase in our income before income taxes in the three months ended March 31, 2019 compared to the same period of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149"/>
        </w:trPr>
        <w:tc>
          <w:tcPr>
            <w:tcW w:w="9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r>
      <w:tr>
        <w:trPr>
          <w:trHeight w:val="195"/>
        </w:trPr>
        <w:tc>
          <w:tcPr>
            <w:tcW w:w="9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255"/>
        </w:trPr>
        <w:tc>
          <w:tcPr>
            <w:tcW w:w="9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gross profit: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Applebee's franchise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IHOP franchise operations</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 other operations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profit increase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General and Administrative (“G&amp;A”) expenses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r>
      <w:tr>
        <w:trPr>
          <w:trHeight w:val="25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income before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changes in Applebee's franchise gross profit for the three months ended March 31, 2019 compared to the same period of the prior year were primarily due to franchisor contributions to the Applebee’s National Advertising Fund (the “Applebee's NAF”) of $13.5 million we made during the three months ended March 31, 2018 that did not recur in 2019. See </w:t>
      </w:r>
      <w:r>
        <w:rPr>
          <w:rFonts w:ascii="Times New Roman" w:cs="Times New Roman" w:eastAsia="Times New Roman" w:hAnsi="Times New Roman"/>
          <w:sz w:val="18"/>
          <w:szCs w:val="18"/>
          <w:i w:val="1"/>
          <w:iCs w:val="1"/>
          <w:color w:val="auto"/>
        </w:rPr>
        <w:t>“Consolidated Results of Operations - Comparison of the Three Months ended March 31,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2018” </w:t>
      </w:r>
      <w:r>
        <w:rPr>
          <w:rFonts w:ascii="Times New Roman" w:cs="Times New Roman" w:eastAsia="Times New Roman" w:hAnsi="Times New Roman"/>
          <w:sz w:val="18"/>
          <w:szCs w:val="18"/>
          <w:color w:val="auto"/>
        </w:rPr>
        <w:t>for additional discussion of the changes presented above.</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for the three months ended March 31, 2019 was lower than the comparable period of 2018 due to the recognition of excess tax benefits on stock-based compensation during the three months ended March 31,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performance indicators for the three months ended March 31, 2019 were as follows:</w:t>
      </w:r>
    </w:p>
    <w:p>
      <w:pPr>
        <w:spacing w:after="0" w:line="174"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33020</wp:posOffset>
            </wp:positionV>
            <wp:extent cx="15005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6"/>
              </w:rPr>
              <w:t>Applebee's</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IHOP</w:t>
            </w:r>
          </w:p>
        </w:tc>
      </w:tr>
      <w:tr>
        <w:trPr>
          <w:trHeight w:val="48"/>
        </w:trPr>
        <w:tc>
          <w:tcPr>
            <w:tcW w:w="9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percentage (decrease) increase</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9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increase in domestic system-wide same-restaurant sales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9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9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franchise restaurant reductions </w:t>
            </w:r>
            <w:r>
              <w:rPr>
                <w:rFonts w:ascii="Times New Roman" w:cs="Times New Roman" w:eastAsia="Times New Roman" w:hAnsi="Times New Roman"/>
                <w:sz w:val="21"/>
                <w:szCs w:val="21"/>
                <w:color w:val="auto"/>
                <w:vertAlign w:val="superscript"/>
              </w:rPr>
              <w:t>(1)</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52"/>
        </w:trPr>
        <w:tc>
          <w:tcPr>
            <w:tcW w:w="9320" w:type="dxa"/>
            <w:vAlign w:val="bottom"/>
          </w:tcPr>
          <w:p>
            <w:pPr>
              <w:ind w:left="40"/>
              <w:spacing w:after="0" w:line="252" w:lineRule="exact"/>
              <w:rPr>
                <w:sz w:val="20"/>
                <w:szCs w:val="20"/>
                <w:color w:val="auto"/>
              </w:rPr>
            </w:pPr>
            <w:r>
              <w:rPr>
                <w:rFonts w:ascii="Times New Roman" w:cs="Times New Roman" w:eastAsia="Times New Roman" w:hAnsi="Times New Roman"/>
                <w:sz w:val="18"/>
                <w:szCs w:val="18"/>
                <w:color w:val="auto"/>
              </w:rPr>
              <w:t xml:space="preserve">Net (decrease) increase in total effective restaurants </w:t>
            </w:r>
            <w:r>
              <w:rPr>
                <w:rFonts w:ascii="Times New Roman" w:cs="Times New Roman" w:eastAsia="Times New Roman" w:hAnsi="Times New Roman"/>
                <w:sz w:val="25"/>
                <w:szCs w:val="25"/>
                <w:color w:val="auto"/>
                <w:vertAlign w:val="superscript"/>
              </w:rPr>
              <w:t>(2)</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39"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Franchise and area license restaurant openings, net of closings, during the three months ended March 31, 2019.</w:t>
      </w:r>
    </w:p>
    <w:p>
      <w:pPr>
        <w:spacing w:after="0" w:line="17" w:lineRule="exact"/>
        <w:rPr>
          <w:rFonts w:ascii="Times New Roman" w:cs="Times New Roman" w:eastAsia="Times New Roman" w:hAnsi="Times New Roman"/>
          <w:sz w:val="11"/>
          <w:szCs w:val="11"/>
          <w:color w:val="auto"/>
        </w:rPr>
      </w:pPr>
    </w:p>
    <w:p>
      <w:pPr>
        <w:ind w:left="160" w:hanging="152"/>
        <w:spacing w:after="0"/>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Change in effective franchise, area license and company-operated restaurants open for the three months ended March 31, 2019 compared to the same period of 2018.</w:t>
      </w:r>
    </w:p>
    <w:p>
      <w:pPr>
        <w:spacing w:after="0" w:line="16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Applebee's sales percentage decrease for the three months ended March 31, 2019 when compared to the same period of 2018 was due to restaurant closures over the past 12 months that were partially offset by an increase in domestic same-restaurant sales. The IHOP sales percentage increase for the three months ended March 31, 2019 was due to net restaurant development over the past 12 months and an increase in domestic same-restaurant sales.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19685</wp:posOffset>
            </wp:positionV>
            <wp:extent cx="5145405" cy="257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Applebee’s domestic same-restaurant sales increased 1.8% for the three months ended March 31, 2019 from the same period in 2018, the sixth consecutive quarter of growth in same-restaurant sales. The improvement resulted from an increase in average customer check that was partially offset by a decline in customer traffic. The increase in domestic same-restaurant sales for three months ended March 31, 2019 primarily was due to an increase in off-premise sales, which comprised 13% of Applebee's sales mix during the quarter.</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increase in same-restaurant sales for the three months ended March 31, 2019 was impacted by comparisons against significant increases in same-restaurant sales and traffic for the three months ended March 31, 2018. In terms of a two-year comparison, Applebee's domestic same-restaurant sales have grown 5.1%, with increases in both average customer check and customer traffic.</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outperformed the casual dining segment of the restaurant industry during the three months ended March 31, 2019. During that period, the casual dining segment experienced an increase in same-restaurant sales that was smaller than the Applebee's increase, due to an increase in average customer check that was partially offset by a decline in customer traffic. Applebee's increase in average customer check for the three months ended March 31, 2019 was larger than that of the casual dining segment, while Applebee's decrease in traffic was also larger than that of the casual dining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80"/>
          </w:cols>
          <w:pgMar w:left="240" w:top="118" w:right="37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257165" cy="2624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Same-restaurant sales data includes area license restaurants beginning in 2019</w:t>
      </w:r>
    </w:p>
    <w:p>
      <w:pPr>
        <w:spacing w:after="0" w:line="200" w:lineRule="exact"/>
        <w:rPr>
          <w:sz w:val="20"/>
          <w:szCs w:val="20"/>
          <w:color w:val="auto"/>
        </w:rPr>
      </w:pPr>
    </w:p>
    <w:p>
      <w:pPr>
        <w:spacing w:after="0" w:line="211"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IHOP’s domestic same-restaurant sales increased 1.2% (including area license restaurants) for the three months ended March 31, 2019 from the same period in 2018. This growth was due to an increase in average customer check that was partially offset by a decline in customer traffic. The increase in average customer check was due in part to a favorable mix shift we believe was driven by successful promotional activity during the quarter. The increase in domestic same-restaurant sales for three months ended March 31, 2019 was favorably impacted by an increase in off-premise sales, which comprised 9.5% of IHOP's sales mix during the quarter. We believe the results for the first quarter were adversely impacted by a shift in the Easter holiday period which fell in the second quarter of 2019 as compared to the first quarter of 2018. Typically, the Easter holiday period has had a positive impact on IHOP sales.</w:t>
      </w:r>
    </w:p>
    <w:p>
      <w:pPr>
        <w:spacing w:after="0" w:line="171"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Based on data from Black Box, the family dining segment of the restaurant industry experienced a small increase in same-restaurant sales during the three months ended March 31, 2019, compared to the same period of the prior year, due to an increase in average customer check that was offset by a decrease in customer traffic. IHOP's increase in same-restaurant sales during the three months ended March 31, 2019 was larger than that of that the family dining segment because of a larger increase in average customer check than that experienced by the family dining segment. This was partially offset by IHOP experiencing a decrease in customer traffic that was larger than that of the family dining segment.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Applebee's Restaurant Data</w:t>
            </w:r>
          </w:p>
        </w:tc>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bottom w:val="single" w:sz="8" w:color="auto"/>
            </w:tcBorders>
            <w:gridSpan w:val="2"/>
            <w:vMerge w:val="continue"/>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40" w:type="dxa"/>
            <w:vAlign w:val="bottom"/>
            <w:vMerge w:val="continue"/>
          </w:tcPr>
          <w:p>
            <w:pPr>
              <w:spacing w:after="0"/>
              <w:rPr>
                <w:sz w:val="4"/>
                <w:szCs w:val="4"/>
                <w:color w:val="auto"/>
              </w:rPr>
            </w:pPr>
          </w:p>
        </w:tc>
        <w:tc>
          <w:tcPr>
            <w:tcW w:w="81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Effective Restaurants</w:t>
            </w:r>
            <w:r>
              <w:rPr>
                <w:rFonts w:ascii="Times New Roman" w:cs="Times New Roman" w:eastAsia="Times New Roman" w:hAnsi="Times New Roman"/>
                <w:sz w:val="21"/>
                <w:szCs w:val="21"/>
                <w:b w:val="1"/>
                <w:bCs w:val="1"/>
                <w:color w:val="auto"/>
                <w:vertAlign w:val="superscript"/>
              </w:rPr>
              <w:t>(a)</w:t>
            </w:r>
          </w:p>
        </w:tc>
        <w:tc>
          <w:tcPr>
            <w:tcW w:w="28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81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1,831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1,923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System-wide</w:t>
            </w:r>
            <w:r>
              <w:rPr>
                <w:rFonts w:ascii="Times New Roman" w:cs="Times New Roman" w:eastAsia="Times New Roman" w:hAnsi="Times New Roman"/>
                <w:sz w:val="21"/>
                <w:szCs w:val="21"/>
                <w:b w:val="1"/>
                <w:bCs w:val="1"/>
                <w:color w:val="auto"/>
                <w:vertAlign w:val="superscript"/>
              </w:rPr>
              <w:t>(b)</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40" w:type="dxa"/>
            <w:vAlign w:val="bottom"/>
            <w:gridSpan w:val="3"/>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5"/>
                <w:szCs w:val="25"/>
                <w:color w:val="auto"/>
                <w:vertAlign w:val="superscript"/>
              </w:rPr>
              <w:t>(c)</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5"/>
                <w:szCs w:val="25"/>
                <w:color w:val="auto"/>
                <w:vertAlign w:val="superscript"/>
              </w:rPr>
              <w:t>(d)</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Franchise</w:t>
            </w:r>
            <w:r>
              <w:rPr>
                <w:rFonts w:ascii="Times New Roman" w:cs="Times New Roman" w:eastAsia="Times New Roman" w:hAnsi="Times New Roman"/>
                <w:sz w:val="21"/>
                <w:szCs w:val="21"/>
                <w:b w:val="1"/>
                <w:bCs w:val="1"/>
                <w:color w:val="auto"/>
                <w:vertAlign w:val="superscript"/>
              </w:rPr>
              <w:t>(b)</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40" w:type="dxa"/>
            <w:vAlign w:val="bottom"/>
            <w:gridSpan w:val="3"/>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5"/>
                <w:szCs w:val="25"/>
                <w:color w:val="auto"/>
                <w:vertAlign w:val="superscript"/>
              </w:rPr>
              <w:t>(d)</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IHOP Restaurant Data</w:t>
            </w:r>
          </w:p>
        </w:tc>
        <w:tc>
          <w:tcPr>
            <w:tcW w:w="65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Effective Restaurants</w:t>
            </w:r>
            <w:r>
              <w:rPr>
                <w:rFonts w:ascii="Times New Roman" w:cs="Times New Roman" w:eastAsia="Times New Roman" w:hAnsi="Times New Roman"/>
                <w:sz w:val="21"/>
                <w:szCs w:val="21"/>
                <w:b w:val="1"/>
                <w:bCs w:val="1"/>
                <w:color w:val="auto"/>
                <w:vertAlign w:val="superscript"/>
              </w:rPr>
              <w:t>(a)</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2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1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System-wide</w:t>
            </w:r>
            <w:r>
              <w:rPr>
                <w:rFonts w:ascii="Times New Roman" w:cs="Times New Roman" w:eastAsia="Times New Roman" w:hAnsi="Times New Roman"/>
                <w:sz w:val="21"/>
                <w:szCs w:val="21"/>
                <w:b w:val="1"/>
                <w:bCs w:val="1"/>
                <w:color w:val="auto"/>
                <w:vertAlign w:val="superscript"/>
              </w:rPr>
              <w:t>(b)</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81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40" w:type="dxa"/>
            <w:vAlign w:val="bottom"/>
            <w:gridSpan w:val="3"/>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 license restaurants</w:t>
            </w:r>
            <w:r>
              <w:rPr>
                <w:rFonts w:ascii="Times New Roman" w:cs="Times New Roman" w:eastAsia="Times New Roman" w:hAnsi="Times New Roman"/>
                <w:sz w:val="25"/>
                <w:szCs w:val="25"/>
                <w:color w:val="auto"/>
                <w:vertAlign w:val="superscript"/>
              </w:rPr>
              <w:t>(d)</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same-restaurant sales percentage change, excluding area license restaurants</w:t>
            </w:r>
            <w:r>
              <w:rPr>
                <w:rFonts w:ascii="Times New Roman" w:cs="Times New Roman" w:eastAsia="Times New Roman" w:hAnsi="Times New Roman"/>
                <w:sz w:val="25"/>
                <w:szCs w:val="25"/>
                <w:color w:val="auto"/>
                <w:vertAlign w:val="superscript"/>
              </w:rPr>
              <w:t>(d)</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Franchise</w:t>
            </w:r>
            <w:r>
              <w:rPr>
                <w:rFonts w:ascii="Times New Roman" w:cs="Times New Roman" w:eastAsia="Times New Roman" w:hAnsi="Times New Roman"/>
                <w:sz w:val="21"/>
                <w:szCs w:val="21"/>
                <w:b w:val="1"/>
                <w:bCs w:val="1"/>
                <w:color w:val="auto"/>
                <w:vertAlign w:val="superscript"/>
              </w:rPr>
              <w:t>(b)</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40" w:type="dxa"/>
            <w:vAlign w:val="bottom"/>
            <w:gridSpan w:val="3"/>
          </w:tcPr>
          <w:p>
            <w:pPr>
              <w:ind w:left="220"/>
              <w:spacing w:after="0" w:line="27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5"/>
                <w:szCs w:val="25"/>
                <w:color w:val="auto"/>
                <w:vertAlign w:val="superscript"/>
              </w:rPr>
              <w:t>(d)</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Area License</w:t>
            </w:r>
            <w:r>
              <w:rPr>
                <w:rFonts w:ascii="Times New Roman" w:cs="Times New Roman" w:eastAsia="Times New Roman" w:hAnsi="Times New Roman"/>
                <w:sz w:val="21"/>
                <w:szCs w:val="21"/>
                <w:b w:val="1"/>
                <w:bCs w:val="1"/>
                <w:color w:val="auto"/>
                <w:vertAlign w:val="superscript"/>
              </w:rPr>
              <w:t>(b)</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1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spacing w:after="0" w:line="2" w:lineRule="exact"/>
        <w:rPr>
          <w:rFonts w:ascii="Times New Roman" w:cs="Times New Roman" w:eastAsia="Times New Roman" w:hAnsi="Times New Roman"/>
          <w:sz w:val="16"/>
          <w:szCs w:val="16"/>
          <w:color w:val="auto"/>
        </w:rPr>
      </w:pPr>
    </w:p>
    <w:p>
      <w:pPr>
        <w:ind w:left="340" w:right="60" w:hanging="291"/>
        <w:spacing w:after="0" w:line="287" w:lineRule="auto"/>
        <w:tabs>
          <w:tab w:leader="none" w:pos="367"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“System-wide sales” are retail sales at Applebee’s restaurants operated by franchisees and IHOP restaurants operated by franchisees and area licensees, as reported to the Company, in addition to retail sales at company-operated Applebee's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64"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732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400"/>
          </w:cols>
          <w:pgMar w:left="240" w:top="118" w:right="259" w:bottom="1008" w:gutter="0" w:footer="0" w:header="0"/>
        </w:sectPr>
      </w:pPr>
    </w:p>
    <w:p>
      <w:pPr>
        <w:spacing w:after="0" w:line="3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u w:val="single" w:color="auto"/>
          <w:color w:val="auto"/>
        </w:rPr>
        <w:t>Reported sales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9634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Applebee's domestic franchise restaurant sales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Applebee's company-operated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37465</wp:posOffset>
            </wp:positionV>
            <wp:extent cx="69634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IHOP franchise restaurant sales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IHOP area license 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37465</wp:posOffset>
            </wp:positionV>
            <wp:extent cx="696341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3410" cy="180340"/>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2"/>
        </w:trPr>
        <w:tc>
          <w:tcPr>
            <w:tcW w:w="3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20"/>
                <w:szCs w:val="20"/>
                <w:color w:val="auto"/>
              </w:rPr>
            </w:pPr>
          </w:p>
        </w:tc>
      </w:tr>
      <w:tr>
        <w:trPr>
          <w:trHeight w:val="369"/>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1,044.2</w:t>
            </w: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1,095.6</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780.6</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72.3</w:t>
            </w:r>
          </w:p>
        </w:tc>
      </w:tr>
      <w:tr>
        <w:trPr>
          <w:trHeight w:val="33"/>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1,953.0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1,948.5</w:t>
            </w:r>
          </w:p>
        </w:tc>
      </w:tr>
      <w:tr>
        <w:trPr>
          <w:trHeight w:val="33"/>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860" w:space="720"/>
            <w:col w:w="2820"/>
          </w:cols>
          <w:pgMar w:left="240" w:top="118" w:right="259" w:bottom="1008" w:gutter="0" w:footer="0" w:header="0"/>
          <w:type w:val="continuous"/>
        </w:sectPr>
      </w:pPr>
    </w:p>
    <w:p>
      <w:pPr>
        <w:ind w:left="340" w:right="280" w:hanging="332"/>
        <w:spacing w:after="0" w:line="281" w:lineRule="auto"/>
        <w:tabs>
          <w:tab w:leader="none" w:pos="31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36" w:lineRule="exact"/>
        <w:rPr>
          <w:rFonts w:ascii="Times New Roman" w:cs="Times New Roman" w:eastAsia="Times New Roman" w:hAnsi="Times New Roman"/>
          <w:sz w:val="16"/>
          <w:szCs w:val="16"/>
          <w:color w:val="auto"/>
        </w:rPr>
      </w:pPr>
    </w:p>
    <w:p>
      <w:pPr>
        <w:ind w:left="340" w:right="280" w:hanging="332"/>
        <w:spacing w:after="0" w:line="263" w:lineRule="auto"/>
        <w:tabs>
          <w:tab w:leader="none" w:pos="32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w:t>
      </w:r>
    </w:p>
    <w:p>
      <w:pPr>
        <w:sectPr>
          <w:pgSz w:w="11900" w:h="16838" w:orient="portrait"/>
          <w:cols w:equalWidth="0" w:num="1">
            <w:col w:w="11400"/>
          </w:cols>
          <w:pgMar w:left="240" w:top="118" w:right="259" w:bottom="1008" w:gutter="0" w:footer="0" w:header="0"/>
          <w:type w:val="continuous"/>
        </w:sect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008"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Restaurant Development Activity</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Applebee's</w:t>
            </w:r>
          </w:p>
        </w:tc>
        <w:tc>
          <w:tcPr>
            <w:tcW w:w="758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7580" w:type="dxa"/>
            <w:vAlign w:val="bottom"/>
          </w:tcPr>
          <w:p>
            <w:pPr>
              <w:spacing w:after="0"/>
              <w:rPr>
                <w:sz w:val="15"/>
                <w:szCs w:val="15"/>
                <w:color w:val="auto"/>
              </w:rPr>
            </w:pPr>
          </w:p>
        </w:tc>
        <w:tc>
          <w:tcPr>
            <w:tcW w:w="2000" w:type="dxa"/>
            <w:vAlign w:val="bottom"/>
            <w:gridSpan w:val="3"/>
          </w:tcPr>
          <w:p>
            <w:pPr>
              <w:jc w:val="center"/>
              <w:ind w:left="8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restaurants</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8420" w:type="dxa"/>
            <w:vAlign w:val="bottom"/>
            <w:gridSpan w:val="4"/>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0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restaurants closed:</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Domestic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franchise restaurants closed</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restaurants</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Domestic</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International</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IHOP</w:t>
            </w:r>
          </w:p>
        </w:tc>
        <w:tc>
          <w:tcPr>
            <w:tcW w:w="796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Franchise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Area license</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Domestic franchise</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International franchise</w:t>
            </w:r>
          </w:p>
        </w:tc>
        <w:tc>
          <w:tcPr>
            <w:tcW w:w="20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Franchise/area license restaurants closed:</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Domestic franchise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Domestic area license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International franchise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franchise/area license restaurants closed</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(reduction) development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8420" w:type="dxa"/>
            <w:vAlign w:val="bottom"/>
            <w:gridSpan w:val="4"/>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Franchise</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Area license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1,822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1,791</w:t>
            </w: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Domestic</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1,679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International</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For the full year of 2019, we expect Applebee's franchisees to close between 20 and 30 net restaurants globally, the majority of which are expected to be domestic closures. IHOP franchisees and area licensees are projected to develop between 35 and 55 net new IHOP restaurants globally, the majority of which are expected to be domestic openings.</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actual number of openings may differ from both our expectations and development commitments. Historically, the actual number of restaurants developed in any given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expectations. Our franchisees are independent businesses and decisions to close restaurants can be impacted by numerous factors, in addition to declines in same-restaurant sales, that are outside of our control, including but not limited to, franchisees' agreements with landlords and lenders.</w:t>
      </w:r>
    </w:p>
    <w:p>
      <w:pPr>
        <w:sectPr>
          <w:pgSz w:w="11900" w:h="16838" w:orient="portrait"/>
          <w:cols w:equalWidth="0" w:num="1">
            <w:col w:w="11420"/>
          </w:cols>
          <w:pgMar w:left="240" w:top="118" w:right="239" w:bottom="252"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252"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2019 and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Impacting Comparability of Financial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Acquisition of Franchise Restaurants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December 2018, we acquired 69 Applebee's restaurants in North and South Carolina from a former Applebee's franchisee. While we currently intend to own and operate these restaurants for the near term, we will assess and monitor opportunities to refranchise these restaurants under favorable circumstances. We operated no restaurants of either brand during the three months ended March 31, 2018.</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Franchisor Contributions to the Applebee’s NAF</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contributed $13.5 million to the Applebee's NAF during the three months ended March 31, 2018 to mitigate the decline in franchisee contributions due to restaurant closures and the non-timely payment of advertising fees by certain franchisees. Our contributions to the Applebee's NAF ceased as of June 30, 2018.</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Temporary Increase in Franchisee Contribution Rate to the Applebee's NAF</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contribution rate to the Applebee’s NAF for virtually all Applebee’s franchisees was 3.5% of their gross sales for the period from January 1, 2018 to June 30, 2018. Such franchisees also agreed to an incremental temporary increase of 0.75% in the advertising contribution rate to 4.25%, effective July 1, 2018 to December 31, 2019. As a result, the advertising contribution rate for virtually all Applebee's franchisees was 4.25% during the three months ended March 31, 2019 as compared to 3.50% during the three months ended March 31, 2018. This increased advertising revenue by approximately $8 million in 2019.</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19"/>
                <w:szCs w:val="19"/>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6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Change vs. prior period</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March 31, 2019 increased compared with the same period of the prior year, primarily due to the operation of 69 Applebee's restaurant acquired in December 2018 and the impact of a higher advertising contribution rate on Applebee's advertising revenue. IHOP restaurant development over the past 12 months and increases in same-restaurant sales for both Applebee's and IHOP also contributed to the increase in revenue.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Pr>
          <w:p>
            <w:pPr>
              <w:spacing w:after="0"/>
              <w:rPr>
                <w:sz w:val="19"/>
                <w:szCs w:val="19"/>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Change vs. prior period</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Total gross profit for the three months ended March 31, 2019 increased nearly 23% compared with the same period of the prior year, primarily due to a $13.5 million contribution to the Applebee's NAF made during the three months ended March 31, 2018 that did not recur in 2019. Operation of 69 Applebee's restaurants favorably impacted total gross profit by $2.8 million, as the gross profit of $4.2 million from operating the 69 restaurants was partially offset by royalties of approximately $1.4 million that would have been recognized in franchise operations had the restaurants been franchisee-operated. IHOP restaurant development over the past 12 months and increases in same-restaurant sales for both Applebee's and IHOP also contributed to the increase in gross profit.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Franchise Operations</w:t>
            </w:r>
          </w:p>
        </w:tc>
        <w:tc>
          <w:tcPr>
            <w:tcW w:w="5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5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53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ind w:right="491"/>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73"/>
              <w:spacing w:after="0" w:line="127" w:lineRule="exact"/>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2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gridSpan w:val="7"/>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0" w:type="dxa"/>
            <w:vAlign w:val="bottom"/>
          </w:tcPr>
          <w:p>
            <w:pPr>
              <w:spacing w:after="0"/>
              <w:rPr>
                <w:sz w:val="1"/>
                <w:szCs w:val="1"/>
                <w:color w:val="auto"/>
              </w:rPr>
            </w:pPr>
          </w:p>
        </w:tc>
      </w:tr>
      <w:tr>
        <w:trPr>
          <w:trHeight w:val="280"/>
        </w:trPr>
        <w:tc>
          <w:tcPr>
            <w:tcW w:w="6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Effective Franchise Restaurants: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9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69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6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Franchise Revenues:</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 franchise fees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IHOP franchise fees</w:t>
            </w: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 fees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franchise revenues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6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Franchise Expenses:</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7"/>
        </w:trPr>
        <w:tc>
          <w:tcPr>
            <w:tcW w:w="6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franchise expenses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Franchise Gross Profit:</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franchise 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gridSpan w:val="3"/>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60" w:type="dxa"/>
            <w:vAlign w:val="bottom"/>
            <w:gridSpan w:val="3"/>
          </w:tcPr>
          <w:p>
            <w:pPr>
              <w:ind w:left="40"/>
              <w:spacing w:after="0" w:line="251" w:lineRule="exact"/>
              <w:rPr>
                <w:sz w:val="20"/>
                <w:szCs w:val="20"/>
                <w:color w:val="auto"/>
              </w:rPr>
            </w:pPr>
            <w:r>
              <w:rPr>
                <w:rFonts w:ascii="Times New Roman" w:cs="Times New Roman" w:eastAsia="Times New Roman" w:hAnsi="Times New Roman"/>
                <w:sz w:val="18"/>
                <w:szCs w:val="18"/>
                <w:color w:val="auto"/>
              </w:rPr>
              <w:t xml:space="preserve">Gross profit as % of franchise fees </w:t>
            </w:r>
            <w:r>
              <w:rPr>
                <w:rFonts w:ascii="Times New Roman" w:cs="Times New Roman" w:eastAsia="Times New Roman" w:hAnsi="Times New Roman"/>
                <w:sz w:val="25"/>
                <w:szCs w:val="25"/>
                <w:color w:val="auto"/>
                <w:vertAlign w:val="superscript"/>
              </w:rPr>
              <w:t>(2) (3)</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right="100" w:hanging="172"/>
        <w:spacing w:after="0" w:line="241" w:lineRule="auto"/>
        <w:tabs>
          <w:tab w:leader="none" w:pos="145"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 w:lineRule="exact"/>
        <w:rPr>
          <w:rFonts w:ascii="Times New Roman" w:cs="Times New Roman" w:eastAsia="Times New Roman" w:hAnsi="Times New Roman"/>
          <w:sz w:val="9"/>
          <w:szCs w:val="9"/>
          <w:color w:val="auto"/>
        </w:rPr>
      </w:pPr>
    </w:p>
    <w:p>
      <w:pPr>
        <w:ind w:left="180" w:right="220" w:hanging="172"/>
        <w:spacing w:after="0" w:line="249" w:lineRule="auto"/>
        <w:tabs>
          <w:tab w:leader="none" w:pos="158"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revenue should not generate gross profit or loss.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March 31, 2019 increased 6% compared to the same period of the prior year. The increase was primarily due to an improvement in revenue collectibility of $4.5 million as a result of favorable changes in franchisee health and the impact on royalty revenue of a 1.6% increase in domestic franchise same-restaurant sales. These favorable items were partially offset by a $2.8 million decrease in revenue because of fewer effective franchise restaurants, the number of which declined due to restaurant closures and our acquisition of 69 Applebee's restaurants in North and South Carolina from a former Applebee's franchisee in December 2018.</w:t>
      </w:r>
    </w:p>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Applebee's franchise expenses for the three months ended March 31, 2019 compared with the same period of the prior year was primarily due to a decrease of $13.5 million in franchisor contributions to the Applebee's NAF, partially offset by a $3.0 million decrease in bad debt recoveries. Our franchisor contributions to the Applebee's NAF ceased as of June 30, 2018.</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IHOP franchise fee revenue for the three months ended March 31, 2019 increased 4% compared to the same period of the prior year, primarily due to an increase in sales of pancake and waffle dry mix, an increase in Effective Franchise Restaurants because of net restaurant development over the past twelve months and a 1.2% increase in domestic same-restaurant sales.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increase in IHOP franchise expenses for the three months ended March 31, 2019 compared with the same period of the prior year was primarily due to an increase in purchases of pancake and waffle dry mix partially offset by a decrease in bad debt expense.</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Advertising revenue and expense for the three months ended March 31, 2019 increased compared to the same period of the prior year, primarily due to an increase in the franchisee advertising contribution rate to the Applebee's NAF. As previously reported, virtually all domestic Applebee's franchisees agreed to an incremental temporary increase of 0.75% in the advertising contribution rate to 4.25% effective July 1, 2018 to December 31, 2019. This change represented $7.7 million of the increase. In addition, advertising revenue and expense increased due to an improvement of franchisee collectibility of advertising fees from certain Applebee's franchisees, IHOP net restaurant development over the past twelve months and increases in Applebee's and IHOP domestic same-restaurant sales. It is our policy to recognize any excess or deficiency of advertising fee revenue compared to advertising expenditure in the fourth quarter of our fiscal year.</w:t>
      </w:r>
    </w:p>
    <w:p>
      <w:pPr>
        <w:spacing w:after="0" w:line="189"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Gross profit as a percentage of franchise fees increased for the three months ended March 31, 2019 compared to the same period of the prior year, primarily due to the $13.5 million franchisor contribution to the Applebee's NAF made in the first quarter of 2018 that did not recur in 2019. IHOP net restaurant development over the past twelve months and increases in Applebee's and IHOP domestic same-restaurant sales also contributed to the improvement in gross profit percentage.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Rental Operations</w:t>
            </w:r>
          </w:p>
        </w:tc>
        <w:tc>
          <w:tcPr>
            <w:tcW w:w="300" w:type="dxa"/>
            <w:vAlign w:val="bottom"/>
          </w:tcPr>
          <w:p>
            <w:pPr>
              <w:spacing w:after="0"/>
              <w:rPr>
                <w:sz w:val="19"/>
                <w:szCs w:val="19"/>
                <w:color w:val="auto"/>
              </w:rPr>
            </w:pPr>
          </w:p>
        </w:tc>
        <w:tc>
          <w:tcPr>
            <w:tcW w:w="2780" w:type="dxa"/>
            <w:vAlign w:val="bottom"/>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4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Finance lease interest</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rental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rental expenses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gridSpan w:val="3"/>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22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financing leases.</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Rental segment revenue for the three months ended March 31, 2019 decreased as compared to the same period of the prior year due to the progressive decline of $0.3 million in interest income as direct financing leases are repaid, partially offset by contractual increases in base sub-rental income. Rental segment expenses for the three months ended March 31, 2019 were essentially unchanged from the same period of the prior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Restaurant Operations</w:t>
      </w:r>
    </w:p>
    <w:p>
      <w:pPr>
        <w:spacing w:after="0" w:line="227" w:lineRule="exact"/>
        <w:rPr>
          <w:sz w:val="20"/>
          <w:szCs w:val="20"/>
          <w:color w:val="auto"/>
        </w:rPr>
      </w:pPr>
    </w:p>
    <w:p>
      <w:pPr>
        <w:ind w:right="380" w:firstLine="243"/>
        <w:spacing w:after="0" w:line="284" w:lineRule="auto"/>
        <w:rPr>
          <w:sz w:val="20"/>
          <w:szCs w:val="20"/>
          <w:color w:val="auto"/>
        </w:rPr>
      </w:pPr>
      <w:r>
        <w:rPr>
          <w:rFonts w:ascii="Times New Roman" w:cs="Times New Roman" w:eastAsia="Times New Roman" w:hAnsi="Times New Roman"/>
          <w:sz w:val="18"/>
          <w:szCs w:val="18"/>
          <w:color w:val="auto"/>
        </w:rPr>
        <w:t xml:space="preserve">As discussed above under </w:t>
      </w:r>
      <w:r>
        <w:rPr>
          <w:rFonts w:ascii="Times New Roman" w:cs="Times New Roman" w:eastAsia="Times New Roman" w:hAnsi="Times New Roman"/>
          <w:sz w:val="18"/>
          <w:szCs w:val="18"/>
          <w:i w:val="1"/>
          <w:iCs w:val="1"/>
          <w:color w:val="auto"/>
        </w:rPr>
        <w:t>“Events Impacting Comparability of Financial Information,”</w:t>
      </w:r>
      <w:r>
        <w:rPr>
          <w:rFonts w:ascii="Times New Roman" w:cs="Times New Roman" w:eastAsia="Times New Roman" w:hAnsi="Times New Roman"/>
          <w:sz w:val="18"/>
          <w:szCs w:val="18"/>
          <w:color w:val="auto"/>
        </w:rPr>
        <w:t xml:space="preserve"> we acquired 69 Applebee’s restaurants in North Carolina and South Carolina in December 2018. We had no company-operated restaurants of either brand during the first quarter of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Operations</w:t>
      </w:r>
    </w:p>
    <w:p>
      <w:pPr>
        <w:spacing w:after="0" w:line="229" w:lineRule="exact"/>
        <w:rPr>
          <w:sz w:val="20"/>
          <w:szCs w:val="20"/>
          <w:color w:val="auto"/>
        </w:rPr>
      </w:pPr>
    </w:p>
    <w:p>
      <w:pPr>
        <w:jc w:val="both"/>
        <w:ind w:right="700" w:firstLine="324"/>
        <w:spacing w:after="0" w:line="266"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equipment leases and franchise fees, as well as sales of equipment associated with refranchised IHOP restaurants. Financing expenses are the cost of any restaurant equipment sold associated with refranchised IHOP restaurants.</w:t>
      </w:r>
    </w:p>
    <w:p>
      <w:pPr>
        <w:spacing w:after="0" w:line="17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Financing revenue and gross profit for the three months ended March 31, 2019 did not change significantly compared to the same period of the prior year.</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220" w:type="dxa"/>
            <w:vAlign w:val="bottom"/>
            <w:gridSpan w:val="3"/>
          </w:tcPr>
          <w:p>
            <w:pPr>
              <w:jc w:val="right"/>
              <w:ind w:right="6040"/>
              <w:spacing w:after="0"/>
              <w:rPr>
                <w:sz w:val="20"/>
                <w:szCs w:val="20"/>
                <w:color w:val="auto"/>
              </w:rPr>
            </w:pPr>
            <w:r>
              <w:rPr>
                <w:rFonts w:ascii="Times New Roman" w:cs="Times New Roman" w:eastAsia="Times New Roman" w:hAnsi="Times New Roman"/>
                <w:sz w:val="18"/>
                <w:szCs w:val="18"/>
                <w:b w:val="1"/>
                <w:bCs w:val="1"/>
                <w:color w:val="auto"/>
                <w:w w:val="98"/>
              </w:rPr>
              <w:t>G&amp;A Expenses</w:t>
            </w: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Pr>
          <w:p>
            <w:pPr>
              <w:spacing w:after="0"/>
              <w:rPr>
                <w:sz w:val="19"/>
                <w:szCs w:val="19"/>
                <w:color w:val="auto"/>
              </w:rPr>
            </w:pPr>
          </w:p>
        </w:tc>
        <w:tc>
          <w:tcPr>
            <w:tcW w:w="11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1180" w:type="dxa"/>
            <w:vAlign w:val="bottom"/>
            <w:tcBorders>
              <w:top w:val="single" w:sz="8" w:color="auto"/>
            </w:tcBorders>
          </w:tcPr>
          <w:p>
            <w:pPr>
              <w:spacing w:after="0"/>
              <w:rPr>
                <w:sz w:val="4"/>
                <w:szCs w:val="4"/>
                <w:color w:val="auto"/>
              </w:rPr>
            </w:pPr>
          </w:p>
        </w:tc>
        <w:tc>
          <w:tcPr>
            <w:tcW w:w="5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24"/>
              <w:spacing w:after="0" w:line="131"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1180" w:type="dxa"/>
            <w:vAlign w:val="bottom"/>
          </w:tcPr>
          <w:p>
            <w:pPr>
              <w:spacing w:after="0"/>
              <w:rPr>
                <w:sz w:val="5"/>
                <w:szCs w:val="5"/>
                <w:color w:val="auto"/>
              </w:rPr>
            </w:pPr>
          </w:p>
        </w:tc>
        <w:tc>
          <w:tcPr>
            <w:tcW w:w="5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increase in G&amp;A expenses for the three months ended March 31, 2019 compared to the same period of the prior year was primarily due to a $3.1 million increase in personnel-related costs, partially offset by decreases in costs of professional services, travel and conferences.</w: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 Items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9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65"/>
        </w:trPr>
        <w:tc>
          <w:tcPr>
            <w:tcW w:w="72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720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72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Closure and impairment costs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2019 was slightly higher than the same period of the prior year, primarily due to amortization of costs associated with the issuance of variable funding notes in September 2018.</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March 31, 2019 increased compared to the same period of the prior year due to amortization of reacquired franchise rights recognized in conjunction with the December 2018 acquisition of 69 Applebee's restaurants.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Closure and impairment costs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There were no individually significant closure and impairment charges during the three months ended March 31, 2019. Closure and impairment charges of $2.6 million for the three months ended March 31, 2018 primarily comprised of lease closure obligations, net of estimated subrental income, related to two properties on which refranchised Applebee's company-operated restaurants had been located. There were no other individually significant charges in that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Gain on disposition of assets</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were no individually significant asset dispositions during the three months ended March 31, 2019. During the three months ended March 31, 2018, the sublease tenant of a property with lease terms favorable to the Company purchased the property, which allowed us to recognize a gain of $1.4 million on disposition of the favorable lease asset.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80" w:type="dxa"/>
            <w:vAlign w:val="bottom"/>
          </w:tcPr>
          <w:p>
            <w:pPr>
              <w:spacing w:after="0"/>
              <w:rPr>
                <w:sz w:val="19"/>
                <w:szCs w:val="19"/>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Pr>
          <w:p>
            <w:pPr>
              <w:spacing w:after="0"/>
              <w:rPr>
                <w:sz w:val="19"/>
                <w:szCs w:val="19"/>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58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restart"/>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restart"/>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60" w:firstLine="351"/>
        <w:spacing w:after="0" w:line="266" w:lineRule="auto"/>
        <w:rPr>
          <w:sz w:val="20"/>
          <w:szCs w:val="20"/>
          <w:color w:val="auto"/>
        </w:rPr>
      </w:pPr>
      <w:r>
        <w:rPr>
          <w:rFonts w:ascii="Times New Roman" w:cs="Times New Roman" w:eastAsia="Times New Roman" w:hAnsi="Times New Roman"/>
          <w:sz w:val="18"/>
          <w:szCs w:val="18"/>
          <w:color w:val="auto"/>
        </w:rPr>
        <w:t xml:space="preserve">Our income tax provision will vary from period to period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 of Operations - Comparison of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Months Ended March 31, 2019 and 2018.”</w:t>
      </w:r>
    </w:p>
    <w:p>
      <w:pPr>
        <w:spacing w:after="0" w:line="13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2019 was lower compared to the same period of the prior year due to recognition of excess tax benefits on stock-based compensation. Completion of the IRS audits for tax years 2011 through 2013 will allow us to accelerate the collection of certain tax benefits recognized in prior years. As a result, we expect to receive a cash refund of $12.4 million, excluding interest, in 2019. The expected refund is currently included in Prepaid Income Taxes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At March 31, 2019, our outstanding long-term debt consisted of $1.3 billion of Series 2014-1 4.277% Fixed Rate Senior Notes, Class A-2 (the “Class A-2 Notes”). We also have a revolving financing facility consisting of Series 2018-1 Variable Funding Senior Notes, Class A-1 (the “Variable Funding Notes” or “VFN”), which allows for drawings of up to $225 million of Variable Funding Notes and the issuance of letters of credit. The Class A-2 Notes and the Variable Funding Notes are referred to collectively as the “Notes.” The Notes were issued in a private securitization transaction pursuant to which substantially all our domestic revenue-generating assets and our domestic intellectual property are held by certain special-purpose, wholly-owned indirect subsidiaries of the Company (the “Guarantors”) that act as guarantors of the Notes and that have pledged substantially all their assets to secure the Notes.</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the Notes are outstanding, payment of principal and interest is required to be made on the Class A-2 Notes on a quarterly basis. The quarterly principal payment of $3.25 million on the Class A-2 Notes may be suspended when the leverage ratio for the Company and its subsidiaries is less than or equal to</w:t>
      </w:r>
    </w:p>
    <w:p>
      <w:pPr>
        <w:spacing w:after="0"/>
        <w:rPr>
          <w:sz w:val="20"/>
          <w:szCs w:val="20"/>
          <w:color w:val="auto"/>
        </w:rPr>
      </w:pPr>
      <w:r>
        <w:rPr>
          <w:rFonts w:ascii="Times New Roman" w:cs="Times New Roman" w:eastAsia="Times New Roman" w:hAnsi="Times New Roman"/>
          <w:sz w:val="18"/>
          <w:szCs w:val="18"/>
          <w:color w:val="auto"/>
        </w:rPr>
        <w:t>5.25x. At December 31, 2018, our leverage ratio was 4.90x and we were not required to make a principal payment in the first quarter of 2019. At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our leverage ratio was 4.75x and we will not be required to make a principal payment in the second quarter of 2019. Exceeding the leverage ratio of</w:t>
      </w:r>
    </w:p>
    <w:p>
      <w:pPr>
        <w:spacing w:after="0" w:line="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5.25x does not violate any covenant related to the Notes. We may voluntarily repay the Class A-2 Notes at any time, and as of September 30, 2018, there was no longer any make-whole payment required for voluntary repayment.</w:t>
      </w:r>
    </w:p>
    <w:p>
      <w:pPr>
        <w:spacing w:after="0" w:line="4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Variable Funding Notes were not drawn upon at March 31, 2019. During the three months ended March 31, 2019, we repaid $25.0 million of Variable Funding Notes, representing the amount outstanding at December 31, 2018; we did not draw on the Variable Funding Notes during the three months ended March 31, 2019. The maximum amount of Variable Funding Notes outstanding during the three months ended March 31, 2019 was $25.0 million and the weighted average interest rate on the Variable Funding Notes for the period outstanding was 4.88%. Additionally, at March 31, 2019, $2.2 million was pledged against the Variable Funding Notes for outstanding letters of credit, leaving $222.8 million of 2018 Variable Funding Notes available for borrowing. The letters of credit are used primarily to satisfy insurance-related collateral requirements.</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Notes are subject to customary rapid amortization events for similar types of financing, including events tied to our failure to maintain the stated debt service coverage ratio (“DSCR”), the sum of domestic retail sales for all restaurants being below certain levels on certain measurement dates, certain manager termination events, certain events of default and the failure to repay or refinance the Notes on the Class A-2 Anticipated Repayment Date in September 2021. The Notes are also subject to certain customary events of default, including events relating to non-payment of required interest, principal or other amounts due on or with respect to the Notes, failure to maintain the stated DSCR, failure to comply with covenants within certain time frames, certain bankruptcy events, breaches of specified representations and warranties and certain judgments.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320" w:firstLine="324"/>
        <w:spacing w:after="0" w:line="289" w:lineRule="auto"/>
        <w:rPr>
          <w:sz w:val="20"/>
          <w:szCs w:val="20"/>
          <w:color w:val="auto"/>
        </w:rPr>
      </w:pPr>
      <w:r>
        <w:rPr>
          <w:rFonts w:ascii="Times New Roman" w:cs="Times New Roman" w:eastAsia="Times New Roman" w:hAnsi="Times New Roman"/>
          <w:sz w:val="17"/>
          <w:szCs w:val="17"/>
          <w:color w:val="auto"/>
        </w:rPr>
        <w:t>Failure to maintain a prescribed DSCR can trigger a Cash Trapping Event, A Rapid Amortization Event, a Manager Termination Event or a Default Event as described below. In a Cash Trapping Event, the Trustee is required to retain a certain percentage of excess Cash Flow (as defined) in a restricted account. In a Rapid Amortization Event, all excess Cash Flow is retained and used to retire principal amounts of debt. Key DSCRs are as follows:</w:t>
      </w:r>
    </w:p>
    <w:p>
      <w:pPr>
        <w:spacing w:after="0" w:line="185" w:lineRule="exact"/>
        <w:rPr>
          <w:sz w:val="20"/>
          <w:szCs w:val="20"/>
          <w:color w:val="auto"/>
        </w:rPr>
      </w:pPr>
    </w:p>
    <w:p>
      <w:pPr>
        <w:ind w:left="1360" w:hanging="380"/>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but equal to or greater than 1.50x - Cash Trapping Event, 50% of Net Cash Flow</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1.50x - Cash Trapping Event, 100% of Net Cash Flow</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1.30x - Rapid Amortization Event</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Manager Termination Event</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1.10x - Default Event</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DSCR for the reporting period ended March 31, 2019 was 4.95x.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8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we paid dividends on common stock of $11.2 million, representing a cash dividend of $0.63 per share declared in the fourth quarter of 2018 and paid in January 2018. On February 20, 2019, our Board of Directors declared a first quarter 2019 cash dividend of $0.69 per share of common stock. This dividend was paid on April 5, 2019 to our stockholders of record at the close of business on March 20, 2019. We reported dividends payable of $12.5 million at March 31, 2019.</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6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stock repurchase program authorizing the Company to repurchase up to $150 million of the Company's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w:t>
      </w:r>
    </w:p>
    <w:p>
      <w:pPr>
        <w:spacing w:after="0" w:line="18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2019 Repurchase Program and the 2015 Repurchase Program, during the three months ended March 31, 2019 and cumulatively, is as follows:</w:t>
      </w: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4"/>
        </w:trPr>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3"/>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2019 Repurchase Program:</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Repurchased during the three months ended March 31,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40,817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196.4</w:t>
            </w:r>
          </w:p>
        </w:tc>
      </w:tr>
      <w:tr>
        <w:trPr>
          <w:trHeight w:val="284"/>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69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2015 Repurchase Program:</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auto"/>
            </w:tcBorders>
            <w:shd w:val="clear" w:color="auto" w:fill="CCEEFF"/>
          </w:tcPr>
          <w:p>
            <w:pPr>
              <w:spacing w:after="0"/>
              <w:rPr>
                <w:sz w:val="4"/>
                <w:szCs w:val="4"/>
                <w:color w:val="auto"/>
              </w:rPr>
            </w:pPr>
          </w:p>
        </w:tc>
        <w:tc>
          <w:tcPr>
            <w:tcW w:w="50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Repurchased during the three months ended March 31, 2019</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110,499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1,589,995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126.2</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5" w:lineRule="exact"/>
        <w:rPr>
          <w:sz w:val="20"/>
          <w:szCs w:val="20"/>
          <w:color w:val="auto"/>
        </w:rPr>
      </w:pPr>
    </w:p>
    <w:p>
      <w:pPr>
        <w:ind w:firstLine="324"/>
        <w:spacing w:after="0" w:line="313" w:lineRule="auto"/>
        <w:rPr>
          <w:sz w:val="20"/>
          <w:szCs w:val="20"/>
          <w:color w:val="auto"/>
        </w:rPr>
      </w:pPr>
      <w:r>
        <w:rPr>
          <w:rFonts w:ascii="Times New Roman" w:cs="Times New Roman" w:eastAsia="Times New Roman" w:hAnsi="Times New Roman"/>
          <w:sz w:val="17"/>
          <w:szCs w:val="17"/>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118" w:right="29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all share repurchase activity during the first quarter of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 our cash flows for the three months ended March 31, 2019 and 2018 were as follows: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31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3"/>
        </w:trPr>
        <w:tc>
          <w:tcPr>
            <w:tcW w:w="6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6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$12.4 million during the three months ended March 31, 2019 compared to the same period of the prior year. Our net income plus the non-cash reconciling items shown in our statements of cash flows (primarily depreciation, deferred taxes and stock-based compensation) increased $19.2 million from 2018. This change was primarily due to an increase in gross profit and a lower effective tax rate, each of which was discussed in preceding sections of the MD&amp;A. Additionally, net changes in working capital used cash of $13.3 million during the three months ended March 31, 2019 compared to using cash of $6.6 million during the same period of the prior year. This unfavorable change of $6.7 million between years primarily resulted from an increase in payments for incentive compensation and income taxes, partially offset by the timing of payments of marketing accruals. The increase of $12.4 million in cash provided by operating activities for the three months ended March 31, 2019 was due to the favorability of $19.2 million in net income plus non-cash reconciling items offset by the unfavorable change of $6.7 million in cash used by working capital changes.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Investing activities provided net cash of $0.4 million for the three months ended March 31, 2019. Principal receipts from notes, equipment contracts and other long-term receivables of $5.3 million were partially offset by $4.7 million in capital expenditures and loans to franchisees of $1.4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Financing activities used net cash of $45.5 million for the three months ended March 31, 2019. Cash used in financing activities primarily consisted of repayments of 2018 Variable Funding Notes of $25.0 million, cash dividends paid on our common stock totaling $11.2 million, repurchases of our common stock totaling $10.8 million and repayments of capital lease obligations of $3.5 million. These financing outflows were partially offset by a net cash inflow of approximately $5.0 million related to equity compensation awards</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At March 31, 2019, our cash and cash equivalents totaled $132.9 million, including $58.4 million of cash held for gift card programs and advertising funds. Additionally, our franchisor subsidiaries held a total of approximately $29 million in cash at March 31, 2019, to maintain certain net worth requirements under state franchise disclosure laws.</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Based on our current level of operations, we believe that our cash flow from operations, available cash and available borrowing capacity under our Variable Funding Notes will be adequate to meet our liquidity needs for the next twelve months.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29" w:lineRule="exact"/>
        <w:rPr>
          <w:sz w:val="20"/>
          <w:szCs w:val="20"/>
          <w:color w:val="auto"/>
        </w:rPr>
      </w:pPr>
    </w:p>
    <w:p>
      <w:pPr>
        <w:jc w:val="both"/>
        <w:ind w:right="580"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6320" w:type="dxa"/>
            <w:vAlign w:val="bottom"/>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45"/>
        </w:trPr>
        <w:tc>
          <w:tcPr>
            <w:tcW w:w="6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2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2"/>
                <w:szCs w:val="22"/>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r>
      <w:tr>
        <w:trPr>
          <w:trHeight w:val="27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Receipts from notes and equipment contracts receivable</w:t>
            </w:r>
          </w:p>
        </w:tc>
        <w:tc>
          <w:tcPr>
            <w:tcW w:w="10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2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free cash flow for the three months ended March 31, 2019 compared to the same period of the prior year is primarily due to the increase in cash from operating activities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discussed in Note 3, “Accounting Standards Adopted and Newly Issued Accounting Standards Not Yet Adopted,” in the Notes to Consolidated Financial Statements, we adopted the guidance as codified in ASC 842 with respect to accounting for leases. We adopted this change in accounting principle using the modified retrospective method as of the first day of our first fiscal quarter of 2019. Upon adoption of ASC 842, we recognized operating lease obligations of $453.0 million, which represents the present value of the remaining minimum lease payments, discounted using our incremental borrowing rate. We recognized operating lease right-of-use assets of $395.6 million and also recognized an adjustment to retained earnings upon adoption of $5.0 million, net of tax of $1.7 million, primarily related to an impairment resulting from an unfavorable differential between lease payments to be made and sublease rentals to be received on certain leases. The remaining difference of $50.7 million between the recognized operating lease obligation and right-of-use assets relates to the derecognition of certain liabilities and assets that had been recorded in accordance with U.S. GAAP that had been applied prior to the adoption of ASC 842, primarily $43.3 million of accrued rent payments. Lease-related reserves for lease incentives, closed restaurants and unfavorable leaseholds were also derecognized.The accounting for our existing finance (capital) leases upon adoption of ASC 842 remained substantially unchanged. Adoption of ASC 842 had no significant impact on our cash flows from operations or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obligations for guarantees on certain franchisee lease agreements, as disclosed in Note 12 - Commitments and Contingencies, of Notes to Consolidated Financial Statements of Part I, Item 1 of this Form 10-Q. Other than such guarantees, we did not have any off-balance sheet arrangements, as defined in Item 303(a)(4) of SEC Regulation S-K as of March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contractual obligations table as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2018. During the three months ended March 31, 2019, there were no significant changes in our estimates and critical accounting policies, other than our accounting policy for leases, which changed because of the adoption of ASC 842 as discussed in Note 3, “Accounting Standards Adopted and Newly Issued Accounting Standards Not Yet Adopted,” in the 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plans or programs (b)</w:t>
            </w:r>
          </w:p>
        </w:tc>
        <w:tc>
          <w:tcPr>
            <w:tcW w:w="0" w:type="dxa"/>
            <w:vAlign w:val="bottom"/>
          </w:tcPr>
          <w:p>
            <w:pPr>
              <w:spacing w:after="0"/>
              <w:rPr>
                <w:sz w:val="1"/>
                <w:szCs w:val="1"/>
                <w:color w:val="auto"/>
              </w:rPr>
            </w:pPr>
          </w:p>
        </w:tc>
      </w:tr>
      <w:tr>
        <w:trPr>
          <w:trHeight w:val="340"/>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2018 - January 27, 2019</w:t>
            </w:r>
            <w:r>
              <w:rPr>
                <w:rFonts w:ascii="Times New Roman" w:cs="Times New Roman" w:eastAsia="Times New Roman" w:hAnsi="Times New Roman"/>
                <w:sz w:val="25"/>
                <w:szCs w:val="25"/>
                <w:color w:val="auto"/>
                <w:vertAlign w:val="superscript"/>
              </w:rPr>
              <w:t>(a)</w:t>
            </w:r>
          </w:p>
        </w:tc>
        <w:tc>
          <w:tcPr>
            <w:tcW w:w="15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75,915</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Pr>
          <w:p>
            <w:pPr>
              <w:spacing w:after="0"/>
              <w:rPr>
                <w:sz w:val="24"/>
                <w:szCs w:val="24"/>
                <w:color w:val="auto"/>
              </w:rPr>
            </w:pPr>
          </w:p>
        </w:tc>
        <w:tc>
          <w:tcPr>
            <w:tcW w:w="1700" w:type="dxa"/>
            <w:vAlign w:val="bottom"/>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74,896</w:t>
            </w:r>
          </w:p>
        </w:tc>
        <w:tc>
          <w:tcPr>
            <w:tcW w:w="3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vMerge w:val="restart"/>
          </w:tcPr>
          <w:p>
            <w:pPr>
              <w:jc w:val="right"/>
              <w:ind w:right="18"/>
              <w:spacing w:after="0"/>
              <w:rPr>
                <w:sz w:val="20"/>
                <w:szCs w:val="20"/>
                <w:color w:val="auto"/>
              </w:rPr>
            </w:pPr>
            <w:r>
              <w:rPr>
                <w:rFonts w:ascii="Times New Roman" w:cs="Times New Roman" w:eastAsia="Times New Roman" w:hAnsi="Times New Roman"/>
                <w:sz w:val="18"/>
                <w:szCs w:val="18"/>
                <w:color w:val="auto"/>
              </w:rPr>
              <w:t>33,700,000</w:t>
            </w: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January 28, 2019 - February 24, 2019</w:t>
            </w:r>
            <w:r>
              <w:rPr>
                <w:rFonts w:ascii="Times New Roman" w:cs="Times New Roman" w:eastAsia="Times New Roman" w:hAnsi="Times New Roman"/>
                <w:sz w:val="25"/>
                <w:szCs w:val="25"/>
                <w:color w:val="auto"/>
                <w:vertAlign w:val="superscript"/>
              </w:rPr>
              <w:t>(a)</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Pr>
          <w:p>
            <w:pPr>
              <w:spacing w:after="0"/>
              <w:rPr>
                <w:sz w:val="24"/>
                <w:szCs w:val="24"/>
                <w:color w:val="auto"/>
              </w:rPr>
            </w:pPr>
          </w:p>
        </w:tc>
        <w:tc>
          <w:tcPr>
            <w:tcW w:w="17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37,218</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199,900,000</w:t>
            </w:r>
          </w:p>
        </w:tc>
        <w:tc>
          <w:tcPr>
            <w:tcW w:w="0" w:type="dxa"/>
            <w:vAlign w:val="bottom"/>
          </w:tcPr>
          <w:p>
            <w:pPr>
              <w:spacing w:after="0"/>
              <w:rPr>
                <w:sz w:val="1"/>
                <w:szCs w:val="1"/>
                <w:color w:val="auto"/>
              </w:rPr>
            </w:pPr>
          </w:p>
        </w:tc>
      </w:tr>
      <w:tr>
        <w:trPr>
          <w:trHeight w:val="261"/>
        </w:trPr>
        <w:tc>
          <w:tcPr>
            <w:tcW w:w="4580" w:type="dxa"/>
            <w:vAlign w:val="bottom"/>
            <w:gridSpan w:val="2"/>
          </w:tcPr>
          <w:p>
            <w:pPr>
              <w:ind w:left="40"/>
              <w:spacing w:after="0" w:line="262" w:lineRule="exact"/>
              <w:rPr>
                <w:sz w:val="20"/>
                <w:szCs w:val="20"/>
                <w:color w:val="auto"/>
              </w:rPr>
            </w:pPr>
            <w:r>
              <w:rPr>
                <w:rFonts w:ascii="Times New Roman" w:cs="Times New Roman" w:eastAsia="Times New Roman" w:hAnsi="Times New Roman"/>
                <w:sz w:val="18"/>
                <w:szCs w:val="18"/>
                <w:color w:val="auto"/>
              </w:rPr>
              <w:t>February 25, 2019 - March 31, 2019</w:t>
            </w:r>
            <w:r>
              <w:rPr>
                <w:rFonts w:ascii="Times New Roman" w:cs="Times New Roman" w:eastAsia="Times New Roman" w:hAnsi="Times New Roman"/>
                <w:sz w:val="25"/>
                <w:szCs w:val="25"/>
                <w:color w:val="auto"/>
                <w:vertAlign w:val="superscript"/>
              </w:rPr>
              <w:t>(a)</w:t>
            </w:r>
          </w:p>
        </w:tc>
        <w:tc>
          <w:tcPr>
            <w:tcW w:w="1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57,334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39,202</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196,400,000</w:t>
            </w: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170,540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151,316</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196,400,000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60" w:right="200" w:hanging="252"/>
        <w:spacing w:after="0" w:line="258" w:lineRule="auto"/>
        <w:tabs>
          <w:tab w:leader="none" w:pos="188"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These amounts include 1,019 shares owned and tendered by employees at an average price of $78.64 per share during the fiscal month ended January 27, 2019, 73 shares owned and tendered by employees at an average price of $87.40 per share during the fiscal month ended February 24, 2019 and 18,132 shares owned and tendered by employees at an average price of $95.46 per share during the fiscal month ended March 31, 2019, to satisfy tax withholding obligations arising upon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81" w:lineRule="exact"/>
        <w:rPr>
          <w:rFonts w:ascii="Times New Roman" w:cs="Times New Roman" w:eastAsia="Times New Roman" w:hAnsi="Times New Roman"/>
          <w:sz w:val="24"/>
          <w:szCs w:val="24"/>
          <w:color w:val="auto"/>
          <w:vertAlign w:val="superscript"/>
        </w:rPr>
      </w:pPr>
    </w:p>
    <w:p>
      <w:pPr>
        <w:ind w:left="260" w:right="40" w:hanging="252"/>
        <w:spacing w:after="0" w:line="247" w:lineRule="auto"/>
        <w:tabs>
          <w:tab w:leader="none" w:pos="285"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 February 2019, the Company’s Board of Directors approved the 2019 Repurchase Program authorizing the Company to repurchase up to $200 million of the Company's common stock. In connection with the approval of the 2019 Repurchase Program, the Board of Directors terminated the 2015 Repurchase Program, which authorized the Company to repurchase up to $150 million of the Company's common stock. The 2019 Repurchase Program, as approved by the Board of Directors, does not require the repurchase of a specific number of shares and can be terminated at any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*10.1</w:t>
            </w:r>
          </w:p>
        </w:tc>
        <w:tc>
          <w:tcPr>
            <w:tcW w:w="9860" w:type="dxa"/>
            <w:vAlign w:val="bottom"/>
            <w:gridSpan w:val="8"/>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Dine Brands Global, Inc. 2016 Stock Incentive Plan Performance Award Agreement - Employees - Double Metric - Cycle 10</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30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10.2</w:t>
            </w:r>
          </w:p>
        </w:tc>
        <w:tc>
          <w:tcPr>
            <w:tcW w:w="1080" w:type="dxa"/>
            <w:vAlign w:val="bottom"/>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98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Separation Agreement and General Release between Greggory H. Kalvin and Dine Brands Global, Inc. dated February 20, 2019 (Exhibit</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7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Registrant's Form 8-K filed on February 21, 2019 is incorporated herein by reference).</w:t>
              </w:r>
            </w:hyperlink>
          </w:p>
        </w:tc>
        <w:tc>
          <w:tcPr>
            <w:tcW w:w="3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8"/>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Certification of Chief Executive Officer pursuant to Rule 13a-14(a) of the Securities Exchange Act of 1934, as amended.</w:t>
              </w:r>
            </w:hyperlink>
          </w:p>
        </w:tc>
        <w:tc>
          <w:tcPr>
            <w:tcW w:w="0" w:type="dxa"/>
            <w:vAlign w:val="bottom"/>
          </w:tcPr>
          <w:p>
            <w:pPr>
              <w:spacing w:after="0"/>
              <w:rPr>
                <w:sz w:val="1"/>
                <w:szCs w:val="1"/>
                <w:color w:val="auto"/>
              </w:rPr>
            </w:pPr>
          </w:p>
        </w:tc>
      </w:tr>
      <w:tr>
        <w:trPr>
          <w:trHeight w:val="25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*31.2</w:t>
            </w:r>
          </w:p>
        </w:tc>
        <w:tc>
          <w:tcPr>
            <w:tcW w:w="86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45">
              <w:r>
                <w:rPr>
                  <w:rFonts w:ascii="Times New Roman" w:cs="Times New Roman" w:eastAsia="Times New Roman" w:hAnsi="Times New Roman"/>
                  <w:sz w:val="18"/>
                  <w:szCs w:val="18"/>
                  <w:color w:val="0000FF"/>
                  <w:w w:val="99"/>
                </w:rPr>
                <w:t>Certification of Chief Financial Officer pursuant to Rule 13a-14(a) of the Securities Exchange Act of 1934, as amended.</w:t>
              </w:r>
            </w:hyperlink>
          </w:p>
        </w:tc>
        <w:tc>
          <w:tcPr>
            <w:tcW w:w="40" w:type="dxa"/>
            <w:vAlign w:val="bottom"/>
            <w:tcBorders>
              <w:top w:val="single" w:sz="8" w:color="0000FF"/>
            </w:tcBorders>
          </w:tcPr>
          <w:p>
            <w:pPr>
              <w:spacing w:after="0"/>
              <w:rPr>
                <w:sz w:val="21"/>
                <w:szCs w:val="21"/>
                <w:color w:val="auto"/>
              </w:rPr>
            </w:pPr>
          </w:p>
        </w:tc>
        <w:tc>
          <w:tcPr>
            <w:tcW w:w="1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46">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hyperlink>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860" w:type="dxa"/>
            <w:vAlign w:val="bottom"/>
            <w:gridSpan w:val="8"/>
          </w:tcPr>
          <w:p>
            <w:pPr>
              <w:spacing w:after="0" w:line="196"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gridSpan w:val="8"/>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68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Act of 2002.**</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7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w w:val="96"/>
              </w:rPr>
              <w:t>101.SCH</w:t>
            </w: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0" w:type="dxa"/>
            <w:vAlign w:val="bottom"/>
          </w:tcPr>
          <w:p>
            <w:pPr>
              <w:spacing w:after="0"/>
              <w:rPr>
                <w:sz w:val="1"/>
                <w:szCs w:val="1"/>
                <w:color w:val="auto"/>
              </w:rPr>
            </w:pPr>
          </w:p>
        </w:tc>
      </w:tr>
      <w:tr>
        <w:trPr>
          <w:trHeight w:val="27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w w:val="94"/>
              </w:rPr>
              <w:t>101.CAL</w:t>
            </w: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0" w:type="dxa"/>
            <w:vAlign w:val="bottom"/>
          </w:tcPr>
          <w:p>
            <w:pPr>
              <w:spacing w:after="0"/>
              <w:rPr>
                <w:sz w:val="1"/>
                <w:szCs w:val="1"/>
                <w:color w:val="auto"/>
              </w:rPr>
            </w:pPr>
          </w:p>
        </w:tc>
      </w:tr>
      <w:tr>
        <w:trPr>
          <w:trHeight w:val="27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w w:val="97"/>
              </w:rPr>
              <w:t>101.DEF</w:t>
            </w: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r>
        <w:trPr>
          <w:trHeight w:val="27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w w:val="94"/>
              </w:rPr>
              <w:t>101.LAB</w:t>
            </w: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c>
          <w:tcPr>
            <w:tcW w:w="0" w:type="dxa"/>
            <w:vAlign w:val="bottom"/>
          </w:tcPr>
          <w:p>
            <w:pPr>
              <w:spacing w:after="0"/>
              <w:rPr>
                <w:sz w:val="1"/>
                <w:szCs w:val="1"/>
                <w:color w:val="auto"/>
              </w:rPr>
            </w:pPr>
          </w:p>
        </w:tc>
      </w:tr>
      <w:tr>
        <w:trPr>
          <w:trHeight w:val="270"/>
        </w:trPr>
        <w:tc>
          <w:tcPr>
            <w:tcW w:w="106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w w:val="99"/>
              </w:rPr>
              <w:t>101.PRE</w:t>
            </w: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500" w:right="80" w:hanging="492"/>
        <w:spacing w:after="0" w:line="250"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hereto are deemed not filed or part of a registration statement or</w:t>
      </w:r>
    </w:p>
    <w:p>
      <w:pPr>
        <w:spacing w:after="0" w:line="9"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85" w:lineRule="exact"/>
        <w:rPr>
          <w:sz w:val="20"/>
          <w:szCs w:val="20"/>
          <w:color w:val="auto"/>
        </w:rPr>
      </w:pPr>
    </w:p>
    <w:p>
      <w:pPr>
        <w:ind w:left="740"/>
        <w:spacing w:after="0"/>
        <w:tabs>
          <w:tab w:leader="none" w:pos="5900" w:val="left"/>
          <w:tab w:leader="none" w:pos="7540" w:val="left"/>
        </w:tabs>
        <w:rPr>
          <w:sz w:val="20"/>
          <w:szCs w:val="20"/>
          <w:color w:val="auto"/>
        </w:rPr>
      </w:pPr>
      <w:r>
        <w:rPr>
          <w:rFonts w:ascii="Times New Roman" w:cs="Times New Roman" w:eastAsia="Times New Roman" w:hAnsi="Times New Roman"/>
          <w:sz w:val="18"/>
          <w:szCs w:val="18"/>
          <w:color w:val="auto"/>
        </w:rPr>
        <w:t>Dated: 1st day of May,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Stephen P. Joyce</w:t>
      </w:r>
    </w:p>
    <w:p>
      <w:pPr>
        <w:spacing w:after="0" w:line="2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ind w:left="740"/>
        <w:spacing w:after="0"/>
        <w:tabs>
          <w:tab w:leader="none" w:pos="5900" w:val="left"/>
          <w:tab w:leader="none" w:pos="7540" w:val="left"/>
        </w:tabs>
        <w:rPr>
          <w:sz w:val="20"/>
          <w:szCs w:val="20"/>
          <w:color w:val="auto"/>
        </w:rPr>
      </w:pPr>
      <w:r>
        <w:rPr>
          <w:rFonts w:ascii="Times New Roman" w:cs="Times New Roman" w:eastAsia="Times New Roman" w:hAnsi="Times New Roman"/>
          <w:sz w:val="18"/>
          <w:szCs w:val="18"/>
          <w:color w:val="auto"/>
        </w:rPr>
        <w:t>Dated: 1st day of May,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Thomas H. Song</w:t>
      </w:r>
    </w:p>
    <w:p>
      <w:pPr>
        <w:spacing w:after="0" w:line="2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6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240" w:top="118" w:right="7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Performance Award Agreement – Employees – Double Metric – Cycle 10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THIS PERFORMANCE AWARD AGREEMENT </w:t>
      </w:r>
      <w:r>
        <w:rPr>
          <w:rFonts w:ascii="Times New Roman" w:cs="Times New Roman" w:eastAsia="Times New Roman" w:hAnsi="Times New Roman"/>
          <w:sz w:val="21"/>
          <w:szCs w:val="21"/>
          <w:color w:val="auto"/>
        </w:rPr>
        <w:t>(the “Agreement”) is entered into as of ___________, by and between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DINE BRANDS GLOBAL, INC. </w:t>
      </w:r>
      <w:r>
        <w:rPr>
          <w:rFonts w:ascii="Times New Roman" w:cs="Times New Roman" w:eastAsia="Times New Roman" w:hAnsi="Times New Roman"/>
          <w:sz w:val="22"/>
          <w:szCs w:val="22"/>
          <w:color w:val="auto"/>
        </w:rPr>
        <w:t>(formerly, DineEquity, Inc.), a Delaware corporation (the “Company”), and ___________, 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of the Company (the “Participant”).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capitalized terms not defined herein shall have their respective meanings set forth in the Plan.</w:t>
      </w: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foregoing and of the mutual covenants set forth herein and other good and valuable consideration, the parties hereto agree as follows:</w:t>
      </w:r>
    </w:p>
    <w:p>
      <w:pPr>
        <w:spacing w:after="0" w:line="158" w:lineRule="exact"/>
        <w:rPr>
          <w:sz w:val="20"/>
          <w:szCs w:val="20"/>
          <w:color w:val="auto"/>
        </w:rPr>
      </w:pPr>
    </w:p>
    <w:p>
      <w:pPr>
        <w:ind w:right="80" w:firstLine="656"/>
        <w:spacing w:after="0" w:line="249" w:lineRule="auto"/>
        <w:tabs>
          <w:tab w:leader="none" w:pos="1459"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 OF PERFORMANCE UNITS</w:t>
      </w:r>
      <w:r>
        <w:rPr>
          <w:rFonts w:ascii="Times New Roman" w:cs="Times New Roman" w:eastAsia="Times New Roman" w:hAnsi="Times New Roman"/>
          <w:sz w:val="22"/>
          <w:szCs w:val="22"/>
          <w:color w:val="auto"/>
        </w:rPr>
        <w:t xml:space="preserve">. Subject to the attainment of the performance goals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Participant is entitled to that number of performance units (“Performance Units”)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subject to the terms and conditions of this Agreement. Each Performance Unit shall have a value of $1.00. At the end of the three-year performance period beginning on [______] and ending on [______] (the “Performance Period”), the Committee shall determine the total number of Performance Units payable pursuant to the Award in accordance with the two Performance Unit matrices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the Committee’s determination of the applicable performance levels.</w:t>
      </w:r>
    </w:p>
    <w:p>
      <w:pPr>
        <w:spacing w:after="0" w:line="180" w:lineRule="exact"/>
        <w:rPr>
          <w:rFonts w:ascii="Times New Roman" w:cs="Times New Roman" w:eastAsia="Times New Roman" w:hAnsi="Times New Roman"/>
          <w:sz w:val="22"/>
          <w:szCs w:val="22"/>
          <w:color w:val="010000"/>
        </w:rPr>
      </w:pPr>
    </w:p>
    <w:p>
      <w:pPr>
        <w:ind w:left="1000" w:hanging="344"/>
        <w:spacing w:after="0"/>
        <w:tabs>
          <w:tab w:leader="none" w:pos="1000"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AND SETTLEMENT OF PERFORMANCE UNITS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firstLine="656"/>
        <w:spacing w:after="0" w:line="253" w:lineRule="auto"/>
        <w:tabs>
          <w:tab w:leader="none" w:pos="1122"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Service Vesting</w:t>
      </w:r>
      <w:r>
        <w:rPr>
          <w:rFonts w:ascii="Times New Roman" w:cs="Times New Roman" w:eastAsia="Times New Roman" w:hAnsi="Times New Roman"/>
          <w:sz w:val="22"/>
          <w:szCs w:val="22"/>
          <w:color w:val="auto"/>
        </w:rPr>
        <w:t xml:space="preserve">. Subject to the Participant’s continuous employment with the Company through the last day of the Performance Period and subject to the certification by the Committee of the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79" w:lineRule="exact"/>
        <w:rPr>
          <w:rFonts w:ascii="Times New Roman" w:cs="Times New Roman" w:eastAsia="Times New Roman" w:hAnsi="Times New Roman"/>
          <w:sz w:val="22"/>
          <w:szCs w:val="22"/>
          <w:color w:val="010000"/>
        </w:rPr>
      </w:pPr>
    </w:p>
    <w:p>
      <w:pPr>
        <w:ind w:right="140" w:firstLine="656"/>
        <w:spacing w:after="0" w:line="253" w:lineRule="auto"/>
        <w:tabs>
          <w:tab w:leader="none" w:pos="1134"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xml:space="preserve">. If the Participant’s employment with the Company terminates due to Disability or death, the Performance Units shall become immediately vested on a prorated basis, based on the portion of the Performance Period that has elapsed prior to the date of termination, determined in accordance with the Company’s administrative practices, and thereafter be considered Vested Units; provided that the number of Performance Units earned shall be determined at the end of the Performance Period based on the actual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right="60" w:firstLine="656"/>
        <w:spacing w:after="0" w:line="262" w:lineRule="auto"/>
        <w:tabs>
          <w:tab w:leader="none" w:pos="1122"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Upon the occurrence of a Change in Control, the Participant shall, with respect to all outstanding, unvested Performance Units held by the Participant immediately prior to the Change in Control, be deemed to have satisfied the performance criteria, as set forth in Exhibit A, based on actual performance through the date of the Change in Control, and following the Change in Control the Performance Units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Units shall become immediately and fully vested and thereafter be considered Vested Units, and shall be paid to the Participant not later than thirty (30) days after the date of such termination.</w:t>
      </w:r>
    </w:p>
    <w:p>
      <w:pPr>
        <w:spacing w:after="0" w:line="173" w:lineRule="exact"/>
        <w:rPr>
          <w:rFonts w:ascii="Times New Roman" w:cs="Times New Roman" w:eastAsia="Times New Roman" w:hAnsi="Times New Roman"/>
          <w:sz w:val="21"/>
          <w:szCs w:val="21"/>
          <w:color w:val="010000"/>
        </w:rPr>
      </w:pPr>
    </w:p>
    <w:p>
      <w:pPr>
        <w:jc w:val="both"/>
        <w:ind w:right="220" w:firstLine="656"/>
        <w:spacing w:after="0" w:line="257" w:lineRule="auto"/>
        <w:tabs>
          <w:tab w:leader="none" w:pos="1134"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If the Participant’s employment with or service to the Company terminates by reason of Retirement, the Performance Units shall become immediately fully vested and thereafter be considered Vested Units; provided that the number of Performance Units earned shall be determined at the end of the Performance Period based on the actual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ind w:right="380" w:firstLine="656"/>
        <w:spacing w:after="0" w:line="263" w:lineRule="auto"/>
        <w:tabs>
          <w:tab w:leader="none" w:pos="1122"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Unvested Units</w:t>
      </w:r>
      <w:r>
        <w:rPr>
          <w:rFonts w:ascii="Times New Roman" w:cs="Times New Roman" w:eastAsia="Times New Roman" w:hAnsi="Times New Roman"/>
          <w:sz w:val="22"/>
          <w:szCs w:val="22"/>
          <w:color w:val="auto"/>
        </w:rPr>
        <w:t>. Except as set forth in Sections 2(b), 2(c) and 2(d), upon the termination of the Participant’s employment, any then Unvested Units held by the Participant shall be forfeited and canceled as of the date of such termination.</w:t>
      </w:r>
    </w:p>
    <w:p>
      <w:pPr>
        <w:sectPr>
          <w:pgSz w:w="11900" w:h="16838" w:orient="portrait"/>
          <w:cols w:equalWidth="0" w:num="1">
            <w:col w:w="11420"/>
          </w:cols>
          <w:pgMar w:left="240" w:top="122" w:right="239" w:bottom="0" w:gutter="0" w:footer="0" w:header="0"/>
        </w:sectPr>
      </w:pPr>
    </w:p>
    <w:bookmarkStart w:id="39" w:name="page40"/>
    <w:bookmarkEnd w:id="39"/>
    <w:p>
      <w:pPr>
        <w:ind w:left="-656" w:right="280" w:firstLine="656"/>
        <w:spacing w:after="0" w:line="263" w:lineRule="auto"/>
        <w:tabs>
          <w:tab w:leader="none" w:pos="442"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Settlement of Vested Units</w:t>
      </w:r>
      <w:r>
        <w:rPr>
          <w:rFonts w:ascii="Times New Roman" w:cs="Times New Roman" w:eastAsia="Times New Roman" w:hAnsi="Times New Roman"/>
          <w:sz w:val="22"/>
          <w:szCs w:val="22"/>
          <w:color w:val="auto"/>
        </w:rPr>
        <w:t>. The Vested Units shall be settled by the delivery of a cash payment equal to $1.00 times the number of Vested Units to the Participant or a designated brokerage firm within 2½ months after the last day of the Performance Period or, if earlier, in accordance with Section 2(b).</w:t>
      </w:r>
    </w:p>
    <w:p>
      <w:pPr>
        <w:spacing w:after="0" w:line="168" w:lineRule="exact"/>
        <w:rPr>
          <w:sz w:val="20"/>
          <w:szCs w:val="20"/>
          <w:color w:val="auto"/>
        </w:rPr>
      </w:pPr>
    </w:p>
    <w:p>
      <w:pPr>
        <w:ind w:left="-656" w:right="60" w:firstLine="656"/>
        <w:spacing w:after="0" w:line="247" w:lineRule="auto"/>
        <w:tabs>
          <w:tab w:leader="none" w:pos="3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92" w:lineRule="exact"/>
        <w:rPr>
          <w:rFonts w:ascii="Times New Roman" w:cs="Times New Roman" w:eastAsia="Times New Roman" w:hAnsi="Times New Roman"/>
          <w:sz w:val="22"/>
          <w:szCs w:val="22"/>
          <w:color w:val="010000"/>
        </w:rPr>
      </w:pPr>
    </w:p>
    <w:p>
      <w:pPr>
        <w:ind w:left="-656" w:firstLine="656"/>
        <w:spacing w:after="0" w:line="246" w:lineRule="auto"/>
        <w:tabs>
          <w:tab w:leader="none" w:pos="3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Times New Roman" w:cs="Times New Roman" w:eastAsia="Times New Roman" w:hAnsi="Times New Roman"/>
          <w:sz w:val="22"/>
          <w:szCs w:val="22"/>
          <w:color w:val="010000"/>
        </w:rPr>
      </w:pPr>
    </w:p>
    <w:p>
      <w:pPr>
        <w:ind w:left="-656" w:right="40" w:firstLine="656"/>
        <w:spacing w:after="0" w:line="253" w:lineRule="auto"/>
        <w:tabs>
          <w:tab w:leader="none" w:pos="3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79" w:lineRule="exact"/>
        <w:rPr>
          <w:rFonts w:ascii="Times New Roman" w:cs="Times New Roman" w:eastAsia="Times New Roman" w:hAnsi="Times New Roman"/>
          <w:sz w:val="22"/>
          <w:szCs w:val="22"/>
          <w:color w:val="010000"/>
        </w:rPr>
      </w:pPr>
    </w:p>
    <w:p>
      <w:pPr>
        <w:ind w:left="-656" w:right="120" w:firstLine="656"/>
        <w:spacing w:after="0" w:line="284" w:lineRule="auto"/>
        <w:tabs>
          <w:tab w:leader="none" w:pos="3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This Award shall not entitle the Participant to any privileges of ownership of shares of Common Stock.</w:t>
      </w:r>
    </w:p>
    <w:p>
      <w:pPr>
        <w:spacing w:after="0" w:line="144" w:lineRule="exact"/>
        <w:rPr>
          <w:rFonts w:ascii="Times New Roman" w:cs="Times New Roman" w:eastAsia="Times New Roman" w:hAnsi="Times New Roman"/>
          <w:sz w:val="22"/>
          <w:szCs w:val="22"/>
          <w:color w:val="010000"/>
        </w:rPr>
      </w:pPr>
    </w:p>
    <w:p>
      <w:pPr>
        <w:ind w:left="-656" w:right="240" w:firstLine="656"/>
        <w:spacing w:after="0" w:line="284" w:lineRule="auto"/>
        <w:tabs>
          <w:tab w:leader="none" w:pos="3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FAILURE TO ENFORCE NOT A WAIVER</w:t>
      </w:r>
      <w:r>
        <w:rPr>
          <w:rFonts w:ascii="Times New Roman" w:cs="Times New Roman" w:eastAsia="Times New Roman" w:hAnsi="Times New Roman"/>
          <w:sz w:val="22"/>
          <w:szCs w:val="22"/>
          <w:color w:val="auto"/>
        </w:rPr>
        <w:t>. The failure of the Company to enforce at any time any provision of this Agreement shall in no way be construed to be a waiver of such provision or of any other provision hereof.</w:t>
      </w:r>
    </w:p>
    <w:p>
      <w:pPr>
        <w:spacing w:after="0" w:line="144" w:lineRule="exact"/>
        <w:rPr>
          <w:rFonts w:ascii="Times New Roman" w:cs="Times New Roman" w:eastAsia="Times New Roman" w:hAnsi="Times New Roman"/>
          <w:sz w:val="22"/>
          <w:szCs w:val="22"/>
          <w:color w:val="010000"/>
        </w:rPr>
      </w:pPr>
    </w:p>
    <w:p>
      <w:pPr>
        <w:ind w:left="-656" w:right="60" w:firstLine="656"/>
        <w:spacing w:after="0" w:line="309" w:lineRule="auto"/>
        <w:tabs>
          <w:tab w:leader="none" w:pos="334"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120" w:lineRule="exact"/>
        <w:rPr>
          <w:rFonts w:ascii="Times New Roman" w:cs="Times New Roman" w:eastAsia="Times New Roman" w:hAnsi="Times New Roman"/>
          <w:sz w:val="21"/>
          <w:szCs w:val="21"/>
          <w:color w:val="010000"/>
        </w:rPr>
      </w:pPr>
    </w:p>
    <w:p>
      <w:pPr>
        <w:ind w:left="-656" w:right="320" w:firstLine="656"/>
        <w:spacing w:after="0" w:line="284" w:lineRule="auto"/>
        <w:tabs>
          <w:tab w:leader="none" w:pos="3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The Plan is hereby incorporated by reference and made a part hereof, and the Award and this Agreement are subject to all terms and conditions of the Plan.</w:t>
      </w:r>
    </w:p>
    <w:p>
      <w:pPr>
        <w:spacing w:after="0" w:line="144" w:lineRule="exact"/>
        <w:rPr>
          <w:rFonts w:ascii="Times New Roman" w:cs="Times New Roman" w:eastAsia="Times New Roman" w:hAnsi="Times New Roman"/>
          <w:sz w:val="22"/>
          <w:szCs w:val="22"/>
          <w:color w:val="010000"/>
        </w:rPr>
      </w:pPr>
    </w:p>
    <w:p>
      <w:pPr>
        <w:ind w:left="-656" w:right="200" w:firstLine="656"/>
        <w:spacing w:after="0" w:line="253" w:lineRule="auto"/>
        <w:tabs>
          <w:tab w:leader="none" w:pos="442"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9" w:lineRule="exact"/>
        <w:rPr>
          <w:rFonts w:ascii="Times New Roman" w:cs="Times New Roman" w:eastAsia="Times New Roman" w:hAnsi="Times New Roman"/>
          <w:sz w:val="22"/>
          <w:szCs w:val="22"/>
          <w:color w:val="010000"/>
        </w:rPr>
      </w:pPr>
    </w:p>
    <w:p>
      <w:pPr>
        <w:ind w:left="-656" w:right="40" w:firstLine="656"/>
        <w:spacing w:after="0" w:line="263" w:lineRule="auto"/>
        <w:tabs>
          <w:tab w:leader="none" w:pos="43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xml:space="preserve">. The Board may amend the Plan as it shall deem advisable, subject to any requirement of stockholder approval required by applicable law, rule or regulation, including Section 162(m)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may impair the rights of the Participant without the consent of the Participant.</w:t>
      </w:r>
    </w:p>
    <w:p>
      <w:pPr>
        <w:spacing w:after="0" w:line="167" w:lineRule="exact"/>
        <w:rPr>
          <w:rFonts w:ascii="Times New Roman" w:cs="Times New Roman" w:eastAsia="Times New Roman" w:hAnsi="Times New Roman"/>
          <w:sz w:val="22"/>
          <w:szCs w:val="22"/>
          <w:color w:val="010000"/>
        </w:rPr>
      </w:pPr>
    </w:p>
    <w:p>
      <w:pPr>
        <w:ind w:left="-656" w:right="680" w:firstLine="656"/>
        <w:spacing w:after="0" w:line="263" w:lineRule="auto"/>
        <w:tabs>
          <w:tab w:leader="none" w:pos="442"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ectPr>
          <w:pgSz w:w="11900" w:h="16838" w:orient="portrait"/>
          <w:cols w:equalWidth="0" w:num="1">
            <w:col w:w="10744"/>
          </w:cols>
          <w:pgMar w:left="896" w:top="126" w:right="259" w:bottom="190" w:gutter="0" w:footer="0" w:header="0"/>
        </w:sectPr>
      </w:pPr>
    </w:p>
    <w:bookmarkStart w:id="40" w:name="page41"/>
    <w:bookmarkEnd w:id="40"/>
    <w:p>
      <w:pPr>
        <w:ind w:right="20" w:firstLine="656"/>
        <w:spacing w:after="0" w:line="246" w:lineRule="auto"/>
        <w:tabs>
          <w:tab w:leader="none" w:pos="1098"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89" w:lineRule="exact"/>
        <w:rPr>
          <w:rFonts w:ascii="Times New Roman" w:cs="Times New Roman" w:eastAsia="Times New Roman" w:hAnsi="Times New Roman"/>
          <w:sz w:val="22"/>
          <w:szCs w:val="22"/>
          <w:color w:val="010000"/>
        </w:rPr>
      </w:pPr>
    </w:p>
    <w:p>
      <w:pPr>
        <w:ind w:right="120" w:firstLine="656"/>
        <w:spacing w:after="0" w:line="284" w:lineRule="auto"/>
        <w:tabs>
          <w:tab w:leader="none" w:pos="1098"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shall constitute one and the same instrument.</w:t>
      </w:r>
    </w:p>
    <w:p>
      <w:pPr>
        <w:spacing w:after="0" w:line="144" w:lineRule="exact"/>
        <w:rPr>
          <w:rFonts w:ascii="Times New Roman" w:cs="Times New Roman" w:eastAsia="Times New Roman" w:hAnsi="Times New Roman"/>
          <w:sz w:val="22"/>
          <w:szCs w:val="22"/>
          <w:color w:val="010000"/>
        </w:rPr>
      </w:pPr>
    </w:p>
    <w:p>
      <w:pPr>
        <w:ind w:right="420" w:firstLine="656"/>
        <w:spacing w:after="0" w:line="253" w:lineRule="auto"/>
        <w:tabs>
          <w:tab w:leader="none" w:pos="1098"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AWARDS SUBJECT TO CLAWBACK</w:t>
      </w:r>
      <w:r>
        <w:rPr>
          <w:rFonts w:ascii="Times New Roman" w:cs="Times New Roman" w:eastAsia="Times New Roman" w:hAnsi="Times New Roman"/>
          <w:sz w:val="22"/>
          <w:szCs w:val="22"/>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9" w:lineRule="exact"/>
        <w:rPr>
          <w:rFonts w:ascii="Times New Roman" w:cs="Times New Roman" w:eastAsia="Times New Roman" w:hAnsi="Times New Roman"/>
          <w:sz w:val="22"/>
          <w:szCs w:val="22"/>
          <w:color w:val="010000"/>
        </w:rPr>
      </w:pPr>
    </w:p>
    <w:p>
      <w:pPr>
        <w:ind w:left="1100" w:hanging="444"/>
        <w:spacing w:after="0"/>
        <w:tabs>
          <w:tab w:leader="none" w:pos="1100"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meanings set forth below:</w:t>
      </w:r>
    </w:p>
    <w:p>
      <w:pPr>
        <w:spacing w:after="0" w:line="233" w:lineRule="exact"/>
        <w:rPr>
          <w:sz w:val="20"/>
          <w:szCs w:val="20"/>
          <w:color w:val="auto"/>
        </w:rPr>
      </w:pPr>
    </w:p>
    <w:p>
      <w:pPr>
        <w:ind w:right="20" w:firstLine="656"/>
        <w:spacing w:after="0" w:line="251" w:lineRule="auto"/>
        <w:tabs>
          <w:tab w:leader="none" w:pos="1122"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1" w:lineRule="exact"/>
        <w:rPr>
          <w:rFonts w:ascii="Times New Roman" w:cs="Times New Roman" w:eastAsia="Times New Roman" w:hAnsi="Times New Roman"/>
          <w:sz w:val="22"/>
          <w:szCs w:val="22"/>
          <w:color w:val="010000"/>
        </w:rPr>
      </w:pPr>
    </w:p>
    <w:p>
      <w:pPr>
        <w:ind w:right="240" w:firstLine="656"/>
        <w:spacing w:after="0" w:line="257" w:lineRule="auto"/>
        <w:tabs>
          <w:tab w:leader="none" w:pos="1134"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72" w:lineRule="exact"/>
        <w:rPr>
          <w:rFonts w:ascii="Times New Roman" w:cs="Times New Roman" w:eastAsia="Times New Roman" w:hAnsi="Times New Roman"/>
          <w:sz w:val="22"/>
          <w:szCs w:val="22"/>
          <w:color w:val="010000"/>
        </w:rPr>
      </w:pPr>
    </w:p>
    <w:p>
      <w:pPr>
        <w:ind w:firstLine="656"/>
        <w:spacing w:after="0" w:line="262" w:lineRule="auto"/>
        <w:tabs>
          <w:tab w:leader="none" w:pos="1122" w:val="left"/>
        </w:tabs>
        <w:numPr>
          <w:ilvl w:val="1"/>
          <w:numId w:val="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2" w:lineRule="exact"/>
        <w:rPr>
          <w:rFonts w:ascii="Times New Roman" w:cs="Times New Roman" w:eastAsia="Times New Roman" w:hAnsi="Times New Roman"/>
          <w:sz w:val="21"/>
          <w:szCs w:val="21"/>
          <w:color w:val="010000"/>
        </w:rPr>
      </w:pPr>
    </w:p>
    <w:p>
      <w:pPr>
        <w:ind w:right="40" w:firstLine="8"/>
        <w:spacing w:after="0" w:line="244" w:lineRule="auto"/>
        <w:tabs>
          <w:tab w:leader="none" w:pos="3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Performance Award Agreement on the day and year first above written.</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411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Chief Executive Officer</w:t>
      </w:r>
    </w:p>
    <w:p>
      <w:pPr>
        <w:sectPr>
          <w:pgSz w:w="11900" w:h="16838" w:orient="portrait"/>
          <w:cols w:equalWidth="0" w:num="1">
            <w:col w:w="11420"/>
          </w:cols>
          <w:pgMar w:left="240" w:top="126" w:right="239" w:bottom="0" w:gutter="0" w:footer="0" w:header="0"/>
        </w:sectPr>
      </w:pPr>
    </w:p>
    <w:bookmarkStart w:id="41" w:name="page42"/>
    <w:bookmarkEnd w:id="41"/>
    <w:p>
      <w:pPr>
        <w:ind w:left="3900"/>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322580</wp:posOffset>
            </wp:positionV>
            <wp:extent cx="548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City/State/Zip</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Number of Performance Units (the “Target Award”): ________</w:t>
      </w:r>
    </w:p>
    <w:p>
      <w:pPr>
        <w:spacing w:after="0" w:line="260" w:lineRule="exact"/>
        <w:rPr>
          <w:sz w:val="20"/>
          <w:szCs w:val="20"/>
          <w:color w:val="auto"/>
        </w:rPr>
      </w:pPr>
    </w:p>
    <w:p>
      <w:pPr>
        <w:ind w:left="660" w:right="280" w:hanging="328"/>
        <w:spacing w:after="0" w:line="257"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Fifty percent (50%) of the Performance Units shall be earned based on Average Annual AEPS Growth and fifty percent (50%) of the Performance Units shall be earned based on TSR Performance, in accordance with the matrices below.</w:t>
      </w:r>
    </w:p>
    <w:p>
      <w:pPr>
        <w:spacing w:after="0" w:line="173" w:lineRule="exact"/>
        <w:rPr>
          <w:sz w:val="20"/>
          <w:szCs w:val="20"/>
          <w:color w:val="auto"/>
        </w:rPr>
      </w:pPr>
    </w:p>
    <w:p>
      <w:pPr>
        <w:ind w:left="660" w:right="320" w:hanging="328"/>
        <w:spacing w:after="0" w:line="271"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Average Annual AEPS Growth</w:t>
      </w:r>
      <w:r>
        <w:rPr>
          <w:rFonts w:ascii="Times New Roman" w:cs="Times New Roman" w:eastAsia="Times New Roman" w:hAnsi="Times New Roman"/>
          <w:sz w:val="22"/>
          <w:szCs w:val="22"/>
          <w:color w:val="auto"/>
        </w:rPr>
        <w:t>. The target number of Performance Units subject to attainment of Average Annual AEPS Growth goals shall be fifty percent (50%) of the Target Award (the “Target AEPS Growth Units”).</w:t>
      </w: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Average Annual AEPS Growth</w:t>
            </w:r>
          </w:p>
        </w:tc>
        <w:tc>
          <w:tcPr>
            <w:tcW w:w="6000" w:type="dxa"/>
            <w:vAlign w:val="bottom"/>
          </w:tcPr>
          <w:p>
            <w:pPr>
              <w:ind w:left="1420"/>
              <w:spacing w:after="0"/>
              <w:rPr>
                <w:sz w:val="20"/>
                <w:szCs w:val="20"/>
                <w:color w:val="auto"/>
              </w:rPr>
            </w:pPr>
            <w:r>
              <w:rPr>
                <w:rFonts w:ascii="Times New Roman" w:cs="Times New Roman" w:eastAsia="Times New Roman" w:hAnsi="Times New Roman"/>
                <w:sz w:val="22"/>
                <w:szCs w:val="22"/>
                <w:b w:val="1"/>
                <w:bCs w:val="1"/>
                <w:color w:val="auto"/>
                <w:w w:val="97"/>
              </w:rPr>
              <w:t>Percentage of Target AEPS Growth Units Earned</w:t>
            </w:r>
          </w:p>
        </w:tc>
      </w:tr>
      <w:tr>
        <w:trPr>
          <w:trHeight w:val="486"/>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&lt;7.5%</w:t>
            </w:r>
          </w:p>
        </w:tc>
        <w:tc>
          <w:tcPr>
            <w:tcW w:w="60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w:t>
            </w:r>
          </w:p>
        </w:tc>
      </w:tr>
      <w:tr>
        <w:trPr>
          <w:trHeight w:val="486"/>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c>
          <w:tcPr>
            <w:tcW w:w="60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60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100%</w:t>
            </w:r>
          </w:p>
        </w:tc>
      </w:tr>
      <w:tr>
        <w:trPr>
          <w:trHeight w:val="459"/>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≥30%</w:t>
            </w:r>
          </w:p>
        </w:tc>
        <w:tc>
          <w:tcPr>
            <w:tcW w:w="60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200%</w:t>
            </w:r>
          </w:p>
        </w:tc>
      </w:tr>
    </w:tbl>
    <w:p>
      <w:pPr>
        <w:spacing w:after="0" w:line="379"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The payout shall be interpolated on a linear basis between 50% and 200% of the Target AEPS Growth Units to the extent the Average Annual AEPS Growth of the Company is greater than 10% and less than 30%.</w:t>
      </w:r>
    </w:p>
    <w:p>
      <w:pPr>
        <w:spacing w:after="0" w:line="198" w:lineRule="exact"/>
        <w:rPr>
          <w:sz w:val="20"/>
          <w:szCs w:val="20"/>
          <w:color w:val="auto"/>
        </w:rPr>
      </w:pPr>
    </w:p>
    <w:p>
      <w:pPr>
        <w:ind w:left="660" w:right="120" w:hanging="328"/>
        <w:spacing w:after="0" w:line="271"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 Performance</w:t>
      </w:r>
      <w:r>
        <w:rPr>
          <w:rFonts w:ascii="Times New Roman" w:cs="Times New Roman" w:eastAsia="Times New Roman" w:hAnsi="Times New Roman"/>
          <w:sz w:val="22"/>
          <w:szCs w:val="22"/>
          <w:color w:val="auto"/>
        </w:rPr>
        <w:t>. The target number of Performance Units subject to attainment of TSR goals shall be fifty percent (50%) of the Target Award (the “Target TSR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54875" cy="2221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660" w:type="dxa"/>
            <w:vAlign w:val="bottom"/>
            <w:shd w:val="clear" w:color="auto" w:fill="DE3B21"/>
          </w:tcPr>
          <w:p>
            <w:pPr>
              <w:ind w:left="180"/>
              <w:spacing w:after="0"/>
              <w:rPr>
                <w:sz w:val="20"/>
                <w:szCs w:val="20"/>
                <w:color w:val="auto"/>
              </w:rPr>
            </w:pPr>
            <w:r>
              <w:rPr>
                <w:rFonts w:ascii="Times New Roman" w:cs="Times New Roman" w:eastAsia="Times New Roman" w:hAnsi="Times New Roman"/>
                <w:sz w:val="22"/>
                <w:szCs w:val="22"/>
                <w:b w:val="1"/>
                <w:bCs w:val="1"/>
                <w:color w:val="auto"/>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Times New Roman" w:cs="Times New Roman" w:eastAsia="Times New Roman" w:hAnsi="Times New Roman"/>
                <w:sz w:val="22"/>
                <w:szCs w:val="22"/>
                <w:b w:val="1"/>
                <w:bCs w:val="1"/>
                <w:color w:val="auto"/>
              </w:rPr>
              <w:t>Percentage of Target TSR Units Earned</w:t>
            </w:r>
          </w:p>
        </w:tc>
      </w:tr>
      <w:tr>
        <w:trPr>
          <w:trHeight w:val="287"/>
        </w:trPr>
        <w:tc>
          <w:tcPr>
            <w:tcW w:w="5660" w:type="dxa"/>
            <w:vAlign w:val="bottom"/>
            <w:shd w:val="clear" w:color="auto" w:fill="DE3B21"/>
          </w:tcPr>
          <w:p>
            <w:pPr>
              <w:ind w:left="180"/>
              <w:spacing w:after="0"/>
              <w:rPr>
                <w:sz w:val="20"/>
                <w:szCs w:val="20"/>
                <w:color w:val="auto"/>
              </w:rPr>
            </w:pPr>
            <w:r>
              <w:rPr>
                <w:rFonts w:ascii="Times New Roman" w:cs="Times New Roman" w:eastAsia="Times New Roman" w:hAnsi="Times New Roman"/>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7"/>
        </w:trPr>
        <w:tc>
          <w:tcPr>
            <w:tcW w:w="5660" w:type="dxa"/>
            <w:vAlign w:val="bottom"/>
            <w:shd w:val="clear" w:color="auto" w:fill="DE3B21"/>
          </w:tcPr>
          <w:p>
            <w:pPr>
              <w:spacing w:after="0"/>
              <w:rPr>
                <w:sz w:val="11"/>
                <w:szCs w:val="11"/>
                <w:color w:val="auto"/>
              </w:rPr>
            </w:pPr>
          </w:p>
        </w:tc>
        <w:tc>
          <w:tcPr>
            <w:tcW w:w="5760" w:type="dxa"/>
            <w:vAlign w:val="bottom"/>
            <w:shd w:val="clear" w:color="auto" w:fill="DE3B21"/>
          </w:tcPr>
          <w:p>
            <w:pPr>
              <w:spacing w:after="0"/>
              <w:rPr>
                <w:sz w:val="11"/>
                <w:szCs w:val="11"/>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Times New Roman" w:cs="Times New Roman" w:eastAsia="Times New Roman" w:hAnsi="Times New Roman"/>
                <w:sz w:val="22"/>
                <w:szCs w:val="22"/>
                <w:color w:val="auto"/>
              </w:rPr>
              <w:t>&lt;33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Times New Roman" w:cs="Times New Roman" w:eastAsia="Times New Roman" w:hAnsi="Times New Roman"/>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Times New Roman" w:cs="Times New Roman" w:eastAsia="Times New Roman" w:hAnsi="Times New Roman"/>
                <w:sz w:val="22"/>
                <w:szCs w:val="22"/>
                <w:color w:val="auto"/>
              </w:rPr>
              <w:t>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Times New Roman" w:cs="Times New Roman" w:eastAsia="Times New Roman" w:hAnsi="Times New Roman"/>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Times New Roman" w:cs="Times New Roman" w:eastAsia="Times New Roman" w:hAnsi="Times New Roman"/>
                <w:sz w:val="22"/>
                <w:szCs w:val="22"/>
                <w:color w:val="auto"/>
              </w:rPr>
              <w:t>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Times New Roman" w:cs="Times New Roman" w:eastAsia="Times New Roman" w:hAnsi="Times New Roman"/>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Times New Roman" w:cs="Times New Roman" w:eastAsia="Times New Roman" w:hAnsi="Times New Roman"/>
                <w:sz w:val="22"/>
                <w:szCs w:val="22"/>
                <w:color w:val="auto"/>
              </w:rPr>
              <w:t>70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Times New Roman" w:cs="Times New Roman" w:eastAsia="Times New Roman" w:hAnsi="Times New Roman"/>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Times New Roman" w:cs="Times New Roman" w:eastAsia="Times New Roman" w:hAnsi="Times New Roman"/>
                <w:sz w:val="22"/>
                <w:szCs w:val="22"/>
                <w:color w:val="auto"/>
              </w:rPr>
              <w:t>≥80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Times New Roman" w:cs="Times New Roman" w:eastAsia="Times New Roman" w:hAnsi="Times New Roman"/>
                <w:sz w:val="22"/>
                <w:szCs w:val="22"/>
                <w:color w:val="auto"/>
              </w:rPr>
              <w:t>200%</w:t>
            </w:r>
          </w:p>
        </w:tc>
      </w:tr>
    </w:tbl>
    <w:p>
      <w:pPr>
        <w:spacing w:after="0" w:line="256" w:lineRule="exact"/>
        <w:rPr>
          <w:sz w:val="20"/>
          <w:szCs w:val="20"/>
          <w:color w:val="auto"/>
        </w:rPr>
      </w:pPr>
    </w:p>
    <w:p>
      <w:pPr>
        <w:jc w:val="both"/>
        <w:ind w:right="160"/>
        <w:spacing w:after="0" w:line="299" w:lineRule="auto"/>
        <w:rPr>
          <w:sz w:val="20"/>
          <w:szCs w:val="20"/>
          <w:color w:val="auto"/>
        </w:rPr>
      </w:pPr>
      <w:r>
        <w:rPr>
          <w:rFonts w:ascii="Times New Roman" w:cs="Times New Roman" w:eastAsia="Times New Roman" w:hAnsi="Times New Roman"/>
          <w:sz w:val="21"/>
          <w:szCs w:val="21"/>
          <w:color w:val="auto"/>
        </w:rPr>
        <w:t>The payout shall be interpolated on a linear basis between 50% and 200% of Target TSR Units to the extent the TSR Performance of the Company is greater than the 33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percentile and less than the 80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among the Company’s TSR Comparator Group.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Award:</w:t>
      </w:r>
    </w:p>
    <w:p>
      <w:pPr>
        <w:spacing w:after="0" w:line="260"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AEPS Growth</w:t>
      </w:r>
      <w:r>
        <w:rPr>
          <w:rFonts w:ascii="Times New Roman" w:cs="Times New Roman" w:eastAsia="Times New Roman" w:hAnsi="Times New Roman"/>
          <w:sz w:val="22"/>
          <w:szCs w:val="22"/>
          <w:color w:val="auto"/>
        </w:rPr>
        <w:t>” means, for each year in the Performance Period, the percentage change in the Company’s adjusted earnings per share as determined by the Board and reported on the Company’s financial statements.</w:t>
      </w:r>
    </w:p>
    <w:p>
      <w:pPr>
        <w:sectPr>
          <w:pgSz w:w="11900" w:h="16838" w:orient="portrait"/>
          <w:cols w:equalWidth="0" w:num="1">
            <w:col w:w="11420"/>
          </w:cols>
          <w:pgMar w:left="240" w:top="189" w:right="239" w:bottom="0" w:gutter="0" w:footer="0" w:header="0"/>
        </w:sectPr>
      </w:pPr>
    </w:p>
    <w:bookmarkStart w:id="42" w:name="page43"/>
    <w:bookmarkEnd w:id="42"/>
    <w:p>
      <w:pPr>
        <w:ind w:right="6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Annual AEPS Growth</w:t>
      </w:r>
      <w:r>
        <w:rPr>
          <w:rFonts w:ascii="Times New Roman" w:cs="Times New Roman" w:eastAsia="Times New Roman" w:hAnsi="Times New Roman"/>
          <w:sz w:val="22"/>
          <w:szCs w:val="22"/>
          <w:color w:val="auto"/>
        </w:rPr>
        <w:t>” means the sum of the Annual AEPS Growth with respect to each year in the Performance Period, divided by three.</w:t>
      </w:r>
    </w:p>
    <w:p>
      <w:pPr>
        <w:spacing w:after="0" w:line="158"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Price</w:t>
      </w:r>
      <w:r>
        <w:rPr>
          <w:rFonts w:ascii="Times New Roman" w:cs="Times New Roman" w:eastAsia="Times New Roman" w:hAnsi="Times New Roman"/>
          <w:sz w:val="22"/>
          <w:szCs w:val="22"/>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Comparator Group</w:t>
      </w:r>
      <w:r>
        <w:rPr>
          <w:rFonts w:ascii="Times New Roman" w:cs="Times New Roman" w:eastAsia="Times New Roman" w:hAnsi="Times New Roman"/>
          <w:sz w:val="22"/>
          <w:szCs w:val="22"/>
          <w:color w:val="auto"/>
        </w:rPr>
        <w:t>” means an index of restaurant companies approved by the Committee at the beginning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Period, and adjusted in accordance with the guidelines set forth below:</w:t>
      </w:r>
    </w:p>
    <w:p>
      <w:pPr>
        <w:spacing w:after="0" w:line="236" w:lineRule="exact"/>
        <w:rPr>
          <w:sz w:val="20"/>
          <w:szCs w:val="20"/>
          <w:color w:val="auto"/>
        </w:rPr>
      </w:pPr>
    </w:p>
    <w:p>
      <w:pPr>
        <w:ind w:left="660" w:right="20" w:hanging="4"/>
        <w:spacing w:after="0" w:line="271" w:lineRule="auto"/>
        <w:tabs>
          <w:tab w:leader="none" w:pos="91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two indexed companies merge, the performance of the combined companies is tracked for balance of the Performance Period.</w:t>
      </w:r>
    </w:p>
    <w:p>
      <w:pPr>
        <w:spacing w:after="0" w:line="19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indexed company is acquired by a non-indexed company, the acquired company is excluded from the calculation.</w:t>
      </w:r>
    </w:p>
    <w:p>
      <w:pPr>
        <w:spacing w:after="0" w:line="271"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Performance</w:t>
      </w:r>
      <w:r>
        <w:rPr>
          <w:rFonts w:ascii="Times New Roman" w:cs="Times New Roman" w:eastAsia="Times New Roman" w:hAnsi="Times New Roman"/>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153"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265" w:lineRule="exact"/>
        <w:rPr>
          <w:rFonts w:ascii="Times New Roman" w:cs="Times New Roman" w:eastAsia="Times New Roman" w:hAnsi="Times New Roman"/>
          <w:sz w:val="18"/>
          <w:szCs w:val="18"/>
          <w:color w:val="auto"/>
        </w:rPr>
      </w:pPr>
    </w:p>
    <w:p>
      <w:pPr>
        <w:ind w:right="280" w:firstLine="8"/>
        <w:spacing w:after="0" w:line="329"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240" w:firstLine="8"/>
        <w:spacing w:after="0" w:line="329"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320" w:hanging="66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380" w:firstLine="656"/>
        <w:spacing w:after="0" w:line="329" w:lineRule="auto"/>
        <w:tabs>
          <w:tab w:leader="none" w:pos="13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160" w:firstLine="8"/>
        <w:spacing w:after="0" w:line="329" w:lineRule="auto"/>
        <w:tabs>
          <w:tab w:leader="none" w:pos="6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620" w:firstLine="656"/>
        <w:spacing w:after="0" w:line="329" w:lineRule="auto"/>
        <w:tabs>
          <w:tab w:leader="none" w:pos="131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300" w:firstLine="656"/>
        <w:spacing w:after="0" w:line="329" w:lineRule="auto"/>
        <w:tabs>
          <w:tab w:leader="none" w:pos="132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7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8"/>
              </w:rPr>
              <w:t>1st day of May, 2019</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Stephen P. Joyce</w:t>
            </w:r>
          </w:p>
        </w:tc>
      </w:tr>
      <w:tr>
        <w:trPr>
          <w:trHeight w:val="27"/>
        </w:trPr>
        <w:tc>
          <w:tcPr>
            <w:tcW w:w="27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Stephen P. Joyce</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2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265" w:lineRule="exact"/>
        <w:rPr>
          <w:rFonts w:ascii="Times New Roman" w:cs="Times New Roman" w:eastAsia="Times New Roman" w:hAnsi="Times New Roman"/>
          <w:sz w:val="18"/>
          <w:szCs w:val="18"/>
          <w:color w:val="auto"/>
        </w:rPr>
      </w:pPr>
    </w:p>
    <w:p>
      <w:pPr>
        <w:ind w:right="280" w:firstLine="8"/>
        <w:spacing w:after="0" w:line="329" w:lineRule="auto"/>
        <w:tabs>
          <w:tab w:leader="none" w:pos="6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240" w:firstLine="8"/>
        <w:spacing w:after="0" w:line="329" w:lineRule="auto"/>
        <w:tabs>
          <w:tab w:leader="none" w:pos="6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320" w:hanging="66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380" w:firstLine="656"/>
        <w:spacing w:after="0" w:line="329" w:lineRule="auto"/>
        <w:tabs>
          <w:tab w:leader="none" w:pos="13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160" w:firstLine="8"/>
        <w:spacing w:after="0" w:line="329" w:lineRule="auto"/>
        <w:tabs>
          <w:tab w:leader="none" w:pos="6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620" w:firstLine="656"/>
        <w:spacing w:after="0" w:line="329" w:lineRule="auto"/>
        <w:tabs>
          <w:tab w:leader="none" w:pos="131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300" w:firstLine="656"/>
        <w:spacing w:after="0" w:line="329" w:lineRule="auto"/>
        <w:tabs>
          <w:tab w:leader="none" w:pos="132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1st day of May, 2019</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Thomas H. Song</w:t>
            </w:r>
          </w:p>
        </w:tc>
      </w:tr>
      <w:tr>
        <w:trPr>
          <w:trHeight w:val="27"/>
        </w:trPr>
        <w:tc>
          <w:tcPr>
            <w:tcW w:w="2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6"/>
        </w:trPr>
        <w:tc>
          <w:tcPr>
            <w:tcW w:w="2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H. Song</w:t>
            </w:r>
          </w:p>
        </w:tc>
      </w:tr>
      <w:tr>
        <w:trPr>
          <w:trHeight w:val="216"/>
        </w:trPr>
        <w:tc>
          <w:tcPr>
            <w:tcW w:w="2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6"/>
        </w:trPr>
        <w:tc>
          <w:tcPr>
            <w:tcW w:w="2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w:t>
            </w:r>
          </w:p>
        </w:tc>
      </w:tr>
      <w:tr>
        <w:trPr>
          <w:trHeight w:val="236"/>
        </w:trPr>
        <w:tc>
          <w:tcPr>
            <w:tcW w:w="27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Accounting Officer)</w:t>
            </w:r>
          </w:p>
        </w:tc>
      </w:tr>
    </w:tbl>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2019, as filed with the Securities and Exchange Commission on the 1st day of May, 2019 (the “Report”), Stephen P. Joyce, as Chief Executive Officer of the Company, hereby certifies, pursuant to 18 U.S.C. Section 1350, as adopted pursuant to Section 906 of the Sarbanes-Oxley Act of 2002, to the best of my knowledge, that:</w:t>
      </w:r>
    </w:p>
    <w:p>
      <w:pPr>
        <w:spacing w:after="0" w:line="180" w:lineRule="exact"/>
        <w:rPr>
          <w:sz w:val="20"/>
          <w:szCs w:val="20"/>
          <w:color w:val="auto"/>
        </w:rPr>
      </w:pPr>
    </w:p>
    <w:p>
      <w:pPr>
        <w:ind w:left="1660" w:hanging="518"/>
        <w:spacing w:after="0"/>
        <w:tabs>
          <w:tab w:leader="none" w:pos="1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65" w:lineRule="exact"/>
        <w:rPr>
          <w:rFonts w:ascii="Times New Roman" w:cs="Times New Roman" w:eastAsia="Times New Roman" w:hAnsi="Times New Roman"/>
          <w:sz w:val="18"/>
          <w:szCs w:val="18"/>
          <w:color w:val="auto"/>
        </w:rPr>
      </w:pPr>
    </w:p>
    <w:p>
      <w:pPr>
        <w:ind w:left="1660" w:hanging="518"/>
        <w:spacing w:after="0"/>
        <w:tabs>
          <w:tab w:leader="none" w:pos="1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87" w:lineRule="exact"/>
        <w:rPr>
          <w:sz w:val="20"/>
          <w:szCs w:val="20"/>
          <w:color w:val="auto"/>
        </w:rPr>
      </w:pPr>
    </w:p>
    <w:p>
      <w:pPr>
        <w:ind w:left="40"/>
        <w:spacing w:after="0"/>
        <w:tabs>
          <w:tab w:leader="none" w:pos="800" w:val="left"/>
          <w:tab w:leader="none" w:pos="86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1st day of May, 2019</w:t>
      </w:r>
      <w:r>
        <w:rPr>
          <w:sz w:val="20"/>
          <w:szCs w:val="20"/>
          <w:color w:val="auto"/>
        </w:rPr>
        <w:tab/>
      </w:r>
      <w:r>
        <w:rPr>
          <w:rFonts w:ascii="Times New Roman" w:cs="Times New Roman" w:eastAsia="Times New Roman" w:hAnsi="Times New Roman"/>
          <w:sz w:val="17"/>
          <w:szCs w:val="17"/>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34290</wp:posOffset>
            </wp:positionV>
            <wp:extent cx="2263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8"/>
          <w:szCs w:val="18"/>
          <w:color w:val="auto"/>
        </w:rPr>
        <w:t>Stephen P. Joyce</w:t>
      </w:r>
    </w:p>
    <w:p>
      <w:pPr>
        <w:spacing w:after="0" w:line="27"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2019, as filed with the Securities and Exchange Commission on the 1st day of May, 2019 (the “Report”), Thomas H. Song, as Chief Financial Officer of the Company, hereby certifies, pursuant to 18 U.S.C. Section 1350, as adopted pursuant to Section 906 of the Sarbanes-Oxley Act of 2002, to the best of my knowledge, that:</w:t>
      </w:r>
    </w:p>
    <w:p>
      <w:pPr>
        <w:spacing w:after="0" w:line="180" w:lineRule="exact"/>
        <w:rPr>
          <w:sz w:val="20"/>
          <w:szCs w:val="20"/>
          <w:color w:val="auto"/>
        </w:rPr>
      </w:pPr>
    </w:p>
    <w:p>
      <w:pPr>
        <w:ind w:left="1660" w:hanging="518"/>
        <w:spacing w:after="0"/>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65" w:lineRule="exact"/>
        <w:rPr>
          <w:rFonts w:ascii="Times New Roman" w:cs="Times New Roman" w:eastAsia="Times New Roman" w:hAnsi="Times New Roman"/>
          <w:sz w:val="18"/>
          <w:szCs w:val="18"/>
          <w:color w:val="auto"/>
        </w:rPr>
      </w:pPr>
    </w:p>
    <w:p>
      <w:pPr>
        <w:ind w:left="1660" w:hanging="518"/>
        <w:spacing w:after="0"/>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87" w:lineRule="exact"/>
        <w:rPr>
          <w:sz w:val="20"/>
          <w:szCs w:val="20"/>
          <w:color w:val="auto"/>
        </w:rPr>
      </w:pPr>
    </w:p>
    <w:p>
      <w:pPr>
        <w:ind w:left="40"/>
        <w:spacing w:after="0"/>
        <w:tabs>
          <w:tab w:leader="none" w:pos="800" w:val="left"/>
          <w:tab w:leader="none" w:pos="86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1st day of May, 2019</w:t>
      </w:r>
      <w:r>
        <w:rPr>
          <w:sz w:val="20"/>
          <w:szCs w:val="20"/>
          <w:color w:val="auto"/>
        </w:rPr>
        <w:tab/>
      </w:r>
      <w:r>
        <w:rPr>
          <w:rFonts w:ascii="Times New Roman" w:cs="Times New Roman" w:eastAsia="Times New Roman" w:hAnsi="Times New Roman"/>
          <w:sz w:val="17"/>
          <w:szCs w:val="17"/>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34290</wp:posOffset>
            </wp:positionV>
            <wp:extent cx="2263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color w:val="auto"/>
        </w:rPr>
        <w:t>Thomas H. Song</w:t>
      </w:r>
    </w:p>
    <w:p>
      <w:pPr>
        <w:spacing w:after="0" w:line="27"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9"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7"/>
    </w:lvl>
  </w:abstractNum>
  <w:abstractNum w:abstractNumId="7">
    <w:nsid w:val="8EDBDAB"/>
    <w:multiLevelType w:val="hybridMultilevel"/>
    <w:lvl w:ilvl="0">
      <w:lvlJc w:val="left"/>
      <w:lvlText w:val="%1."/>
      <w:numFmt w:val="decimal"/>
      <w:start w:val="13"/>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lowerLetter"/>
      <w:start w:val="1"/>
    </w:lvl>
    <w:lvl w:ilvl="1">
      <w:lvlJc w:val="left"/>
      <w:lvlText w:val="(%2)"/>
      <w:numFmt w:val="lowerLetter"/>
      <w:start w:val="2"/>
    </w:lvl>
  </w:abstractNum>
  <w:abstractNum w:abstractNumId="10">
    <w:nsid w:val="B03E0C6"/>
    <w:multiLevelType w:val="hybridMultilevel"/>
    <w:lvl w:ilvl="0">
      <w:lvlJc w:val="left"/>
      <w:lvlText w:val="(%1)"/>
      <w:numFmt w:val="lowerLetter"/>
      <w:start w:val="3"/>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6"/>
    </w:lvl>
  </w:abstractNum>
  <w:abstractNum w:abstractNumId="21">
    <w:nsid w:val="737B8DDC"/>
    <w:multiLevelType w:val="hybridMultilevel"/>
    <w:lvl w:ilvl="0">
      <w:lvlJc w:val="left"/>
      <w:lvlText w:val="%1."/>
      <w:numFmt w:val="decimal"/>
      <w:start w:val="3"/>
    </w:lvl>
  </w:abstractNum>
  <w:abstractNum w:abstractNumId="22">
    <w:nsid w:val="6CEAF087"/>
    <w:multiLevelType w:val="hybridMultilevel"/>
    <w:lvl w:ilvl="0">
      <w:lvlJc w:val="left"/>
      <w:lvlText w:val="%1."/>
      <w:numFmt w:val="decimal"/>
      <w:start w:val="13"/>
    </w:lvl>
  </w:abstractNum>
  <w:abstractNum w:abstractNumId="23">
    <w:nsid w:val="22221A70"/>
    <w:multiLevelType w:val="hybridMultilevel"/>
    <w:lvl w:ilvl="0">
      <w:lvlJc w:val="left"/>
      <w:lvlText w:val="%1"/>
      <w:numFmt w:val="lowerRoman"/>
      <w:start w:val="1"/>
    </w:lvl>
    <w:lvl w:ilvl="1">
      <w:lvlJc w:val="left"/>
      <w:lvlText w:val="(%2)"/>
      <w:numFmt w:val="lowerLetter"/>
      <w:start w:val="1"/>
    </w:lvl>
  </w:abstractNum>
  <w:abstractNum w:abstractNumId="24">
    <w:nsid w:val="4516DDE9"/>
    <w:multiLevelType w:val="hybridMultilevel"/>
    <w:lvl w:ilvl="0">
      <w:lvlJc w:val="left"/>
      <w:lvlText w:val="(%1)"/>
      <w:numFmt w:val="lowerRoman"/>
      <w:start w:val="4"/>
    </w:lvl>
    <w:lvl w:ilvl="1">
      <w:lvlJc w:val="left"/>
      <w:lvlText w:val="%2"/>
      <w:numFmt w:val="lowerLetter"/>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2"/>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decimal"/>
      <w:start w:val="5"/>
    </w:lvl>
    <w:lvl w:ilvl="1">
      <w:lvlJc w:val="left"/>
      <w:lvlText w:val="(%2)"/>
      <w:numFmt w:val="low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lowerLetter"/>
      <w:start w:val="3"/>
    </w:lvl>
  </w:abstractNum>
  <w:abstractNum w:abstractNumId="38">
    <w:nsid w:val="2D517796"/>
    <w:multiLevelType w:val="hybridMultilevel"/>
    <w:lvl w:ilvl="0">
      <w:lvlJc w:val="left"/>
      <w:lvlText w:val="%1."/>
      <w:numFmt w:val="decimal"/>
      <w:start w:val="5"/>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22" Type="http://schemas.openxmlformats.org/officeDocument/2006/relationships/hyperlink" Target="http://www.sec.gov/Archives/edgar/data/49754/000119312519046137/d70930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2019-12-28T13:36:49Z</dcterms:created>
  <dcterms:modified xsi:type="dcterms:W3CDTF">2019-12-28T13:36:49Z</dcterms:modified>
</cp:coreProperties>
</file>