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34290"/>
                    </a:xfrm>
                    <a:prstGeom prst="rect">
                      <a:avLst/>
                    </a:prstGeom>
                    <a:noFill/>
                  </pic:spPr>
                </pic:pic>
              </a:graphicData>
            </a:graphic>
          </wp:anchor>
        </w:drawing>
        <w:t>UNITED STATES</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63" w:lineRule="exact"/>
        <w:rPr>
          <w:sz w:val="24"/>
          <w:szCs w:val="24"/>
          <w:color w:val="auto"/>
        </w:rPr>
      </w:pPr>
    </w:p>
    <w:p>
      <w:pPr>
        <w:ind w:left="4980"/>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-151130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6" w:lineRule="exact"/>
        <w:rPr>
          <w:sz w:val="24"/>
          <w:szCs w:val="24"/>
          <w:color w:val="auto"/>
        </w:rPr>
      </w:pPr>
    </w:p>
    <w:p>
      <w:pPr>
        <w:ind w:left="450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279"/>
        <w:spacing w:after="0"/>
        <w:rPr>
          <w:sz w:val="20"/>
          <w:szCs w:val="20"/>
          <w:color w:val="auto"/>
        </w:rPr>
      </w:pPr>
      <w:r>
        <w:rPr>
          <w:rFonts w:ascii="Arial" w:cs="Arial" w:eastAsia="Arial" w:hAnsi="Arial"/>
          <w:sz w:val="22"/>
          <w:szCs w:val="22"/>
          <w:b w:val="1"/>
          <w:bCs w:val="1"/>
          <w:color w:val="auto"/>
        </w:rPr>
        <w:t>Securities Exchange Act of 1934</w:t>
      </w:r>
    </w:p>
    <w:p>
      <w:pPr>
        <w:spacing w:after="0" w:line="155" w:lineRule="exact"/>
        <w:rPr>
          <w:sz w:val="24"/>
          <w:szCs w:val="24"/>
          <w:color w:val="auto"/>
        </w:rPr>
      </w:pPr>
    </w:p>
    <w:p>
      <w:pPr>
        <w:ind w:left="2760"/>
        <w:spacing w:after="0"/>
        <w:rPr>
          <w:sz w:val="20"/>
          <w:szCs w:val="20"/>
          <w:color w:val="auto"/>
        </w:rPr>
      </w:pPr>
      <w:r>
        <w:rPr>
          <w:rFonts w:ascii="Arial" w:cs="Arial" w:eastAsia="Arial" w:hAnsi="Arial"/>
          <w:sz w:val="19"/>
          <w:szCs w:val="19"/>
          <w:color w:val="auto"/>
        </w:rPr>
        <w:t xml:space="preserve">Date of report (Date of earliest event reported): </w:t>
      </w:r>
      <w:r>
        <w:rPr>
          <w:rFonts w:ascii="Arial" w:cs="Arial" w:eastAsia="Arial" w:hAnsi="Arial"/>
          <w:sz w:val="19"/>
          <w:szCs w:val="19"/>
          <w:b w:val="1"/>
          <w:bCs w:val="1"/>
          <w:color w:val="auto"/>
        </w:rPr>
        <w:t>August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213360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Dine Brands Global, Inc.</w:t>
      </w:r>
    </w:p>
    <w:p>
      <w:pPr>
        <w:spacing w:after="0" w:line="14" w:lineRule="exact"/>
        <w:rPr>
          <w:sz w:val="24"/>
          <w:szCs w:val="24"/>
          <w:color w:val="auto"/>
        </w:rPr>
      </w:pPr>
    </w:p>
    <w:p>
      <w:pPr>
        <w:jc w:val="center"/>
        <w:ind w:right="-279"/>
        <w:spacing w:after="0"/>
        <w:rPr>
          <w:sz w:val="20"/>
          <w:szCs w:val="20"/>
          <w:color w:val="auto"/>
        </w:rPr>
      </w:pPr>
      <w:r>
        <w:rPr>
          <w:rFonts w:ascii="Arial" w:cs="Arial" w:eastAsia="Arial" w:hAnsi="Arial"/>
          <w:sz w:val="22"/>
          <w:szCs w:val="22"/>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184785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40"/>
          </w:cols>
          <w:pgMar w:left="440" w:top="504" w:right="719" w:bottom="1440" w:gutter="0" w:footer="0" w:header="0"/>
        </w:sectPr>
      </w:pPr>
    </w:p>
    <w:p>
      <w:pPr>
        <w:spacing w:after="0" w:line="200" w:lineRule="exact"/>
        <w:rPr>
          <w:sz w:val="24"/>
          <w:szCs w:val="24"/>
          <w:color w:val="auto"/>
        </w:rPr>
      </w:pPr>
    </w:p>
    <w:p>
      <w:pPr>
        <w:spacing w:after="0" w:line="257" w:lineRule="exact"/>
        <w:rPr>
          <w:sz w:val="24"/>
          <w:szCs w:val="24"/>
          <w:color w:val="auto"/>
        </w:rPr>
      </w:pPr>
    </w:p>
    <w:p>
      <w:pPr>
        <w:ind w:left="1780"/>
        <w:spacing w:after="0"/>
        <w:rPr>
          <w:sz w:val="20"/>
          <w:szCs w:val="20"/>
          <w:color w:val="auto"/>
        </w:rPr>
      </w:pPr>
      <w:r>
        <w:rPr>
          <w:rFonts w:ascii="Arial" w:cs="Arial" w:eastAsia="Arial" w:hAnsi="Arial"/>
          <w:sz w:val="20"/>
          <w:szCs w:val="20"/>
          <w:b w:val="1"/>
          <w:bCs w:val="1"/>
          <w:color w:val="auto"/>
        </w:rPr>
        <w:t>Delaware</w:t>
      </w:r>
    </w:p>
    <w:p>
      <w:pPr>
        <w:spacing w:after="0" w:line="21" w:lineRule="exact"/>
        <w:rPr>
          <w:sz w:val="24"/>
          <w:szCs w:val="24"/>
          <w:color w:val="auto"/>
        </w:rPr>
      </w:pPr>
    </w:p>
    <w:p>
      <w:pPr>
        <w:ind w:left="1140"/>
        <w:spacing w:after="0"/>
        <w:rPr>
          <w:sz w:val="20"/>
          <w:szCs w:val="20"/>
          <w:color w:val="auto"/>
        </w:rPr>
      </w:pPr>
      <w:r>
        <w:rPr>
          <w:rFonts w:ascii="Arial" w:cs="Arial" w:eastAsia="Arial" w:hAnsi="Arial"/>
          <w:sz w:val="20"/>
          <w:szCs w:val="20"/>
          <w:color w:val="auto"/>
        </w:rPr>
        <w:t>(State or other jurisdiction</w:t>
      </w:r>
    </w:p>
    <w:p>
      <w:pPr>
        <w:ind w:left="980"/>
        <w:spacing w:after="0"/>
        <w:rPr>
          <w:sz w:val="20"/>
          <w:szCs w:val="20"/>
          <w:color w:val="auto"/>
        </w:rPr>
      </w:pPr>
      <w:r>
        <w:rPr>
          <w:rFonts w:ascii="Arial" w:cs="Arial" w:eastAsia="Arial" w:hAnsi="Arial"/>
          <w:sz w:val="18"/>
          <w:szCs w:val="18"/>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7" w:lineRule="exact"/>
        <w:rPr>
          <w:sz w:val="24"/>
          <w:szCs w:val="24"/>
          <w:color w:val="auto"/>
        </w:rPr>
      </w:pPr>
    </w:p>
    <w:p>
      <w:pPr>
        <w:jc w:val="center"/>
        <w:ind w:right="760"/>
        <w:spacing w:after="0"/>
        <w:rPr>
          <w:sz w:val="20"/>
          <w:szCs w:val="20"/>
          <w:color w:val="auto"/>
        </w:rPr>
      </w:pPr>
      <w:r>
        <w:rPr>
          <w:rFonts w:ascii="Arial" w:cs="Arial" w:eastAsia="Arial" w:hAnsi="Arial"/>
          <w:sz w:val="20"/>
          <w:szCs w:val="20"/>
          <w:b w:val="1"/>
          <w:bCs w:val="1"/>
          <w:color w:val="auto"/>
        </w:rPr>
        <w:t>001-15283</w:t>
      </w:r>
    </w:p>
    <w:p>
      <w:pPr>
        <w:spacing w:after="0" w:line="22" w:lineRule="exact"/>
        <w:rPr>
          <w:sz w:val="24"/>
          <w:szCs w:val="24"/>
          <w:color w:val="auto"/>
        </w:rPr>
      </w:pPr>
    </w:p>
    <w:p>
      <w:pPr>
        <w:jc w:val="center"/>
        <w:ind w:right="760"/>
        <w:spacing w:after="0"/>
        <w:rPr>
          <w:sz w:val="20"/>
          <w:szCs w:val="20"/>
          <w:color w:val="auto"/>
        </w:rPr>
      </w:pPr>
      <w:r>
        <w:rPr>
          <w:rFonts w:ascii="Arial" w:cs="Arial" w:eastAsia="Arial" w:hAnsi="Arial"/>
          <w:sz w:val="18"/>
          <w:szCs w:val="18"/>
          <w:color w:val="auto"/>
        </w:rPr>
        <w:t>(Commission File</w:t>
      </w:r>
    </w:p>
    <w:p>
      <w:pPr>
        <w:spacing w:after="0" w:line="23" w:lineRule="exact"/>
        <w:rPr>
          <w:sz w:val="24"/>
          <w:szCs w:val="24"/>
          <w:color w:val="auto"/>
        </w:rPr>
      </w:pPr>
    </w:p>
    <w:p>
      <w:pPr>
        <w:jc w:val="center"/>
        <w:ind w:right="760"/>
        <w:spacing w:after="0"/>
        <w:rPr>
          <w:sz w:val="20"/>
          <w:szCs w:val="20"/>
          <w:color w:val="auto"/>
        </w:rPr>
      </w:pPr>
      <w:r>
        <w:rPr>
          <w:rFonts w:ascii="Arial" w:cs="Arial" w:eastAsia="Arial" w:hAnsi="Arial"/>
          <w:sz w:val="20"/>
          <w:szCs w:val="20"/>
          <w:color w:val="auto"/>
        </w:rPr>
        <w:t>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7"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95-3038279</w:t>
      </w:r>
    </w:p>
    <w:p>
      <w:pPr>
        <w:spacing w:after="0" w:line="21" w:lineRule="exact"/>
        <w:rPr>
          <w:sz w:val="24"/>
          <w:szCs w:val="24"/>
          <w:color w:val="auto"/>
        </w:rPr>
      </w:pPr>
    </w:p>
    <w:p>
      <w:pPr>
        <w:jc w:val="center"/>
        <w:ind w:right="1120"/>
        <w:spacing w:after="0"/>
        <w:rPr>
          <w:sz w:val="20"/>
          <w:szCs w:val="20"/>
          <w:color w:val="auto"/>
        </w:rPr>
      </w:pPr>
      <w:r>
        <w:rPr>
          <w:rFonts w:ascii="Arial" w:cs="Arial" w:eastAsia="Arial" w:hAnsi="Arial"/>
          <w:sz w:val="20"/>
          <w:szCs w:val="20"/>
          <w:color w:val="auto"/>
        </w:rPr>
        <w:t>(I.R.S. Employer</w:t>
      </w:r>
    </w:p>
    <w:p>
      <w:pPr>
        <w:jc w:val="center"/>
        <w:ind w:right="1120"/>
        <w:spacing w:after="0"/>
        <w:rPr>
          <w:sz w:val="20"/>
          <w:szCs w:val="20"/>
          <w:color w:val="auto"/>
        </w:rPr>
      </w:pPr>
      <w:r>
        <w:rPr>
          <w:rFonts w:ascii="Arial" w:cs="Arial" w:eastAsia="Arial" w:hAnsi="Arial"/>
          <w:sz w:val="19"/>
          <w:szCs w:val="19"/>
          <w:color w:val="auto"/>
        </w:rPr>
        <w:t>Identification No.)</w:t>
      </w:r>
    </w:p>
    <w:p>
      <w:pPr>
        <w:spacing w:after="0" w:line="211" w:lineRule="exact"/>
        <w:rPr>
          <w:sz w:val="24"/>
          <w:szCs w:val="24"/>
          <w:color w:val="auto"/>
        </w:rPr>
      </w:pPr>
    </w:p>
    <w:p>
      <w:pPr>
        <w:sectPr>
          <w:pgSz w:w="11900" w:h="16838" w:orient="portrait"/>
          <w:cols w:equalWidth="0" w:num="3">
            <w:col w:w="4520" w:space="720"/>
            <w:col w:w="2180" w:space="720"/>
            <w:col w:w="2600"/>
          </w:cols>
          <w:pgMar w:left="440" w:top="504" w:right="719" w:bottom="1440" w:gutter="0" w:footer="0" w:header="0"/>
          <w:type w:val="continuous"/>
        </w:sectPr>
      </w:pPr>
    </w:p>
    <w:p>
      <w:pPr>
        <w:spacing w:after="0" w:line="61" w:lineRule="exact"/>
        <w:rPr>
          <w:sz w:val="24"/>
          <w:szCs w:val="24"/>
          <w:color w:val="auto"/>
        </w:rPr>
      </w:pPr>
    </w:p>
    <w:p>
      <w:pPr>
        <w:ind w:left="940"/>
        <w:spacing w:after="0"/>
        <w:rPr>
          <w:sz w:val="20"/>
          <w:szCs w:val="20"/>
          <w:color w:val="auto"/>
        </w:rPr>
      </w:pPr>
      <w:r>
        <w:rPr>
          <w:rFonts w:ascii="Arial" w:cs="Arial" w:eastAsia="Arial" w:hAnsi="Arial"/>
          <w:sz w:val="18"/>
          <w:szCs w:val="18"/>
          <w:b w:val="1"/>
          <w:bCs w:val="1"/>
          <w:color w:val="auto"/>
        </w:rPr>
        <w:t>450 North Brand Boulevard, Glendale,</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91203-2306</w:t>
      </w:r>
    </w:p>
    <w:p>
      <w:pPr>
        <w:spacing w:after="0" w:line="71" w:lineRule="exact"/>
        <w:rPr>
          <w:sz w:val="24"/>
          <w:szCs w:val="24"/>
          <w:color w:val="auto"/>
        </w:rPr>
      </w:pPr>
    </w:p>
    <w:p>
      <w:pPr>
        <w:sectPr>
          <w:pgSz w:w="11900" w:h="16838" w:orient="portrait"/>
          <w:cols w:equalWidth="0" w:num="2">
            <w:col w:w="7400" w:space="720"/>
            <w:col w:w="2620"/>
          </w:cols>
          <w:pgMar w:left="440" w:top="504" w:right="719" w:bottom="1440" w:gutter="0" w:footer="0" w:header="0"/>
          <w:type w:val="continuous"/>
        </w:sectPr>
      </w:pPr>
    </w:p>
    <w:p>
      <w:pPr>
        <w:ind w:left="1760"/>
        <w:spacing w:after="0"/>
        <w:rPr>
          <w:sz w:val="20"/>
          <w:szCs w:val="20"/>
          <w:color w:val="auto"/>
        </w:rPr>
      </w:pPr>
      <w:r>
        <w:rPr>
          <w:rFonts w:ascii="Arial" w:cs="Arial" w:eastAsia="Arial" w:hAnsi="Arial"/>
          <w:sz w:val="18"/>
          <w:szCs w:val="18"/>
          <w:b w:val="1"/>
          <w:bCs w:val="1"/>
          <w:color w:val="auto"/>
        </w:rPr>
        <w:t>California</w:t>
      </w:r>
    </w:p>
    <w:p>
      <w:pPr>
        <w:sectPr>
          <w:pgSz w:w="11900" w:h="16838" w:orient="portrait"/>
          <w:cols w:equalWidth="0" w:num="1">
            <w:col w:w="10740"/>
          </w:cols>
          <w:pgMar w:left="440" w:top="504" w:right="719" w:bottom="1440" w:gutter="0" w:footer="0" w:header="0"/>
          <w:type w:val="continuous"/>
        </w:sectPr>
      </w:pPr>
    </w:p>
    <w:p>
      <w:pPr>
        <w:spacing w:after="0" w:line="23"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(Zip Code)</w:t>
      </w:r>
    </w:p>
    <w:p>
      <w:pPr>
        <w:spacing w:after="0" w:line="171" w:lineRule="exact"/>
        <w:rPr>
          <w:sz w:val="24"/>
          <w:szCs w:val="24"/>
          <w:color w:val="auto"/>
        </w:rPr>
      </w:pPr>
    </w:p>
    <w:p>
      <w:pPr>
        <w:sectPr>
          <w:pgSz w:w="11900" w:h="16838" w:orient="portrait"/>
          <w:cols w:equalWidth="0" w:num="2">
            <w:col w:w="7440" w:space="720"/>
            <w:col w:w="2580"/>
          </w:cols>
          <w:pgMar w:left="440" w:top="504" w:right="719" w:bottom="1440" w:gutter="0" w:footer="0" w:header="0"/>
          <w:type w:val="continuous"/>
        </w:sectPr>
      </w:pPr>
    </w:p>
    <w:p>
      <w:pPr>
        <w:jc w:val="center"/>
        <w:ind w:right="-279"/>
        <w:spacing w:after="0"/>
        <w:rPr>
          <w:sz w:val="20"/>
          <w:szCs w:val="20"/>
          <w:color w:val="auto"/>
        </w:rPr>
      </w:pPr>
      <w:r>
        <w:rPr>
          <w:rFonts w:ascii="Arial" w:cs="Arial" w:eastAsia="Arial" w:hAnsi="Arial"/>
          <w:sz w:val="20"/>
          <w:szCs w:val="20"/>
          <w:b w:val="1"/>
          <w:bCs w:val="1"/>
          <w:color w:val="auto"/>
        </w:rPr>
        <w:t>(818) 240-6055</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218440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40"/>
          </w:cols>
          <w:pgMar w:left="440" w:top="504" w:right="719" w:bottom="1440" w:gutter="0" w:footer="0" w:header="0"/>
          <w:type w:val="continuous"/>
        </w:sectPr>
      </w:pPr>
    </w:p>
    <w:p>
      <w:pPr>
        <w:spacing w:after="0" w:line="200" w:lineRule="exact"/>
        <w:rPr>
          <w:sz w:val="24"/>
          <w:szCs w:val="24"/>
          <w:color w:val="auto"/>
        </w:rPr>
      </w:pPr>
    </w:p>
    <w:p>
      <w:pPr>
        <w:spacing w:after="0" w:line="318"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0"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260" w:firstLine="4"/>
        <w:spacing w:after="0" w:line="457" w:lineRule="auto"/>
        <w:tabs>
          <w:tab w:leader="none" w:pos="4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720" w:type="dxa"/>
        <w:tblCellMar>
          <w:top w:w="0" w:type="dxa"/>
          <w:left w:w="0" w:type="dxa"/>
          <w:bottom w:w="0" w:type="dxa"/>
          <w:right w:w="0" w:type="dxa"/>
        </w:tblCellMar>
      </w:tblPr>
      <w:tr>
        <w:trPr>
          <w:trHeight w:val="171"/>
        </w:trPr>
        <w:tc>
          <w:tcPr>
            <w:tcW w:w="600" w:type="dxa"/>
            <w:vAlign w:val="bottom"/>
            <w:vMerge w:val="restart"/>
          </w:tcPr>
          <w:p>
            <w:pPr>
              <w:spacing w:after="0"/>
              <w:rPr>
                <w:sz w:val="20"/>
                <w:szCs w:val="20"/>
                <w:color w:val="auto"/>
              </w:rPr>
            </w:pPr>
            <w:r>
              <w:rPr>
                <w:rFonts w:ascii="Arial" w:cs="Arial" w:eastAsia="Arial" w:hAnsi="Arial"/>
                <w:sz w:val="18"/>
                <w:szCs w:val="18"/>
                <w:color w:val="auto"/>
                <w:w w:val="79"/>
              </w:rPr>
              <w:t>Common</w:t>
            </w:r>
          </w:p>
        </w:tc>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2140" w:type="dxa"/>
            <w:vAlign w:val="bottom"/>
            <w:gridSpan w:val="2"/>
          </w:tcPr>
          <w:p>
            <w:pPr>
              <w:jc w:val="center"/>
              <w:ind w:left="948"/>
              <w:spacing w:after="0"/>
              <w:rPr>
                <w:sz w:val="20"/>
                <w:szCs w:val="20"/>
                <w:color w:val="auto"/>
              </w:rPr>
            </w:pPr>
            <w:r>
              <w:rPr>
                <w:rFonts w:ascii="Arial" w:cs="Arial" w:eastAsia="Arial" w:hAnsi="Arial"/>
                <w:sz w:val="14"/>
                <w:szCs w:val="14"/>
                <w:b w:val="1"/>
                <w:bCs w:val="1"/>
                <w:color w:val="auto"/>
                <w:w w:val="92"/>
              </w:rPr>
              <w:t>Trading symbol(s)</w:t>
            </w:r>
          </w:p>
        </w:tc>
        <w:tc>
          <w:tcPr>
            <w:tcW w:w="178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600" w:type="dxa"/>
            <w:vAlign w:val="bottom"/>
            <w:vMerge w:val="continue"/>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78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0" w:type="dxa"/>
            <w:vAlign w:val="bottom"/>
            <w:vMerge w:val="continue"/>
          </w:tcPr>
          <w:p>
            <w:pPr>
              <w:spacing w:after="0"/>
              <w:rPr>
                <w:sz w:val="19"/>
                <w:szCs w:val="19"/>
                <w:color w:val="auto"/>
              </w:rPr>
            </w:pPr>
          </w:p>
        </w:tc>
        <w:tc>
          <w:tcPr>
            <w:tcW w:w="2680" w:type="dxa"/>
            <w:vAlign w:val="bottom"/>
            <w:gridSpan w:val="2"/>
          </w:tcPr>
          <w:p>
            <w:pPr>
              <w:ind w:left="120"/>
              <w:spacing w:after="0"/>
              <w:rPr>
                <w:sz w:val="20"/>
                <w:szCs w:val="20"/>
                <w:color w:val="auto"/>
              </w:rPr>
            </w:pPr>
            <w:r>
              <w:rPr>
                <w:rFonts w:ascii="Arial" w:cs="Arial" w:eastAsia="Arial" w:hAnsi="Arial"/>
                <w:sz w:val="18"/>
                <w:szCs w:val="18"/>
                <w:color w:val="auto"/>
              </w:rPr>
              <w:t>Stock, $.01 Par Value</w:t>
            </w:r>
          </w:p>
        </w:tc>
        <w:tc>
          <w:tcPr>
            <w:tcW w:w="1020" w:type="dxa"/>
            <w:vAlign w:val="bottom"/>
            <w:vMerge w:val="continue"/>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DIN</w:t>
            </w:r>
          </w:p>
        </w:tc>
        <w:tc>
          <w:tcPr>
            <w:tcW w:w="1780" w:type="dxa"/>
            <w:vAlign w:val="bottom"/>
            <w:vMerge w:val="continue"/>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ectPr>
          <w:pgSz w:w="11900" w:h="16838" w:orient="portrait"/>
          <w:cols w:equalWidth="0" w:num="1">
            <w:col w:w="10740"/>
          </w:cols>
          <w:pgMar w:left="440" w:top="504" w:right="719" w:bottom="1440" w:gutter="0" w:footer="0" w:header="0"/>
          <w:type w:val="continuous"/>
        </w:sectPr>
      </w:pPr>
    </w:p>
    <w:bookmarkStart w:id="1" w:name="page2"/>
    <w:bookmarkEnd w:id="1"/>
    <w:p>
      <w:pPr>
        <w:ind w:right="900"/>
        <w:spacing w:after="0" w:line="256"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(d) Appointment of New Director</w:t>
      </w:r>
    </w:p>
    <w:p>
      <w:pPr>
        <w:spacing w:after="0" w:line="206"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On August 1, 2019, the Board of Directors of Dine Brands Global, Inc. (the “Corporation”), acting pursuant to the authority granted to it by the Corporation’s Amended and Restated Bylaws, increased the size of the Board of Directors from nine to ten directors. Also on August 1, 2019, the Board of Directors appointed Susan M. Collyns as a director of the Corporation, effective as of August 1, 2019. Ms. Collyns is an independent director who will serve as a Class II director with a term expiring at the Corporation’s 2020 annual meeting of stockholders. Ms. Collyns was also appointed to the Audit and Finance Committee of the Board of Directors.</w:t>
      </w:r>
    </w:p>
    <w:p>
      <w:pPr>
        <w:spacing w:after="0" w:line="188"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Ms. Collyns has served as the President and Chief Financial Officer of Beachbody, LLC, a health, fitness and nutrition company, since August 2014. Previously, Ms. Collyns served as the Chief Financial Officer of Dun and Bradstreet Credibility Corp., a financial data subscription business, from July 2012 to August 2014. From 2001 to 2011, Ms. Collyns served as Chief Financial Officer and Chief Operating Officer of California Pizza Kitchen, Inc. Ms. Collyns has served on the board of directors of Waitr Holdings Inc. since May 2019 and is a member of its compensation committee and the chair of its audit committee. Ms. Collyns previously served on the board of directors and audit committee of Potbelly, Inc. from May 2018 to May 2019. Ms. Collyns also served on the board of directors of Zoe’s Kitchen, Inc. from February 2014 to November 2018, where she served as the chair of the audit committee and was a member of the nominating and governance committee.</w:t>
      </w:r>
    </w:p>
    <w:p>
      <w:pPr>
        <w:spacing w:after="0" w:line="158"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Ms. Collyns will participate in the Corporation’s standard non-employee director compensation arrangements under which she will receive an annual board retainer of $70,000, additional annual committee retainers for serving on committees of the Board of Directors and an annual equity award targeted at $105,000 in value. In connection with her appointment to the Board of Directors, Ms. Collyns will also receive an initial equity award targeted at $105,000 that will cliff vest in full one year from the date of grant and settle in shares of common stock.</w:t>
      </w:r>
    </w:p>
    <w:p>
      <w:pPr>
        <w:spacing w:after="0" w:line="179"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There are no transactions between Ms. Collyns (or any member of her immediate family) and the Corporation (or any of its subsidiaries), and there is no arrangement or understanding between Ms. Collyns and any other persons or entities pursuant to which Ms. Collyns was appointed as a director of the Corporation.</w:t>
      </w:r>
    </w:p>
    <w:p>
      <w:pPr>
        <w:spacing w:after="0" w:line="186"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The Corporation issued a press release announcing the appointment of Ms. Collyns to the Board of Directors. The full text of the press release is attached hereto as Exhibit 99.1 and incorporated herein by this reference.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(d) Exhibits.</w:t>
      </w:r>
    </w:p>
    <w:p>
      <w:pPr>
        <w:spacing w:after="0" w:line="20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Exhibit</w:t>
      </w:r>
    </w:p>
    <w:p>
      <w:pPr>
        <w:spacing w:after="0" w:line="14" w:lineRule="exact"/>
        <w:rPr>
          <w:sz w:val="20"/>
          <w:szCs w:val="20"/>
          <w:color w:val="auto"/>
        </w:rPr>
      </w:pPr>
    </w:p>
    <w:p>
      <w:pPr>
        <w:ind w:left="1000"/>
        <w:spacing w:after="0"/>
        <w:tabs>
          <w:tab w:leader="none" w:pos="2520" w:val="left"/>
        </w:tabs>
        <w:rPr>
          <w:sz w:val="20"/>
          <w:szCs w:val="20"/>
          <w:color w:val="auto"/>
        </w:rPr>
      </w:pPr>
      <w:r>
        <w:rPr>
          <w:rFonts w:ascii="Arial" w:cs="Arial" w:eastAsia="Arial" w:hAnsi="Arial"/>
          <w:sz w:val="22"/>
          <w:szCs w:val="22"/>
          <w:b w:val="1"/>
          <w:bCs w:val="1"/>
          <w:color w:val="auto"/>
        </w:rPr>
        <w:t>Number</w:t>
      </w:r>
      <w:r>
        <w:rPr>
          <w:sz w:val="20"/>
          <w:szCs w:val="20"/>
          <w:color w:val="auto"/>
        </w:rPr>
        <w:tab/>
      </w:r>
      <w:r>
        <w:rPr>
          <w:rFonts w:ascii="Arial" w:cs="Arial" w:eastAsia="Arial" w:hAnsi="Arial"/>
          <w:sz w:val="22"/>
          <w:szCs w:val="2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-3175</wp:posOffset>
            </wp:positionV>
            <wp:extent cx="57372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37225" cy="8890"/>
                    </a:xfrm>
                    <a:prstGeom prst="rect">
                      <a:avLst/>
                    </a:prstGeom>
                    <a:noFill/>
                  </pic:spPr>
                </pic:pic>
              </a:graphicData>
            </a:graphic>
          </wp:anchor>
        </w:drawing>
      </w:r>
    </w:p>
    <w:p>
      <w:pPr>
        <w:ind w:left="1000"/>
        <w:spacing w:after="0"/>
        <w:tabs>
          <w:tab w:leader="none" w:pos="25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4">
        <w:r>
          <w:rPr>
            <w:rFonts w:ascii="Arial" w:cs="Arial" w:eastAsia="Arial" w:hAnsi="Arial"/>
            <w:sz w:val="19"/>
            <w:szCs w:val="19"/>
            <w:u w:val="single" w:color="auto"/>
            <w:color w:val="0000EE"/>
          </w:rPr>
          <w:t>Press Release announcing appointment of new director dated August 1, 2019</w:t>
        </w:r>
      </w:hyperlink>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88" w:right="45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12" w:lineRule="exact"/>
        <w:rPr>
          <w:sz w:val="20"/>
          <w:szCs w:val="20"/>
          <w:color w:val="auto"/>
        </w:rPr>
      </w:pPr>
    </w:p>
    <w:p>
      <w:pPr>
        <w:ind w:right="120" w:firstLine="551"/>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spacing w:after="0"/>
        <w:tabs>
          <w:tab w:leader="none" w:pos="5620" w:val="left"/>
        </w:tabs>
        <w:rPr>
          <w:sz w:val="20"/>
          <w:szCs w:val="20"/>
          <w:color w:val="auto"/>
        </w:rPr>
      </w:pPr>
      <w:r>
        <w:rPr>
          <w:rFonts w:ascii="Arial" w:cs="Arial" w:eastAsia="Arial" w:hAnsi="Arial"/>
          <w:sz w:val="22"/>
          <w:szCs w:val="22"/>
          <w:color w:val="auto"/>
        </w:rPr>
        <w:t>Date: August 1, 2019</w:t>
      </w:r>
      <w:r>
        <w:rPr>
          <w:sz w:val="20"/>
          <w:szCs w:val="20"/>
          <w:color w:val="auto"/>
        </w:rPr>
        <w:tab/>
      </w:r>
      <w:r>
        <w:rPr>
          <w:rFonts w:ascii="Arial" w:cs="Arial" w:eastAsia="Arial" w:hAnsi="Arial"/>
          <w:sz w:val="21"/>
          <w:szCs w:val="21"/>
          <w:b w:val="1"/>
          <w:bCs w:val="1"/>
          <w:color w:val="auto"/>
        </w:rPr>
        <w:t>DINE BRANDS GLOBAL, INC.</w:t>
      </w:r>
    </w:p>
    <w:p>
      <w:pPr>
        <w:spacing w:after="0" w:line="320" w:lineRule="exact"/>
        <w:rPr>
          <w:sz w:val="20"/>
          <w:szCs w:val="20"/>
          <w:color w:val="auto"/>
        </w:rPr>
      </w:pPr>
    </w:p>
    <w:p>
      <w:pPr>
        <w:ind w:left="5640"/>
        <w:spacing w:after="0"/>
        <w:tabs>
          <w:tab w:leader="none" w:pos="6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Bryan R. Adel</w:t>
      </w:r>
    </w:p>
    <w:p>
      <w:pPr>
        <w:spacing w:after="0" w:line="22"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Bryan R. Adel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-157480</wp:posOffset>
            </wp:positionV>
            <wp:extent cx="30702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9"/>
          <w:szCs w:val="19"/>
          <w:color w:val="auto"/>
        </w:rPr>
        <w:t>Senior Vice President, Legal, General Counsel and</w:t>
      </w:r>
    </w:p>
    <w:p>
      <w:pPr>
        <w:spacing w:after="0" w:line="25"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Secretary</w:t>
      </w:r>
    </w:p>
    <w:p>
      <w:pPr>
        <w:spacing w:after="0" w:line="1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80"/>
          </w:cols>
          <w:pgMar w:left="440" w:top="288"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1123950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163195</wp:posOffset>
            </wp:positionV>
            <wp:extent cx="960755" cy="797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075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00"/>
        <w:spacing w:after="0"/>
        <w:rPr>
          <w:sz w:val="20"/>
          <w:szCs w:val="20"/>
          <w:color w:val="auto"/>
        </w:rPr>
      </w:pPr>
      <w:r>
        <w:rPr>
          <w:rFonts w:ascii="Arial" w:cs="Arial" w:eastAsia="Arial" w:hAnsi="Arial"/>
          <w:sz w:val="36"/>
          <w:szCs w:val="36"/>
          <w:color w:val="auto"/>
        </w:rPr>
        <w:t>News Release</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Ken Diptee</w:t>
      </w:r>
    </w:p>
    <w:p>
      <w:pPr>
        <w:jc w:val="right"/>
        <w:spacing w:after="0" w:line="234" w:lineRule="auto"/>
        <w:rPr>
          <w:sz w:val="20"/>
          <w:szCs w:val="20"/>
          <w:color w:val="auto"/>
        </w:rPr>
      </w:pPr>
      <w:r>
        <w:rPr>
          <w:rFonts w:ascii="Arial" w:cs="Arial" w:eastAsia="Arial" w:hAnsi="Arial"/>
          <w:sz w:val="18"/>
          <w:szCs w:val="18"/>
          <w:color w:val="auto"/>
        </w:rPr>
        <w:t>Executive Director, Investor Relations</w:t>
      </w:r>
    </w:p>
    <w:p>
      <w:pPr>
        <w:jc w:val="right"/>
        <w:spacing w:after="0" w:line="235" w:lineRule="auto"/>
        <w:rPr>
          <w:sz w:val="20"/>
          <w:szCs w:val="20"/>
          <w:color w:val="auto"/>
        </w:rPr>
      </w:pPr>
      <w:r>
        <w:rPr>
          <w:rFonts w:ascii="Arial" w:cs="Arial" w:eastAsia="Arial" w:hAnsi="Arial"/>
          <w:sz w:val="18"/>
          <w:szCs w:val="18"/>
          <w:color w:val="auto"/>
        </w:rPr>
        <w:t>Dine Brands Global,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818-637-3632</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Media Contact</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Thien Ho</w:t>
      </w:r>
    </w:p>
    <w:p>
      <w:pPr>
        <w:jc w:val="right"/>
        <w:spacing w:after="0" w:line="234" w:lineRule="auto"/>
        <w:rPr>
          <w:sz w:val="20"/>
          <w:szCs w:val="20"/>
          <w:color w:val="auto"/>
        </w:rPr>
      </w:pPr>
      <w:r>
        <w:rPr>
          <w:rFonts w:ascii="Arial" w:cs="Arial" w:eastAsia="Arial" w:hAnsi="Arial"/>
          <w:sz w:val="18"/>
          <w:szCs w:val="18"/>
          <w:color w:val="auto"/>
        </w:rPr>
        <w:t>Executive Director, Communications</w:t>
      </w:r>
    </w:p>
    <w:p>
      <w:pPr>
        <w:jc w:val="right"/>
        <w:spacing w:after="0" w:line="235" w:lineRule="auto"/>
        <w:rPr>
          <w:sz w:val="20"/>
          <w:szCs w:val="20"/>
          <w:color w:val="auto"/>
        </w:rPr>
      </w:pPr>
      <w:r>
        <w:rPr>
          <w:rFonts w:ascii="Arial" w:cs="Arial" w:eastAsia="Arial" w:hAnsi="Arial"/>
          <w:sz w:val="18"/>
          <w:szCs w:val="18"/>
          <w:color w:val="auto"/>
        </w:rPr>
        <w:t>Dine Brands Global,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818-549-4238</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Dine Brands Global, Inc. Appoints Susan M. Collyns to Board of Directors</w:t>
      </w:r>
    </w:p>
    <w:p>
      <w:pPr>
        <w:spacing w:after="0" w:line="238"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GLENDALE, Calif., August 1, 2019 – Dine Brands Global, Inc. (NYSE: DIN), the parent company of Applebee’s Neighborhood Grill + Bar</w:t>
      </w:r>
      <w:r>
        <w:rPr>
          <w:rFonts w:ascii="Arial" w:cs="Arial" w:eastAsia="Arial" w:hAnsi="Arial"/>
          <w:sz w:val="15"/>
          <w:szCs w:val="15"/>
          <w:color w:val="auto"/>
        </w:rPr>
        <w:t>®</w:t>
      </w:r>
      <w:r>
        <w:rPr>
          <w:rFonts w:ascii="Arial" w:cs="Arial" w:eastAsia="Arial" w:hAnsi="Arial"/>
          <w:sz w:val="19"/>
          <w:szCs w:val="19"/>
          <w:color w:val="auto"/>
        </w:rPr>
        <w:t xml:space="preserve"> and IHOP</w:t>
      </w:r>
      <w:r>
        <w:rPr>
          <w:rFonts w:ascii="Arial" w:cs="Arial" w:eastAsia="Arial" w:hAnsi="Arial"/>
          <w:sz w:val="15"/>
          <w:szCs w:val="15"/>
          <w:color w:val="auto"/>
        </w:rPr>
        <w:t>®</w:t>
      </w:r>
      <w:r>
        <w:rPr>
          <w:rFonts w:ascii="Arial" w:cs="Arial" w:eastAsia="Arial" w:hAnsi="Arial"/>
          <w:sz w:val="19"/>
          <w:szCs w:val="19"/>
          <w:color w:val="auto"/>
        </w:rPr>
        <w:t xml:space="preserve"> restaurants, today announced the appointment of Susan M. Collyns to the Corporation’s Board of Directors, effective immediately. In connection with the appointment of Ms. Collyns, the Board of Directors also approved an increase in the size of the Board of Directors from nine to ten directors. Ms. Collyns is an independent director who will serve as a Class II director with a term expiring at the Corporation’s 2020 Annual Meeting of Stockholders.</w:t>
      </w:r>
    </w:p>
    <w:p>
      <w:pPr>
        <w:spacing w:after="0" w:line="195" w:lineRule="exact"/>
        <w:rPr>
          <w:sz w:val="20"/>
          <w:szCs w:val="20"/>
          <w:color w:val="auto"/>
        </w:rPr>
      </w:pPr>
    </w:p>
    <w:p>
      <w:pPr>
        <w:ind w:right="360"/>
        <w:spacing w:after="0" w:line="229" w:lineRule="auto"/>
        <w:rPr>
          <w:sz w:val="20"/>
          <w:szCs w:val="20"/>
          <w:color w:val="auto"/>
        </w:rPr>
      </w:pPr>
      <w:r>
        <w:rPr>
          <w:rFonts w:ascii="Arial" w:cs="Arial" w:eastAsia="Arial" w:hAnsi="Arial"/>
          <w:sz w:val="20"/>
          <w:szCs w:val="20"/>
          <w:color w:val="auto"/>
        </w:rPr>
        <w:t>“We are very excited to welcome Sue to our Board of Directors,” said Chairman of the Board of Directors, Richard J. Dahl. “Sue is a seasoned business leader with deep and pertinent restaurant and food service industry insight and expertise in accounting, finance and operations. She possesses the skills and qualifications we have identified as focal points for our Board of Directors, and I am confident she will be an invaluable asset to the Board of Directors and the Corporation as we execute on our strategic objectives.”</w:t>
      </w:r>
    </w:p>
    <w:p>
      <w:pPr>
        <w:spacing w:after="0" w:line="199"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Ms. Collyns has served as the President and Chief Financial Officer of Beachbody, LLC, a health, fitness and nutrition company, since August 2014. Previously, Ms. Collyns served as the Chief Financial Officer of Dun and Bradstreet Credibility Corp., a financial data subscription business, from July 2012 to August 2014. From 2001 to 2011, Ms. Collyns served as Chief Financial Officer and Chief Operating Officer of California Pizza Kitchen, Inc. Ms. Collyns has served on the board of directors of Waitr Holdings Inc. since May 2019 and is a member of its compensation committee and the chair of its audit committee. Ms. Collyns previously served on the board of directors and audit committee of Potbelly, Inc. from May 2018 to May 2019. Ms. Collyns also served on the board of directors of Zoe’s Kitchen, Inc. from February 2014 to November 2018, where she served as the chair of the audit committee and was a member of the nominating and governance committee.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Dine Brands, Inc.</w:t>
      </w:r>
    </w:p>
    <w:p>
      <w:pPr>
        <w:spacing w:after="0" w:line="226"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Based in Glendale, California, Dine Brands Global, Inc. (NYSE: DIN), through its subsidiaries, franchises restaurants under both the Applebee’s Neighborhood Grill &amp; Bar and IHOP brands. With approximately 3,700 restaurants combined in 18 countries and approximately 370 franchisees, Dine Brands is one of the largest full-service restaurant companies in the world. For more information on Dine Brands, visit the Company’s website located at www.dinebrands.com.</w:t>
      </w:r>
    </w:p>
    <w:sectPr>
      <w:pgSz w:w="11900" w:h="16838" w:orient="portrait"/>
      <w:cols w:equalWidth="0" w:num="1">
        <w:col w:w="11020"/>
      </w:cols>
      <w:pgMar w:left="440" w:top="11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2019-12-28T09:42:48Z</dcterms:created>
  <dcterms:modified xsi:type="dcterms:W3CDTF">2019-12-28T09:42:48Z</dcterms:modified>
</cp:coreProperties>
</file>