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6" w:lineRule="auto"/>
        <w:rPr>
          <w:sz w:val="20"/>
          <w:szCs w:val="20"/>
          <w:color w:val="auto"/>
        </w:rPr>
      </w:pPr>
      <w:r>
        <w:rPr>
          <w:rFonts w:ascii="Arial" w:cs="Arial" w:eastAsia="Arial" w:hAnsi="Arial"/>
          <w:sz w:val="18"/>
          <w:szCs w:val="18"/>
          <w:b w:val="1"/>
          <w:bCs w:val="1"/>
          <w:color w:val="auto"/>
        </w:rPr>
        <w:t>Washington, D.C. 20549</w:t>
      </w:r>
    </w:p>
    <w:p>
      <w:pPr>
        <w:ind w:left="3400"/>
        <w:spacing w:after="0" w:line="222"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0" w:lineRule="auto"/>
        <w:rPr>
          <w:sz w:val="20"/>
          <w:szCs w:val="20"/>
          <w:color w:val="auto"/>
        </w:rPr>
      </w:pPr>
      <w:r>
        <w:rPr>
          <w:rFonts w:ascii="Arial" w:cs="Arial" w:eastAsia="Arial" w:hAnsi="Arial"/>
          <w:sz w:val="32"/>
          <w:szCs w:val="32"/>
          <w:b w:val="1"/>
          <w:bCs w:val="1"/>
          <w:color w:val="auto"/>
        </w:rPr>
        <w:t>FORM 10-Q</w:t>
      </w:r>
    </w:p>
    <w:p>
      <w:pPr>
        <w:ind w:left="60"/>
        <w:spacing w:after="0" w:line="217" w:lineRule="auto"/>
        <w:rPr>
          <w:sz w:val="20"/>
          <w:szCs w:val="20"/>
          <w:color w:val="auto"/>
        </w:rPr>
      </w:pPr>
      <w:r>
        <w:rPr>
          <w:rFonts w:ascii="Arial" w:cs="Arial" w:eastAsia="Arial" w:hAnsi="Arial"/>
          <w:sz w:val="18"/>
          <w:szCs w:val="18"/>
          <w:b w:val="1"/>
          <w:bCs w:val="1"/>
          <w:color w:val="auto"/>
        </w:rPr>
        <w:t>(Mark One)</w:t>
      </w:r>
    </w:p>
    <w:p>
      <w:pPr>
        <w:ind w:right="520" w:firstLine="324"/>
        <w:spacing w:after="0" w:line="223" w:lineRule="auto"/>
        <w:tabs>
          <w:tab w:leader="none" w:pos="742"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jc w:val="center"/>
        <w:ind w:right="-79"/>
        <w:spacing w:after="0" w:line="216" w:lineRule="auto"/>
        <w:rPr>
          <w:sz w:val="20"/>
          <w:szCs w:val="20"/>
          <w:color w:val="auto"/>
        </w:rPr>
      </w:pPr>
      <w:r>
        <w:rPr>
          <w:rFonts w:ascii="Arial" w:cs="Arial" w:eastAsia="Arial" w:hAnsi="Arial"/>
          <w:sz w:val="18"/>
          <w:szCs w:val="18"/>
          <w:b w:val="1"/>
          <w:bCs w:val="1"/>
          <w:color w:val="auto"/>
        </w:rPr>
        <w:t>For the quarterly period ended June 30, 2021</w:t>
      </w:r>
    </w:p>
    <w:p>
      <w:pPr>
        <w:jc w:val="center"/>
        <w:ind w:right="-79"/>
        <w:spacing w:after="0" w:line="200" w:lineRule="auto"/>
        <w:rPr>
          <w:sz w:val="20"/>
          <w:szCs w:val="20"/>
          <w:color w:val="auto"/>
        </w:rPr>
      </w:pPr>
      <w:r>
        <w:rPr>
          <w:rFonts w:ascii="Arial" w:cs="Arial" w:eastAsia="Arial" w:hAnsi="Arial"/>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27125" cy="55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56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 w:lineRule="exact"/>
        <w:rPr>
          <w:sz w:val="24"/>
          <w:szCs w:val="24"/>
          <w:color w:val="auto"/>
        </w:rPr>
      </w:pPr>
    </w:p>
    <w:tbl>
      <w:tblPr>
        <w:tblLayout w:type="fixed"/>
        <w:tblInd w:w="1880" w:type="dxa"/>
        <w:tblCellMar>
          <w:top w:w="0" w:type="dxa"/>
          <w:left w:w="0" w:type="dxa"/>
          <w:bottom w:w="0" w:type="dxa"/>
          <w:right w:w="0" w:type="dxa"/>
        </w:tblCellMar>
      </w:tblPr>
      <w:tr>
        <w:trPr>
          <w:trHeight w:val="208"/>
        </w:trPr>
        <w:tc>
          <w:tcPr>
            <w:tcW w:w="4840" w:type="dxa"/>
            <w:vAlign w:val="bottom"/>
          </w:tcPr>
          <w:p>
            <w:pPr>
              <w:jc w:val="center"/>
              <w:ind w:right="961"/>
              <w:spacing w:after="0"/>
              <w:rPr>
                <w:sz w:val="20"/>
                <w:szCs w:val="20"/>
                <w:color w:val="auto"/>
              </w:rPr>
            </w:pPr>
            <w:r>
              <w:rPr>
                <w:rFonts w:ascii="Arial" w:cs="Arial" w:eastAsia="Arial" w:hAnsi="Arial"/>
                <w:sz w:val="16"/>
                <w:szCs w:val="16"/>
                <w:b w:val="1"/>
                <w:bCs w:val="1"/>
                <w:color w:val="auto"/>
                <w:w w:val="91"/>
              </w:rPr>
              <w:t>Delaware</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95-3038279</w:t>
            </w: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2560" w:type="dxa"/>
            <w:vAlign w:val="bottom"/>
          </w:tcPr>
          <w:p>
            <w:pPr>
              <w:jc w:val="center"/>
              <w:ind w:left="161"/>
              <w:spacing w:after="0"/>
              <w:rPr>
                <w:sz w:val="20"/>
                <w:szCs w:val="20"/>
                <w:color w:val="auto"/>
              </w:rPr>
            </w:pPr>
            <w:r>
              <w:rPr>
                <w:rFonts w:ascii="Arial" w:cs="Arial" w:eastAsia="Arial" w:hAnsi="Arial"/>
                <w:sz w:val="16"/>
                <w:szCs w:val="16"/>
                <w:color w:val="auto"/>
                <w:w w:val="94"/>
              </w:rPr>
              <w:t>(I.R.S. Employer Identification No.)</w:t>
            </w:r>
          </w:p>
        </w:tc>
      </w:tr>
      <w:tr>
        <w:trPr>
          <w:trHeight w:val="212"/>
        </w:trPr>
        <w:tc>
          <w:tcPr>
            <w:tcW w:w="4840" w:type="dxa"/>
            <w:vAlign w:val="bottom"/>
          </w:tcPr>
          <w:p>
            <w:pPr>
              <w:jc w:val="center"/>
              <w:ind w:right="981"/>
              <w:spacing w:after="0"/>
              <w:rPr>
                <w:sz w:val="20"/>
                <w:szCs w:val="20"/>
                <w:color w:val="auto"/>
              </w:rPr>
            </w:pPr>
            <w:r>
              <w:rPr>
                <w:rFonts w:ascii="Arial" w:cs="Arial" w:eastAsia="Arial" w:hAnsi="Arial"/>
                <w:sz w:val="16"/>
                <w:szCs w:val="16"/>
                <w:b w:val="1"/>
                <w:bCs w:val="1"/>
                <w:color w:val="auto"/>
                <w:w w:val="91"/>
              </w:rPr>
              <w:t>450 North Brand Boulevard,</w:t>
            </w:r>
          </w:p>
        </w:tc>
        <w:tc>
          <w:tcPr>
            <w:tcW w:w="2560" w:type="dxa"/>
            <w:vAlign w:val="bottom"/>
          </w:tcPr>
          <w:p>
            <w:pPr>
              <w:jc w:val="center"/>
              <w:ind w:left="161"/>
              <w:spacing w:after="0"/>
              <w:rPr>
                <w:sz w:val="20"/>
                <w:szCs w:val="20"/>
                <w:color w:val="auto"/>
              </w:rPr>
            </w:pPr>
            <w:r>
              <w:rPr>
                <w:rFonts w:ascii="Arial" w:cs="Arial" w:eastAsia="Arial" w:hAnsi="Arial"/>
                <w:sz w:val="16"/>
                <w:szCs w:val="16"/>
                <w:b w:val="1"/>
                <w:bCs w:val="1"/>
                <w:color w:val="auto"/>
                <w:w w:val="88"/>
              </w:rPr>
              <w:t>91203-1903</w:t>
            </w:r>
          </w:p>
        </w:tc>
      </w:tr>
      <w:tr>
        <w:trPr>
          <w:trHeight w:val="212"/>
        </w:trPr>
        <w:tc>
          <w:tcPr>
            <w:tcW w:w="4840" w:type="dxa"/>
            <w:vAlign w:val="bottom"/>
          </w:tcPr>
          <w:p>
            <w:pPr>
              <w:jc w:val="right"/>
              <w:ind w:right="2481"/>
              <w:spacing w:after="0"/>
              <w:rPr>
                <w:sz w:val="20"/>
                <w:szCs w:val="20"/>
                <w:color w:val="auto"/>
              </w:rPr>
            </w:pPr>
            <w:r>
              <w:rPr>
                <w:rFonts w:ascii="Arial" w:cs="Arial" w:eastAsia="Arial" w:hAnsi="Arial"/>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Arial" w:cs="Arial" w:eastAsia="Arial" w:hAnsi="Arial"/>
                <w:sz w:val="16"/>
                <w:szCs w:val="16"/>
                <w:color w:val="auto"/>
                <w:w w:val="91"/>
              </w:rPr>
              <w:t>(Address of principal executive offices)</w:t>
            </w:r>
          </w:p>
        </w:tc>
        <w:tc>
          <w:tcPr>
            <w:tcW w:w="2560" w:type="dxa"/>
            <w:vAlign w:val="bottom"/>
          </w:tcPr>
          <w:p>
            <w:pPr>
              <w:jc w:val="center"/>
              <w:ind w:left="141"/>
              <w:spacing w:after="0"/>
              <w:rPr>
                <w:sz w:val="20"/>
                <w:szCs w:val="20"/>
                <w:color w:val="auto"/>
              </w:rPr>
            </w:pPr>
            <w:r>
              <w:rPr>
                <w:rFonts w:ascii="Arial" w:cs="Arial" w:eastAsia="Arial" w:hAnsi="Arial"/>
                <w:sz w:val="16"/>
                <w:szCs w:val="16"/>
                <w:color w:val="auto"/>
                <w:w w:val="92"/>
              </w:rPr>
              <w:t>(Zip Code)</w:t>
            </w:r>
          </w:p>
        </w:tc>
      </w:tr>
      <w:tr>
        <w:trPr>
          <w:trHeight w:val="517"/>
        </w:trPr>
        <w:tc>
          <w:tcPr>
            <w:tcW w:w="4840" w:type="dxa"/>
            <w:vAlign w:val="bottom"/>
          </w:tcPr>
          <w:p>
            <w:pPr>
              <w:jc w:val="right"/>
              <w:ind w:right="181"/>
              <w:spacing w:after="0"/>
              <w:rPr>
                <w:sz w:val="20"/>
                <w:szCs w:val="20"/>
                <w:color w:val="auto"/>
              </w:rPr>
            </w:pPr>
            <w:r>
              <w:rPr>
                <w:rFonts w:ascii="Arial" w:cs="Arial" w:eastAsia="Arial" w:hAnsi="Arial"/>
                <w:sz w:val="16"/>
                <w:szCs w:val="16"/>
                <w:b w:val="1"/>
                <w:bCs w:val="1"/>
                <w:color w:val="auto"/>
              </w:rPr>
              <w:t>(818) 240-6055</w:t>
            </w:r>
          </w:p>
        </w:tc>
        <w:tc>
          <w:tcPr>
            <w:tcW w:w="2560" w:type="dxa"/>
            <w:vAlign w:val="bottom"/>
          </w:tcPr>
          <w:p>
            <w:pPr>
              <w:spacing w:after="0"/>
              <w:rPr>
                <w:sz w:val="24"/>
                <w:szCs w:val="24"/>
                <w:color w:val="auto"/>
              </w:rPr>
            </w:pPr>
          </w:p>
        </w:tc>
      </w:tr>
    </w:tbl>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Trading symbol(s)</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2"/>
        </w:trPr>
        <w:tc>
          <w:tcPr>
            <w:tcW w:w="42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Common Stock, $0.01 par value</w:t>
            </w:r>
          </w:p>
        </w:tc>
        <w:tc>
          <w:tcPr>
            <w:tcW w:w="2800" w:type="dxa"/>
            <w:vAlign w:val="bottom"/>
          </w:tcPr>
          <w:p>
            <w:pPr>
              <w:jc w:val="center"/>
              <w:spacing w:after="0"/>
              <w:rPr>
                <w:sz w:val="20"/>
                <w:szCs w:val="20"/>
                <w:color w:val="auto"/>
              </w:rPr>
            </w:pPr>
            <w:r>
              <w:rPr>
                <w:rFonts w:ascii="Arial" w:cs="Arial" w:eastAsia="Arial" w:hAnsi="Arial"/>
                <w:sz w:val="16"/>
                <w:szCs w:val="16"/>
                <w:color w:val="auto"/>
              </w:rPr>
              <w:t>DIN</w:t>
            </w:r>
          </w:p>
        </w:tc>
        <w:tc>
          <w:tcPr>
            <w:tcW w:w="4200" w:type="dxa"/>
            <w:vAlign w:val="bottom"/>
          </w:tcPr>
          <w:p>
            <w:pPr>
              <w:jc w:val="center"/>
              <w:spacing w:after="0"/>
              <w:rPr>
                <w:sz w:val="20"/>
                <w:szCs w:val="20"/>
                <w:color w:val="auto"/>
              </w:rPr>
            </w:pPr>
            <w:r>
              <w:rPr>
                <w:rFonts w:ascii="Arial" w:cs="Arial" w:eastAsia="Arial" w:hAnsi="Arial"/>
                <w:sz w:val="16"/>
                <w:szCs w:val="16"/>
                <w:color w:val="auto"/>
                <w:w w:val="90"/>
              </w:rPr>
              <w:t>New York Stock Exchange</w:t>
            </w:r>
          </w:p>
        </w:tc>
      </w:tr>
    </w:tbl>
    <w:p>
      <w:pPr>
        <w:spacing w:after="0" w:line="258" w:lineRule="exact"/>
        <w:rPr>
          <w:sz w:val="24"/>
          <w:szCs w:val="24"/>
          <w:color w:val="auto"/>
        </w:rPr>
      </w:pPr>
    </w:p>
    <w:p>
      <w:pPr>
        <w:ind w:right="160" w:firstLine="318"/>
        <w:spacing w:after="0" w:line="19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362"/>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40" w:firstLine="362"/>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vMerge w:val="restart"/>
          </w:tcPr>
          <w:p>
            <w:pPr>
              <w:ind w:left="2180"/>
              <w:spacing w:after="0"/>
              <w:rPr>
                <w:sz w:val="20"/>
                <w:szCs w:val="20"/>
                <w:color w:val="auto"/>
              </w:rPr>
            </w:pPr>
            <w:r>
              <w:rPr>
                <w:rFonts w:ascii="Arial" w:cs="Arial" w:eastAsia="Arial" w:hAnsi="Arial"/>
                <w:sz w:val="18"/>
                <w:szCs w:val="18"/>
                <w:color w:val="auto"/>
              </w:rPr>
              <w:t>Smaller reporting</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00" w:type="dxa"/>
            <w:vAlign w:val="bottom"/>
            <w:vMerge w:val="continue"/>
          </w:tcPr>
          <w:p>
            <w:pPr>
              <w:spacing w:after="0"/>
              <w:rPr>
                <w:sz w:val="13"/>
                <w:szCs w:val="13"/>
                <w:color w:val="auto"/>
              </w:rPr>
            </w:pP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0" w:type="dxa"/>
            <w:vAlign w:val="bottom"/>
          </w:tcPr>
          <w:p>
            <w:pPr>
              <w:ind w:left="2180"/>
              <w:spacing w:after="0" w:line="172" w:lineRule="exact"/>
              <w:rPr>
                <w:sz w:val="20"/>
                <w:szCs w:val="20"/>
                <w:color w:val="auto"/>
              </w:rPr>
            </w:pPr>
            <w:r>
              <w:rPr>
                <w:rFonts w:ascii="Arial" w:cs="Arial" w:eastAsia="Arial" w:hAnsi="Arial"/>
                <w:sz w:val="18"/>
                <w:szCs w:val="18"/>
                <w:color w:val="auto"/>
              </w:rPr>
              <w:t>Emerging growth</w:t>
            </w:r>
          </w:p>
        </w:tc>
        <w:tc>
          <w:tcPr>
            <w:tcW w:w="74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00" w:type="dxa"/>
            <w:vAlign w:val="bottom"/>
          </w:tcPr>
          <w:p>
            <w:pPr>
              <w:ind w:left="1160"/>
              <w:spacing w:after="0"/>
              <w:rPr>
                <w:sz w:val="20"/>
                <w:szCs w:val="20"/>
                <w:color w:val="auto"/>
              </w:rPr>
            </w:pPr>
            <w:r>
              <w:rPr>
                <w:rFonts w:ascii="Arial" w:cs="Arial" w:eastAsia="Arial" w:hAnsi="Arial"/>
                <w:sz w:val="18"/>
                <w:szCs w:val="18"/>
                <w:color w:val="auto"/>
              </w:rPr>
              <w:t>company</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40" w:firstLine="318"/>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left="420" w:right="2380" w:hanging="87"/>
        <w:spacing w:after="0" w:line="22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July 29, 2021, the Registrant had 17,176,018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502920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620" w:type="dxa"/>
            <w:vAlign w:val="bottom"/>
          </w:tcPr>
          <w:p>
            <w:pPr>
              <w:spacing w:after="0" w:line="186" w:lineRule="exact"/>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PART I.</w:t>
              </w:r>
            </w:hyperlink>
          </w:p>
        </w:tc>
        <w:tc>
          <w:tcPr>
            <w:tcW w:w="380" w:type="dxa"/>
            <w:vAlign w:val="bottom"/>
          </w:tcPr>
          <w:p>
            <w:pPr>
              <w:spacing w:after="0"/>
              <w:rPr>
                <w:sz w:val="16"/>
                <w:szCs w:val="16"/>
                <w:color w:val="auto"/>
              </w:rPr>
            </w:pPr>
          </w:p>
        </w:tc>
        <w:tc>
          <w:tcPr>
            <w:tcW w:w="9640" w:type="dxa"/>
            <w:vAlign w:val="bottom"/>
            <w:gridSpan w:val="19"/>
          </w:tcPr>
          <w:p>
            <w:pPr>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40" w:type="dxa"/>
            <w:vAlign w:val="bottom"/>
            <w:gridSpan w:val="4"/>
          </w:tcPr>
          <w:p>
            <w:pPr>
              <w:jc w:val="right"/>
              <w:ind w:right="20"/>
              <w:spacing w:after="0" w:line="18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Item 1—Financial Statements</w:t>
              </w:r>
            </w:hyperlink>
          </w:p>
        </w:tc>
        <w:tc>
          <w:tcPr>
            <w:tcW w:w="7440" w:type="dxa"/>
            <w:vAlign w:val="bottom"/>
            <w:gridSpan w:val="10"/>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8"/>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Consolidated Balance Sheets - June 30, 2021 (unaudited) and December 31,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8"/>
          </w:tcPr>
          <w:p>
            <w:pPr>
              <w:spacing w:after="0" w:line="205"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Comprehensive Income (unaudited) - Three and Six Months Ended June 30, 2021 and 2020</w:t>
              </w:r>
            </w:hyperlink>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80" w:type="dxa"/>
            <w:vAlign w:val="bottom"/>
            <w:gridSpan w:val="16"/>
          </w:tcPr>
          <w:p>
            <w:pPr>
              <w:spacing w:after="0" w:line="205"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Statements of Stockholders' Deficit (unaudited) - Three and Six Months Ended June 30, 2021 and 2020</w:t>
              </w:r>
            </w:hyperlink>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15"/>
          </w:tcPr>
          <w:p>
            <w:pPr>
              <w:spacing w:after="0" w:line="205"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Consolidated Statements of Cash Flows (unaudited) - Six Months Ended June 30, 2021 and 2020</w:t>
              </w:r>
            </w:hyperlink>
          </w:p>
        </w:tc>
        <w:tc>
          <w:tcPr>
            <w:tcW w:w="14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15"/>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262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rFonts w:ascii="Arial" w:cs="Arial" w:eastAsia="Arial" w:hAnsi="Arial"/>
                <w:sz w:val="18"/>
                <w:szCs w:val="18"/>
                <w:color w:val="0000FF"/>
              </w:rPr>
            </w:pPr>
            <w:hyperlink w:anchor="page27">
              <w:r>
                <w:rPr>
                  <w:rFonts w:ascii="Arial" w:cs="Arial" w:eastAsia="Arial" w:hAnsi="Arial"/>
                  <w:sz w:val="18"/>
                  <w:szCs w:val="18"/>
                  <w:color w:val="0000FF"/>
                </w:rPr>
                <w:t>Item 2—Management’s Discussion and Analysis of Financial Condition and Results of Operations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Item 3—Quantitative and Qualitative Disclosures about Market Risk</w:t>
              </w:r>
            </w:hyperlink>
          </w:p>
        </w:tc>
        <w:tc>
          <w:tcPr>
            <w:tcW w:w="2160" w:type="dxa"/>
            <w:vAlign w:val="bottom"/>
            <w:tcBorders>
              <w:top w:val="single" w:sz="8" w:color="0000FF"/>
            </w:tcBorders>
            <w:gridSpan w:val="3"/>
          </w:tcPr>
          <w:p>
            <w:pPr>
              <w:spacing w:after="0"/>
              <w:rPr>
                <w:sz w:val="17"/>
                <w:szCs w:val="17"/>
                <w:color w:val="auto"/>
              </w:rPr>
            </w:pPr>
          </w:p>
        </w:tc>
        <w:tc>
          <w:tcPr>
            <w:tcW w:w="262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w:t>
              </w:r>
            </w:hyperlink>
          </w:p>
        </w:tc>
        <w:tc>
          <w:tcPr>
            <w:tcW w:w="9640" w:type="dxa"/>
            <w:vAlign w:val="bottom"/>
            <w:gridSpan w:val="19"/>
          </w:tcPr>
          <w:p>
            <w:pPr>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Item 4—Controls and Procedures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72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rFonts w:ascii="Arial" w:cs="Arial" w:eastAsia="Arial" w:hAnsi="Arial"/>
                <w:sz w:val="18"/>
                <w:szCs w:val="18"/>
                <w:color w:val="0000FF"/>
                <w:w w:val="88"/>
              </w:rPr>
            </w:pPr>
            <w:hyperlink w:anchor="page49">
              <w:r>
                <w:rPr>
                  <w:rFonts w:ascii="Arial" w:cs="Arial" w:eastAsia="Arial" w:hAnsi="Arial"/>
                  <w:sz w:val="18"/>
                  <w:szCs w:val="18"/>
                  <w:color w:val="0000FF"/>
                  <w:w w:val="88"/>
                </w:rPr>
                <w:t>Item 1—Legal Proceedings</w:t>
              </w:r>
            </w:hyperlink>
          </w:p>
        </w:tc>
        <w:tc>
          <w:tcPr>
            <w:tcW w:w="770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Item 1A—Risk Factors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rFonts w:ascii="Arial" w:cs="Arial" w:eastAsia="Arial" w:hAnsi="Arial"/>
                <w:sz w:val="18"/>
                <w:szCs w:val="18"/>
                <w:color w:val="0000FF"/>
                <w:w w:val="88"/>
              </w:rPr>
            </w:pPr>
            <w:hyperlink w:anchor="page49">
              <w:r>
                <w:rPr>
                  <w:rFonts w:ascii="Arial" w:cs="Arial" w:eastAsia="Arial" w:hAnsi="Arial"/>
                  <w:sz w:val="18"/>
                  <w:szCs w:val="18"/>
                  <w:color w:val="0000FF"/>
                  <w:w w:val="88"/>
                </w:rPr>
                <w:t>Item 2—Unregistered Sales of Equity Securities and Use of Proceeds</w:t>
              </w:r>
            </w:hyperlink>
          </w:p>
        </w:tc>
        <w:tc>
          <w:tcPr>
            <w:tcW w:w="474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Item 3—Defaults Upon Senior Securities</w:t>
              </w:r>
            </w:hyperlink>
          </w:p>
        </w:tc>
        <w:tc>
          <w:tcPr>
            <w:tcW w:w="672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Item 4—Mine Safety Disclosures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Item 5—Other Information</w:t>
              </w:r>
            </w:hyperlink>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Item 6—Exhibits</w:t>
              </w:r>
            </w:hyperlink>
          </w:p>
        </w:tc>
        <w:tc>
          <w:tcPr>
            <w:tcW w:w="842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19"/>
          </w:tcPr>
          <w:p>
            <w:pPr>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Signatures</w:t>
              </w:r>
            </w:hyperlink>
          </w:p>
        </w:tc>
        <w:tc>
          <w:tcPr>
            <w:tcW w:w="520" w:type="dxa"/>
            <w:vAlign w:val="bottom"/>
            <w:gridSpan w:val="3"/>
          </w:tcPr>
          <w:p>
            <w:pPr>
              <w:jc w:val="right"/>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and its ultimate impact on our business;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2020 and in our other filings with the Securities and Exchange Commission, many of which are beyond our control.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5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second fiscal quarter of 2021 ended on July 4, 2021. The first fiscal quarter of 2020 began on December 30, 2019 and ended on March 29, 2020; the second fiscal quarter of 2020 ended on June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2"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480" w:type="dxa"/>
            <w:vAlign w:val="bottom"/>
          </w:tcPr>
          <w:p>
            <w:pPr>
              <w:ind w:left="34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88"/>
              </w:rPr>
              <w:t>June 30, 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383,369</w:t>
            </w:r>
          </w:p>
        </w:tc>
        <w:tc>
          <w:tcPr>
            <w:tcW w:w="0" w:type="dxa"/>
            <w:vAlign w:val="bottom"/>
          </w:tcPr>
          <w:p>
            <w:pPr>
              <w:spacing w:after="0"/>
              <w:rPr>
                <w:sz w:val="1"/>
                <w:szCs w:val="1"/>
                <w:color w:val="auto"/>
              </w:rPr>
            </w:pPr>
          </w:p>
        </w:tc>
      </w:tr>
      <w:tr>
        <w:trPr>
          <w:trHeight w:val="209"/>
        </w:trPr>
        <w:tc>
          <w:tcPr>
            <w:tcW w:w="7480" w:type="dxa"/>
            <w:vAlign w:val="bottom"/>
          </w:tcPr>
          <w:p>
            <w:pPr>
              <w:ind w:left="140"/>
              <w:spacing w:after="0"/>
              <w:rPr>
                <w:sz w:val="20"/>
                <w:szCs w:val="20"/>
                <w:color w:val="auto"/>
              </w:rPr>
            </w:pPr>
            <w:r>
              <w:rPr>
                <w:rFonts w:ascii="Arial" w:cs="Arial" w:eastAsia="Arial" w:hAnsi="Arial"/>
                <w:sz w:val="16"/>
                <w:szCs w:val="16"/>
                <w:color w:val="auto"/>
              </w:rPr>
              <w:t>Receivables, net of allowance of $10,095 (2021) and $15,057 (2020)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121,897</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39,884</w:t>
            </w:r>
          </w:p>
        </w:tc>
        <w:tc>
          <w:tcPr>
            <w:tcW w:w="0" w:type="dxa"/>
            <w:vAlign w:val="bottom"/>
          </w:tcPr>
          <w:p>
            <w:pPr>
              <w:spacing w:after="0"/>
              <w:rPr>
                <w:sz w:val="1"/>
                <w:szCs w:val="1"/>
                <w:color w:val="auto"/>
              </w:rPr>
            </w:pPr>
          </w:p>
        </w:tc>
      </w:tr>
      <w:tr>
        <w:trPr>
          <w:trHeight w:val="209"/>
        </w:trPr>
        <w:tc>
          <w:tcPr>
            <w:tcW w:w="7480" w:type="dxa"/>
            <w:vAlign w:val="bottom"/>
          </w:tcPr>
          <w:p>
            <w:pPr>
              <w:ind w:left="140"/>
              <w:spacing w:after="0"/>
              <w:rPr>
                <w:sz w:val="20"/>
                <w:szCs w:val="20"/>
                <w:color w:val="auto"/>
              </w:rPr>
            </w:pPr>
            <w:r>
              <w:rPr>
                <w:rFonts w:ascii="Arial" w:cs="Arial" w:eastAsia="Arial" w:hAnsi="Arial"/>
                <w:sz w:val="16"/>
                <w:szCs w:val="16"/>
                <w:color w:val="auto"/>
              </w:rPr>
              <w:t>Prepaid gift card costs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income taxes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6,178</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6,098</w:t>
            </w:r>
          </w:p>
        </w:tc>
        <w:tc>
          <w:tcPr>
            <w:tcW w:w="0" w:type="dxa"/>
            <w:vAlign w:val="bottom"/>
          </w:tcPr>
          <w:p>
            <w:pPr>
              <w:spacing w:after="0"/>
              <w:rPr>
                <w:sz w:val="1"/>
                <w:szCs w:val="1"/>
                <w:color w:val="auto"/>
              </w:rPr>
            </w:pPr>
          </w:p>
        </w:tc>
      </w:tr>
      <w:tr>
        <w:trPr>
          <w:trHeight w:val="208"/>
        </w:trPr>
        <w:tc>
          <w:tcPr>
            <w:tcW w:w="7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586,506</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544,587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549,671</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346,086</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251,628</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187,977</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Long-term receivables, net of allowance of $5,503 (2021) and $7,999 (2020)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54,512</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rent receivable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56,449</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Non-current restricted cash</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32,800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1,895,923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440"/>
              <w:spacing w:after="0"/>
              <w:rPr>
                <w:sz w:val="20"/>
                <w:szCs w:val="20"/>
                <w:color w:val="auto"/>
              </w:rPr>
            </w:pPr>
            <w:r>
              <w:rPr>
                <w:rFonts w:ascii="Arial" w:cs="Arial" w:eastAsia="Arial" w:hAnsi="Arial"/>
                <w:sz w:val="16"/>
                <w:szCs w:val="16"/>
                <w:b w:val="1"/>
                <w:bCs w:val="1"/>
                <w:color w:val="auto"/>
              </w:rPr>
              <w:t>Liabilities and Stockholders’ Deficit</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0"/>
        </w:trPr>
        <w:tc>
          <w:tcPr>
            <w:tcW w:w="74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37,424</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liability</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144,159</w:t>
            </w:r>
          </w:p>
        </w:tc>
        <w:tc>
          <w:tcPr>
            <w:tcW w:w="0" w:type="dxa"/>
            <w:vAlign w:val="bottom"/>
          </w:tcPr>
          <w:p>
            <w:pPr>
              <w:spacing w:after="0"/>
              <w:rPr>
                <w:sz w:val="1"/>
                <w:szCs w:val="1"/>
                <w:color w:val="auto"/>
              </w:rPr>
            </w:pPr>
          </w:p>
        </w:tc>
      </w:tr>
      <w:tr>
        <w:trPr>
          <w:trHeight w:val="209"/>
        </w:trPr>
        <w:tc>
          <w:tcPr>
            <w:tcW w:w="7480" w:type="dxa"/>
            <w:vAlign w:val="bottom"/>
          </w:tcPr>
          <w:p>
            <w:pPr>
              <w:ind w:left="140"/>
              <w:spacing w:after="0"/>
              <w:rPr>
                <w:sz w:val="20"/>
                <w:szCs w:val="20"/>
                <w:color w:val="auto"/>
              </w:rPr>
            </w:pPr>
            <w:r>
              <w:rPr>
                <w:rFonts w:ascii="Arial" w:cs="Arial" w:eastAsia="Arial" w:hAnsi="Arial"/>
                <w:sz w:val="16"/>
                <w:szCs w:val="16"/>
                <w:color w:val="auto"/>
              </w:rPr>
              <w:t>Current maturities of operating lease obligations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70,491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69,672</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finance lease and financing obligations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w:t>
            </w:r>
          </w:p>
        </w:tc>
        <w:tc>
          <w:tcPr>
            <w:tcW w:w="0" w:type="dxa"/>
            <w:vAlign w:val="bottom"/>
          </w:tcPr>
          <w:p>
            <w:pPr>
              <w:spacing w:after="0"/>
              <w:rPr>
                <w:sz w:val="1"/>
                <w:szCs w:val="1"/>
                <w:color w:val="auto"/>
              </w:rPr>
            </w:pPr>
          </w:p>
        </w:tc>
      </w:tr>
      <w:tr>
        <w:trPr>
          <w:trHeight w:val="210"/>
        </w:trPr>
        <w:tc>
          <w:tcPr>
            <w:tcW w:w="7480" w:type="dxa"/>
            <w:vAlign w:val="bottom"/>
          </w:tcPr>
          <w:p>
            <w:pPr>
              <w:ind w:left="140"/>
              <w:spacing w:after="0"/>
              <w:rPr>
                <w:sz w:val="20"/>
                <w:szCs w:val="20"/>
                <w:color w:val="auto"/>
              </w:rPr>
            </w:pPr>
            <w:r>
              <w:rPr>
                <w:rFonts w:ascii="Arial" w:cs="Arial" w:eastAsia="Arial" w:hAnsi="Arial"/>
                <w:sz w:val="16"/>
                <w:szCs w:val="16"/>
                <w:color w:val="auto"/>
              </w:rPr>
              <w:t>Accrued employee compensation and benefits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21,237</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advertising</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21,641</w:t>
            </w:r>
          </w:p>
        </w:tc>
        <w:tc>
          <w:tcPr>
            <w:tcW w:w="0" w:type="dxa"/>
            <w:vAlign w:val="bottom"/>
          </w:tcPr>
          <w:p>
            <w:pPr>
              <w:spacing w:after="0"/>
              <w:rPr>
                <w:sz w:val="1"/>
                <w:szCs w:val="1"/>
                <w:color w:val="auto"/>
              </w:rPr>
            </w:pPr>
          </w:p>
        </w:tc>
      </w:tr>
      <w:tr>
        <w:trPr>
          <w:trHeight w:val="209"/>
        </w:trPr>
        <w:tc>
          <w:tcPr>
            <w:tcW w:w="7480" w:type="dxa"/>
            <w:vAlign w:val="bottom"/>
          </w:tcPr>
          <w:p>
            <w:pPr>
              <w:ind w:left="140"/>
              <w:spacing w:after="0"/>
              <w:rPr>
                <w:sz w:val="20"/>
                <w:szCs w:val="20"/>
                <w:color w:val="auto"/>
              </w:rPr>
            </w:pPr>
            <w:r>
              <w:rPr>
                <w:rFonts w:ascii="Arial" w:cs="Arial" w:eastAsia="Arial" w:hAnsi="Arial"/>
                <w:sz w:val="16"/>
                <w:szCs w:val="16"/>
                <w:color w:val="auto"/>
              </w:rPr>
              <w:t>Deferred franchise revenue, short-term</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7,682</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22,460</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344,855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348,568</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1,278,504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1,491,996</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Operating lease obligations, less current maturities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345,163</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obligations, less current maturities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69,012</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Financing obligations, less current maturities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32,797</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78,293</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Deferred franchise revenue, long-term</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47,794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52,237</w:t>
            </w: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2,178,674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2,429,596</w:t>
            </w: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$1 par value, 10,000,000 shares authorized; no shares issued or outstanding</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220"/>
              <w:spacing w:after="0" w:line="162" w:lineRule="exact"/>
              <w:rPr>
                <w:sz w:val="20"/>
                <w:szCs w:val="20"/>
                <w:color w:val="auto"/>
              </w:rPr>
            </w:pPr>
            <w:r>
              <w:rPr>
                <w:rFonts w:ascii="Arial" w:cs="Arial" w:eastAsia="Arial" w:hAnsi="Arial"/>
                <w:sz w:val="16"/>
                <w:szCs w:val="16"/>
                <w:color w:val="auto"/>
                <w:w w:val="91"/>
              </w:rPr>
              <w:t>Common stock, $0.01 par value; shares: 40,000,000 authorized; June 30, 2021 - 25,011,253 issued, 17,177,950</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7480" w:type="dxa"/>
            <w:vAlign w:val="bottom"/>
          </w:tcPr>
          <w:p>
            <w:pPr>
              <w:ind w:left="220"/>
              <w:spacing w:after="0"/>
              <w:rPr>
                <w:sz w:val="20"/>
                <w:szCs w:val="20"/>
                <w:color w:val="auto"/>
              </w:rPr>
            </w:pPr>
            <w:r>
              <w:rPr>
                <w:rFonts w:ascii="Arial" w:cs="Arial" w:eastAsia="Arial" w:hAnsi="Arial"/>
                <w:sz w:val="16"/>
                <w:szCs w:val="16"/>
                <w:color w:val="auto"/>
              </w:rPr>
              <w:t>outstanding; December 31, 2020 - 24,882,122 issued, 16,452,174 outstanding</w:t>
            </w: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paid-in-capital</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257,625</w:t>
            </w: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(55,553)</w:t>
            </w: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shares: June 30, 2021 - 7,833,303; December 31, 2020 - 8,429,948</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(556,917)</w:t>
            </w: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deficit</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(282,751)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(354,651)</w:t>
            </w:r>
          </w:p>
        </w:tc>
        <w:tc>
          <w:tcPr>
            <w:tcW w:w="0" w:type="dxa"/>
            <w:vAlign w:val="bottom"/>
          </w:tcPr>
          <w:p>
            <w:pPr>
              <w:spacing w:after="0"/>
              <w:rPr>
                <w:sz w:val="1"/>
                <w:szCs w:val="1"/>
                <w:color w:val="auto"/>
              </w:rPr>
            </w:pPr>
          </w:p>
        </w:tc>
      </w:tr>
      <w:tr>
        <w:trPr>
          <w:trHeight w:val="208"/>
        </w:trPr>
        <w:tc>
          <w:tcPr>
            <w:tcW w:w="7480" w:type="dxa"/>
            <w:vAlign w:val="bottom"/>
          </w:tcPr>
          <w:p>
            <w:pPr>
              <w:ind w:left="380"/>
              <w:spacing w:after="0"/>
              <w:rPr>
                <w:sz w:val="20"/>
                <w:szCs w:val="20"/>
                <w:color w:val="auto"/>
              </w:rPr>
            </w:pPr>
            <w:r>
              <w:rPr>
                <w:rFonts w:ascii="Arial" w:cs="Arial" w:eastAsia="Arial" w:hAnsi="Arial"/>
                <w:sz w:val="16"/>
                <w:szCs w:val="16"/>
                <w:color w:val="auto"/>
              </w:rPr>
              <w:t>Total liabilities and stockholders’ deficit</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1,895,923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2,074,945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center"/>
              <w:ind w:right="132"/>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Franchise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Royalties, franchise fees and other</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94,630</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38,781</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174,721</w:t>
            </w:r>
          </w:p>
        </w:tc>
        <w:tc>
          <w:tcPr>
            <w:tcW w:w="100" w:type="dxa"/>
            <w:vAlign w:val="bottom"/>
          </w:tcPr>
          <w:p>
            <w:pPr>
              <w:spacing w:after="0"/>
              <w:rPr>
                <w:sz w:val="19"/>
                <w:szCs w:val="19"/>
                <w:color w:val="auto"/>
              </w:rPr>
            </w:pPr>
          </w:p>
        </w:tc>
        <w:tc>
          <w:tcPr>
            <w:tcW w:w="400" w:type="dxa"/>
            <w:vAlign w:val="bottom"/>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122,095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Total franchise revenues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67,876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212,913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sales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52,716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Advertising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Bad debt (credit)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franchise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Total franchise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144,200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Company restaurant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 from finance leases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rental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rental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202,047</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184,163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114,549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68,478</w:t>
            </w:r>
          </w:p>
        </w:tc>
        <w:tc>
          <w:tcPr>
            <w:tcW w:w="0" w:type="dxa"/>
            <w:vAlign w:val="bottom"/>
          </w:tcPr>
          <w:p>
            <w:pPr>
              <w:spacing w:after="0"/>
              <w:rPr>
                <w:sz w:val="1"/>
                <w:szCs w:val="1"/>
                <w:color w:val="auto"/>
              </w:rPr>
            </w:pPr>
          </w:p>
        </w:tc>
      </w:tr>
      <w:tr>
        <w:trPr>
          <w:trHeight w:val="225"/>
        </w:trPr>
        <w:tc>
          <w:tcPr>
            <w:tcW w:w="6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32,299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closure charges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124,353</w:t>
            </w:r>
          </w:p>
        </w:tc>
        <w:tc>
          <w:tcPr>
            <w:tcW w:w="0" w:type="dxa"/>
            <w:vAlign w:val="bottom"/>
          </w:tcPr>
          <w:p>
            <w:pPr>
              <w:spacing w:after="0"/>
              <w:rPr>
                <w:sz w:val="1"/>
                <w:szCs w:val="1"/>
                <w:color w:val="auto"/>
              </w:rPr>
            </w:pPr>
          </w:p>
        </w:tc>
      </w:tr>
      <w:tr>
        <w:trPr>
          <w:trHeight w:val="225"/>
        </w:trPr>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(117,705)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(112,451)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29,361</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(134,779)</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54,963</w:t>
            </w:r>
          </w:p>
        </w:tc>
        <w:tc>
          <w:tcPr>
            <w:tcW w:w="100" w:type="dxa"/>
            <w:vAlign w:val="bottom"/>
          </w:tcPr>
          <w:p>
            <w:pPr>
              <w:spacing w:after="0"/>
              <w:rPr>
                <w:sz w:val="19"/>
                <w:szCs w:val="19"/>
                <w:color w:val="auto"/>
              </w:rPr>
            </w:pPr>
          </w:p>
        </w:tc>
        <w:tc>
          <w:tcPr>
            <w:tcW w:w="400" w:type="dxa"/>
            <w:vAlign w:val="bottom"/>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(112,451)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(8.33)</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400" w:type="dxa"/>
            <w:vAlign w:val="bottom"/>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center"/>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6"/>
                <w:szCs w:val="16"/>
                <w:b w:val="1"/>
                <w:bCs w:val="1"/>
                <w:color w:val="auto"/>
                <w:w w:val="89"/>
              </w:rPr>
              <w:t>Three Months ended June 30, 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spacing w:after="0"/>
              <w:rPr>
                <w:sz w:val="20"/>
                <w:szCs w:val="20"/>
                <w:color w:val="auto"/>
              </w:rPr>
            </w:pPr>
          </w:p>
        </w:tc>
        <w:tc>
          <w:tcPr>
            <w:tcW w:w="184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2"/>
              </w:rPr>
              <w:t>Treasury Stock</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Retained Earnings</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72"/>
              <w:spacing w:after="0" w:line="120" w:lineRule="exact"/>
              <w:rPr>
                <w:sz w:val="20"/>
                <w:szCs w:val="20"/>
                <w:color w:val="auto"/>
              </w:rPr>
            </w:pPr>
            <w:r>
              <w:rPr>
                <w:rFonts w:ascii="Arial" w:cs="Arial" w:eastAsia="Arial" w:hAnsi="Arial"/>
                <w:sz w:val="12"/>
                <w:szCs w:val="12"/>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2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Cost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Capital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247,498</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7,891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(317,402)</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4"/>
                <w:szCs w:val="14"/>
                <w:color w:val="auto"/>
              </w:rPr>
              <w:t>29,362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29,362</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color w:val="auto"/>
              </w:rPr>
              <w:t>Reissuance of treasury stock</w:t>
            </w: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Net issuance of shares for stock plans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6"/>
                <w:szCs w:val="16"/>
                <w:color w:val="auto"/>
              </w:rPr>
              <w:t>Repurchase of restricted shares for taxes</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Arial" w:cs="Arial" w:eastAsia="Arial" w:hAnsi="Arial"/>
                <w:sz w:val="16"/>
                <w:szCs w:val="16"/>
                <w:color w:val="auto"/>
                <w:w w:val="96"/>
              </w:rPr>
              <w:t>Tax payments for share settlement of restricted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20"/>
                <w:szCs w:val="20"/>
                <w:color w:val="auto"/>
              </w:rPr>
            </w:pPr>
            <w:r>
              <w:rPr>
                <w:rFonts w:ascii="Arial" w:cs="Arial" w:eastAsia="Arial" w:hAnsi="Arial"/>
                <w:sz w:val="16"/>
                <w:szCs w:val="16"/>
                <w:color w:val="auto"/>
              </w:rPr>
              <w:t>stock units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6"/>
        </w:trPr>
        <w:tc>
          <w:tcPr>
            <w:tcW w:w="3240" w:type="dxa"/>
            <w:vAlign w:val="bottom"/>
            <w:tcBorders>
              <w:top w:val="single" w:sz="8" w:color="CCEEFF"/>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Balance at June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7,833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center"/>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(282,751)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6"/>
              </w:rPr>
              <w:t>Six Months ended June 30, 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11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Retained Earnings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(556,917)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54,965</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24,052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22,511</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w w:val="98"/>
              </w:rPr>
              <w:t>Tax payments for share settlement of restricted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(9,783)</w:t>
            </w: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(532,865)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(282,751)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3"/>
              </w:rPr>
              <w:t>Three Months ended June 30, 2020</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380"/>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9"/>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72"/>
              <w:spacing w:after="0" w:line="120"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11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w w:val="95"/>
              </w:rPr>
              <w:t>Deficit) Retained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60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Cost</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Outstanding</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3"/>
              </w:rPr>
              <w:t>Earnings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96"/>
              </w:rPr>
              <w:t>(58)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(236,377)</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(134,779)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(134,779)</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72"/>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Arial" w:cs="Arial" w:eastAsia="Arial" w:hAnsi="Arial"/>
                <w:sz w:val="16"/>
                <w:szCs w:val="16"/>
                <w:color w:val="auto"/>
                <w:w w:val="97"/>
              </w:rPr>
              <w:t>Tax payments for share settlement of restricted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center"/>
              <w:ind w:left="572"/>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6"/>
        </w:trPr>
        <w:tc>
          <w:tcPr>
            <w:tcW w:w="330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Arial" w:cs="Arial" w:eastAsia="Arial" w:hAnsi="Arial"/>
                <w:sz w:val="14"/>
                <w:szCs w:val="14"/>
                <w:color w:val="auto"/>
                <w:w w:val="96"/>
              </w:rPr>
              <w:t>(58)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(559,181)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(368,571)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6"/>
              </w:rPr>
              <w:t>Six Months ended June 30, 2020</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860" w:type="dxa"/>
            <w:vAlign w:val="bottom"/>
            <w:gridSpan w:val="5"/>
          </w:tcPr>
          <w:p>
            <w:pPr>
              <w:ind w:left="4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400"/>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Other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4"/>
              </w:rPr>
              <w:t>Paid-in</w:t>
            </w:r>
          </w:p>
        </w:tc>
        <w:tc>
          <w:tcPr>
            <w:tcW w:w="114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w w:val="95"/>
              </w:rPr>
              <w:t>Deficit) Retained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0"/>
                <w:szCs w:val="10"/>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Earnings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246,192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center"/>
              <w:ind w:left="672"/>
              <w:spacing w:after="0"/>
              <w:rPr>
                <w:sz w:val="20"/>
                <w:szCs w:val="20"/>
                <w:color w:val="auto"/>
              </w:rPr>
            </w:pPr>
            <w:r>
              <w:rPr>
                <w:rFonts w:ascii="Arial" w:cs="Arial" w:eastAsia="Arial" w:hAnsi="Arial"/>
                <w:sz w:val="14"/>
                <w:szCs w:val="14"/>
                <w:color w:val="auto"/>
                <w:w w:val="88"/>
              </w:rPr>
              <w:t>(58)</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(549,810)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(241,774)</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Adoption of credit loss accounting guidance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(Note 3)</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98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center"/>
              <w:ind w:left="5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(26,527)</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Reissuance of treasury stock</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9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20,523</w:t>
            </w: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Net issuance of shares for stock plans</w:t>
            </w: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restricted shares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6,670</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(12,208)</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w w:val="98"/>
              </w:rPr>
              <w:t>Tax payments for share settlement of restricted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stock units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center"/>
              <w:ind w:left="592"/>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6"/>
        </w:trPr>
        <w:tc>
          <w:tcPr>
            <w:tcW w:w="332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center"/>
              <w:ind w:left="672"/>
              <w:spacing w:after="0"/>
              <w:rPr>
                <w:sz w:val="20"/>
                <w:szCs w:val="20"/>
                <w:color w:val="auto"/>
              </w:rPr>
            </w:pPr>
            <w:r>
              <w:rPr>
                <w:rFonts w:ascii="Arial" w:cs="Arial" w:eastAsia="Arial" w:hAnsi="Arial"/>
                <w:sz w:val="14"/>
                <w:szCs w:val="14"/>
                <w:color w:val="auto"/>
                <w:w w:val="88"/>
              </w:rPr>
              <w:t>(58)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(559,181)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(112,451)</w:t>
            </w:r>
          </w:p>
        </w:tc>
        <w:tc>
          <w:tcPr>
            <w:tcW w:w="0" w:type="dxa"/>
            <w:vAlign w:val="bottom"/>
          </w:tcPr>
          <w:p>
            <w:pPr>
              <w:spacing w:after="0"/>
              <w:rPr>
                <w:sz w:val="1"/>
                <w:szCs w:val="1"/>
                <w:color w:val="auto"/>
              </w:rPr>
            </w:pPr>
          </w:p>
        </w:tc>
      </w:tr>
      <w:tr>
        <w:trPr>
          <w:trHeight w:val="225"/>
        </w:trPr>
        <w:tc>
          <w:tcPr>
            <w:tcW w:w="8780" w:type="dxa"/>
            <w:vAlign w:val="bottom"/>
          </w:tcPr>
          <w:p>
            <w:pPr>
              <w:ind w:left="220"/>
              <w:spacing w:after="0"/>
              <w:rPr>
                <w:sz w:val="20"/>
                <w:szCs w:val="20"/>
                <w:color w:val="auto"/>
              </w:rPr>
            </w:pPr>
            <w:r>
              <w:rPr>
                <w:rFonts w:ascii="Arial" w:cs="Arial" w:eastAsia="Arial" w:hAnsi="Arial"/>
                <w:sz w:val="18"/>
                <w:szCs w:val="18"/>
                <w:color w:val="auto"/>
              </w:rPr>
              <w:t>Adjustments to reconcile net income (loss) to cash flows provided by (used in)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impairment and closure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on disposition of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income tax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Gift card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employee compensation and benefits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25"/>
        </w:trPr>
        <w:tc>
          <w:tcPr>
            <w:tcW w:w="8780" w:type="dxa"/>
            <w:vAlign w:val="bottom"/>
          </w:tcPr>
          <w:p>
            <w:pPr>
              <w:ind w:left="660"/>
              <w:spacing w:after="0"/>
              <w:rPr>
                <w:sz w:val="20"/>
                <w:szCs w:val="20"/>
                <w:color w:val="auto"/>
              </w:rPr>
            </w:pPr>
            <w:r>
              <w:rPr>
                <w:rFonts w:ascii="Arial" w:cs="Arial" w:eastAsia="Arial" w:hAnsi="Arial"/>
                <w:sz w:val="18"/>
                <w:szCs w:val="18"/>
                <w:color w:val="auto"/>
              </w:rPr>
              <w:t>Accrued advertising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provided by (used in) operating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additions to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 to long-term receivables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flows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8"/>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Borrowing from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revolving credit facility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Dividends paid on common stock</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(23,934)</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Principal payments on finance lease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stock options exercised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Repurchase of restricted stock for tax payments upon vesting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Cash flows (used in) provided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178,436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170,016</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172,475</w:t>
            </w: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347,998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342,491</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paid in cash</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34,108</w:t>
            </w:r>
          </w:p>
        </w:tc>
        <w:tc>
          <w:tcPr>
            <w:tcW w:w="0" w:type="dxa"/>
            <w:vAlign w:val="bottom"/>
          </w:tcPr>
          <w:p>
            <w:pPr>
              <w:spacing w:after="0"/>
              <w:rPr>
                <w:sz w:val="1"/>
                <w:szCs w:val="1"/>
                <w:color w:val="auto"/>
              </w:rPr>
            </w:pPr>
          </w:p>
        </w:tc>
      </w:tr>
      <w:tr>
        <w:trPr>
          <w:trHeight w:val="225"/>
        </w:trPr>
        <w:tc>
          <w:tcPr>
            <w:tcW w:w="8780" w:type="dxa"/>
            <w:vAlign w:val="bottom"/>
          </w:tcPr>
          <w:p>
            <w:pPr>
              <w:ind w:left="460"/>
              <w:spacing w:after="0"/>
              <w:rPr>
                <w:sz w:val="20"/>
                <w:szCs w:val="20"/>
                <w:color w:val="auto"/>
              </w:rPr>
            </w:pPr>
            <w:r>
              <w:rPr>
                <w:rFonts w:ascii="Arial" w:cs="Arial" w:eastAsia="Arial" w:hAnsi="Arial"/>
                <w:sz w:val="18"/>
                <w:szCs w:val="18"/>
                <w:color w:val="auto"/>
              </w:rPr>
              <w:t>Income taxes paid in cash</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conversion of accounts receivable to notes receivable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0" w:lineRule="exact"/>
        <w:rPr>
          <w:sz w:val="20"/>
          <w:szCs w:val="20"/>
          <w:color w:val="auto"/>
        </w:rPr>
      </w:pPr>
    </w:p>
    <w:p>
      <w:pPr>
        <w:ind w:firstLine="318"/>
        <w:spacing w:after="0" w:line="23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2021 are not necessarily indicative of the results that may be expected for the twelve months ending December 31, 2021.</w:t>
      </w:r>
    </w:p>
    <w:p>
      <w:pPr>
        <w:spacing w:after="0" w:line="175" w:lineRule="exact"/>
        <w:rPr>
          <w:sz w:val="20"/>
          <w:szCs w:val="20"/>
          <w:color w:val="auto"/>
        </w:rPr>
      </w:pPr>
    </w:p>
    <w:p>
      <w:pPr>
        <w:ind w:right="520" w:firstLine="318"/>
        <w:spacing w:after="0" w:line="249" w:lineRule="auto"/>
        <w:rPr>
          <w:sz w:val="20"/>
          <w:szCs w:val="20"/>
          <w:color w:val="auto"/>
        </w:rPr>
      </w:pPr>
      <w:r>
        <w:rPr>
          <w:rFonts w:ascii="Arial" w:cs="Arial" w:eastAsia="Arial" w:hAnsi="Arial"/>
          <w:sz w:val="18"/>
          <w:szCs w:val="18"/>
          <w:color w:val="auto"/>
        </w:rPr>
        <w:t>The consolidated balance sheet at December 31, 2020 has been derived from the audited consolidated financial statements at that date but does not include all of information and footnotes required by U.S. GAAP for complete financial statements.</w:t>
      </w:r>
    </w:p>
    <w:p>
      <w:pPr>
        <w:spacing w:after="0" w:line="167" w:lineRule="exact"/>
        <w:rPr>
          <w:sz w:val="20"/>
          <w:szCs w:val="20"/>
          <w:color w:val="auto"/>
        </w:rPr>
      </w:pPr>
    </w:p>
    <w:p>
      <w:pPr>
        <w:ind w:right="300" w:firstLine="318"/>
        <w:spacing w:after="0" w:line="249"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3" w:lineRule="exact"/>
        <w:rPr>
          <w:sz w:val="20"/>
          <w:szCs w:val="20"/>
          <w:color w:val="auto"/>
        </w:rPr>
      </w:pPr>
    </w:p>
    <w:p>
      <w:pPr>
        <w:ind w:firstLine="318"/>
        <w:spacing w:after="0" w:line="237"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2021 began on January 4, 2021 and ended on April 4, 2021; the second fiscal quarter of 2021 ended on July 4, 2021. The first fiscal quarter of 2020 began on December 30, 2019 and ended on March 29, 2020; the second fiscal quarter of 2020 ended on June 28, 2020.</w:t>
      </w:r>
    </w:p>
    <w:p>
      <w:pPr>
        <w:spacing w:after="0" w:line="216"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67" w:lineRule="exact"/>
        <w:rPr>
          <w:sz w:val="20"/>
          <w:szCs w:val="20"/>
          <w:color w:val="auto"/>
        </w:rPr>
      </w:pPr>
    </w:p>
    <w:p>
      <w:pPr>
        <w:ind w:right="20" w:firstLine="318"/>
        <w:spacing w:after="0" w:line="288" w:lineRule="auto"/>
        <w:rPr>
          <w:sz w:val="20"/>
          <w:szCs w:val="20"/>
          <w:color w:val="auto"/>
        </w:rPr>
      </w:pPr>
      <w:r>
        <w:rPr>
          <w:rFonts w:ascii="Arial" w:cs="Arial" w:eastAsia="Arial" w:hAnsi="Arial"/>
          <w:sz w:val="15"/>
          <w:szCs w:val="15"/>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0"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The Company was subject to risks and uncertainties as a result of the continuing outbreak of a novel strain of coronavirus, designated “COVID-19.” The extent of the continued impact of the COVID-19 pandemic on the Company's business is highly uncertain and difficult to predict, as measures taken in response to and the effect of the pandemic have varied and continue to vary by state and municipalities within states. Assessments of the success of measures taken and the timing of any further restrictions, or lifting of such restrictions, continues to evolve. The Company first began to experience impacts from COVID-19 in March 2020, as federal, state, local and international governments began to react to the public health crisis by encouraging “social distancing” and requiring, in varying degrees, restaurant dine-in limitations and other restrictions that largely limited the restaurants of the Company's franchisees and its company-operated restaurants to take-out and delivery sales. Subsequently, government-imposed dine-in restrictions have been relaxed in many of the locations in which the Company operates as incidents of infection decline within the respective governmental jurisdictions. As of June 30, 2021, 98% of domestic Applebee's and IHOP restaurants were operating at 100% capacity and 99% of domestic Applebee's and IHOP restaurants were open.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 (Continued)</w:t>
      </w:r>
    </w:p>
    <w:p>
      <w:pPr>
        <w:spacing w:after="0" w:line="200" w:lineRule="exact"/>
        <w:rPr>
          <w:sz w:val="20"/>
          <w:szCs w:val="20"/>
          <w:color w:val="auto"/>
        </w:rPr>
      </w:pPr>
    </w:p>
    <w:p>
      <w:pPr>
        <w:spacing w:after="0" w:line="307" w:lineRule="exact"/>
        <w:rPr>
          <w:sz w:val="20"/>
          <w:szCs w:val="20"/>
          <w:color w:val="auto"/>
        </w:rPr>
      </w:pPr>
    </w:p>
    <w:p>
      <w:pPr>
        <w:ind w:firstLine="318"/>
        <w:spacing w:after="0" w:line="23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its franchisees, as follows: (i) drew down $220 million from its revolving credit facility in March 2020 and repaid the borrowing in March 2021; (ii) suspended repurchases of common stock and the declaration of dividends on common stock after the first quarter of 2020.; (iii) deferred franchisee payment of royalty, advertising and other fees, and lease obligations for up to two months on a case-by-case basis, with 98% of Applebee's and 87% of IHOP deferrals collected as of June 30, 2021; (iv) deferred franchisee remodel and development obligations for up to 15 months; and (v) negotiated deferrals and abatements for properties on which the Company was lessee.</w:t>
      </w:r>
    </w:p>
    <w:p>
      <w:pPr>
        <w:spacing w:after="0" w:line="215" w:lineRule="exact"/>
        <w:rPr>
          <w:sz w:val="20"/>
          <w:szCs w:val="20"/>
          <w:color w:val="auto"/>
        </w:rPr>
      </w:pPr>
    </w:p>
    <w:p>
      <w:pPr>
        <w:ind w:right="20" w:firstLine="318"/>
        <w:spacing w:after="0" w:line="286" w:lineRule="auto"/>
        <w:rPr>
          <w:sz w:val="20"/>
          <w:szCs w:val="20"/>
          <w:color w:val="auto"/>
        </w:rPr>
      </w:pPr>
      <w:r>
        <w:rPr>
          <w:rFonts w:ascii="Arial" w:cs="Arial" w:eastAsia="Arial" w:hAnsi="Arial"/>
          <w:sz w:val="15"/>
          <w:szCs w:val="15"/>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length of time dine-in restrictions remain in place and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is highly uncertain.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Adopted and Newly Issued Accounting Standards Not Yet Adopted</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Standards Adopted in the Current Fiscal Year</w:t>
      </w:r>
    </w:p>
    <w:p>
      <w:pPr>
        <w:spacing w:after="0" w:line="204" w:lineRule="exact"/>
        <w:rPr>
          <w:sz w:val="20"/>
          <w:szCs w:val="20"/>
          <w:color w:val="auto"/>
        </w:rPr>
      </w:pPr>
    </w:p>
    <w:p>
      <w:pPr>
        <w:ind w:right="300" w:firstLine="318"/>
        <w:spacing w:after="0" w:line="261" w:lineRule="auto"/>
        <w:rPr>
          <w:sz w:val="20"/>
          <w:szCs w:val="20"/>
          <w:color w:val="auto"/>
        </w:rPr>
      </w:pPr>
      <w:r>
        <w:rPr>
          <w:rFonts w:ascii="Arial" w:cs="Arial" w:eastAsia="Arial" w:hAnsi="Arial"/>
          <w:sz w:val="17"/>
          <w:szCs w:val="17"/>
          <w:color w:val="auto"/>
        </w:rPr>
        <w:t>In December 2019, the Financial Accounting Standards Board (“FASB”) issued new guidance intended to simplify the accounting for income taxes, change the accounting for certain income tax transactions, and make other minor changes. The Company adopted the new guidance at the beginning of the first fiscal quarter of 2021. Adoption did not have any material effect on the consolidated financial statements.</w:t>
      </w:r>
    </w:p>
    <w:p>
      <w:pPr>
        <w:spacing w:after="0" w:line="197" w:lineRule="exact"/>
        <w:rPr>
          <w:sz w:val="20"/>
          <w:szCs w:val="20"/>
          <w:color w:val="auto"/>
        </w:rPr>
      </w:pPr>
    </w:p>
    <w:p>
      <w:pPr>
        <w:ind w:right="60" w:firstLine="318"/>
        <w:spacing w:after="0" w:line="347" w:lineRule="auto"/>
        <w:rPr>
          <w:sz w:val="20"/>
          <w:szCs w:val="20"/>
          <w:color w:val="auto"/>
        </w:rPr>
      </w:pPr>
      <w:r>
        <w:rPr>
          <w:rFonts w:ascii="Arial" w:cs="Arial" w:eastAsia="Arial" w:hAnsi="Arial"/>
          <w:sz w:val="15"/>
          <w:szCs w:val="15"/>
          <w:color w:val="auto"/>
        </w:rPr>
        <w:t>Additional new accounting guidance became effective for the Company as of the beginning of fiscal 2021 that the Company reviewed and concluded was either not applicable to its operations or had no material effect on its consolidated financial statements in the current or future fiscal years.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230" w:lineRule="exact"/>
        <w:rPr>
          <w:sz w:val="20"/>
          <w:szCs w:val="20"/>
          <w:color w:val="auto"/>
        </w:rPr>
      </w:pPr>
    </w:p>
    <w:p>
      <w:pPr>
        <w:ind w:right="160" w:firstLine="318"/>
        <w:spacing w:after="0" w:line="300" w:lineRule="auto"/>
        <w:rPr>
          <w:sz w:val="20"/>
          <w:szCs w:val="20"/>
          <w:color w:val="auto"/>
        </w:rPr>
      </w:pPr>
      <w:r>
        <w:rPr>
          <w:rFonts w:ascii="Arial" w:cs="Arial" w:eastAsia="Arial" w:hAnsi="Arial"/>
          <w:sz w:val="15"/>
          <w:szCs w:val="15"/>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58" w:lineRule="exact"/>
        <w:rPr>
          <w:sz w:val="20"/>
          <w:szCs w:val="20"/>
          <w:color w:val="auto"/>
        </w:rPr>
      </w:pPr>
    </w:p>
    <w:p>
      <w:pPr>
        <w:ind w:right="180" w:firstLine="318"/>
        <w:spacing w:after="0" w:line="226" w:lineRule="auto"/>
        <w:rPr>
          <w:sz w:val="20"/>
          <w:szCs w:val="20"/>
          <w:color w:val="auto"/>
        </w:rPr>
      </w:pPr>
      <w:r>
        <w:rPr>
          <w:rFonts w:ascii="Arial" w:cs="Arial" w:eastAsia="Arial" w:hAnsi="Arial"/>
          <w:sz w:val="18"/>
          <w:szCs w:val="18"/>
          <w:color w:val="auto"/>
        </w:rPr>
        <w:t>In July 2021, the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The Company is are currently evaluating lease contracts and the potential effects of adopting this new guidance.</w:t>
      </w:r>
    </w:p>
    <w:p>
      <w:pPr>
        <w:spacing w:after="0" w:line="21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50"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Franchising Activities</w:t>
      </w:r>
    </w:p>
    <w:p>
      <w:pPr>
        <w:spacing w:after="0" w:line="236" w:lineRule="exact"/>
        <w:rPr>
          <w:sz w:val="20"/>
          <w:szCs w:val="20"/>
          <w:color w:val="auto"/>
        </w:rPr>
      </w:pPr>
    </w:p>
    <w:p>
      <w:pPr>
        <w:ind w:right="80" w:firstLine="318"/>
        <w:spacing w:after="0" w:line="251" w:lineRule="auto"/>
        <w:rPr>
          <w:sz w:val="20"/>
          <w:szCs w:val="20"/>
          <w:color w:val="auto"/>
        </w:rPr>
      </w:pPr>
      <w:r>
        <w:rPr>
          <w:rFonts w:ascii="Arial" w:cs="Arial" w:eastAsia="Arial" w:hAnsi="Arial"/>
          <w:sz w:val="17"/>
          <w:szCs w:val="17"/>
          <w:color w:val="auto"/>
        </w:rPr>
        <w:t>The Company owns, franchises and operates the Applebee's Neighborhood Grill &amp; Bar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(“Applebee's”) concept in the casual dining category of the restaurant industry and the Company owns and franchises the International House of Pancakes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22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44" w:lineRule="exact"/>
        <w:rPr>
          <w:sz w:val="20"/>
          <w:szCs w:val="20"/>
          <w:color w:val="auto"/>
        </w:rPr>
      </w:pPr>
    </w:p>
    <w:p>
      <w:pPr>
        <w:ind w:left="560" w:right="140" w:hanging="316"/>
        <w:spacing w:after="0" w:line="250"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60" w:right="20" w:hanging="316"/>
        <w:spacing w:after="0" w:line="24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Arial" w:cs="Arial" w:eastAsia="Arial" w:hAnsi="Arial"/>
          <w:sz w:val="18"/>
          <w:szCs w:val="18"/>
          <w:color w:val="auto"/>
        </w:rPr>
      </w:pPr>
    </w:p>
    <w:p>
      <w:pPr>
        <w:ind w:left="560" w:right="700" w:hanging="316"/>
        <w:spacing w:after="0" w:line="349" w:lineRule="auto"/>
        <w:tabs>
          <w:tab w:leader="none" w:pos="556"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49"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Company Restaurant Revenue</w:t>
      </w:r>
    </w:p>
    <w:p>
      <w:pPr>
        <w:spacing w:after="0" w:line="24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and six months ended June 30, 2021 and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210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179"/>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6"/>
        </w:trPr>
        <w:tc>
          <w:tcPr>
            <w:tcW w:w="6120" w:type="dxa"/>
            <w:vAlign w:val="bottom"/>
            <w:gridSpan w:val="2"/>
          </w:tcPr>
          <w:p>
            <w:pPr>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98,611</w:t>
            </w:r>
          </w:p>
        </w:tc>
      </w:tr>
      <w:tr>
        <w:trPr>
          <w:trHeight w:val="225"/>
        </w:trPr>
        <w:tc>
          <w:tcPr>
            <w:tcW w:w="20" w:type="dxa"/>
            <w:vAlign w:val="bottom"/>
          </w:tcPr>
          <w:p>
            <w:pPr>
              <w:spacing w:after="0"/>
              <w:rPr>
                <w:sz w:val="19"/>
                <w:szCs w:val="19"/>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90,818</w:t>
            </w:r>
          </w:p>
        </w:tc>
      </w:tr>
      <w:tr>
        <w:trPr>
          <w:trHeight w:val="226"/>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w:t>
            </w:r>
          </w:p>
        </w:tc>
      </w:tr>
      <w:tr>
        <w:trPr>
          <w:trHeight w:val="225"/>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w:t>
            </w:r>
          </w:p>
        </w:tc>
      </w:tr>
      <w:tr>
        <w:trPr>
          <w:trHeight w:val="244"/>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212,913</w:t>
            </w: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0" w:right="220" w:firstLine="318"/>
        <w:spacing w:after="0" w:line="365" w:lineRule="auto"/>
        <w:rPr>
          <w:sz w:val="20"/>
          <w:szCs w:val="20"/>
          <w:color w:val="auto"/>
        </w:rPr>
      </w:pPr>
      <w:r>
        <w:rPr>
          <w:rFonts w:ascii="Arial" w:cs="Arial" w:eastAsia="Arial" w:hAnsi="Arial"/>
          <w:sz w:val="15"/>
          <w:szCs w:val="15"/>
          <w:color w:val="auto"/>
        </w:rPr>
        <w:t>Accounts and other receivables from franchisees as of June 30, 2021 and December 31, 2020 were $69.4 million (net of allowance of $6.0 million) and $76.3 million (net of allowance of $11.4 million), respectively, and were included in receivables, net in the Consolidated Balance Sheets.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Changes in the Company's contract liability for deferred franchise and development fees during the six months ended June 30, 2021 are as follows:</w:t>
      </w:r>
    </w:p>
    <w:p>
      <w:pPr>
        <w:sectPr>
          <w:pgSz w:w="11900" w:h="16838" w:orient="portrait"/>
          <w:cols w:equalWidth="0" w:num="1">
            <w:col w:w="11260"/>
          </w:cols>
          <w:pgMar w:left="30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-131445</wp:posOffset>
            </wp:positionV>
            <wp:extent cx="700849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Recognized as revenue during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10795</wp:posOffset>
            </wp:positionV>
            <wp:extent cx="700849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8495" cy="1428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Fees deferred during the six months ended June 30, 2021</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at June 30,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balance of deferred revenue as of June 30, 2021 is expected to be recognized as follows: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Deferred Franchise Revenue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(short- and long-term)</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(In thousands)</w:t>
            </w:r>
          </w:p>
        </w:tc>
      </w:tr>
      <w:tr>
        <w:trPr>
          <w:trHeight w:val="224"/>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59,919</w:t>
            </w:r>
          </w:p>
        </w:tc>
      </w:tr>
      <w:tr>
        <w:trPr>
          <w:trHeight w:val="225"/>
        </w:trPr>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(7,433)</w:t>
            </w:r>
          </w:p>
        </w:tc>
      </w:tr>
      <w:tr>
        <w:trPr>
          <w:trHeight w:val="226"/>
        </w:trPr>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r>
      <w:tr>
        <w:trPr>
          <w:trHeight w:val="219"/>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sectPr>
          <w:pgSz w:w="11900" w:h="16838" w:orient="portrait"/>
          <w:cols w:equalWidth="0" w:num="2">
            <w:col w:w="8340" w:space="720"/>
            <w:col w:w="2200"/>
          </w:cols>
          <w:pgMar w:left="300" w:top="122" w:right="3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7,278</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25"/>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6,051</w:t>
            </w:r>
          </w:p>
        </w:tc>
      </w:tr>
      <w:tr>
        <w:trPr>
          <w:trHeight w:val="22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r>
      <w:tr>
        <w:trPr>
          <w:trHeight w:val="225"/>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26,251</w:t>
            </w:r>
          </w:p>
        </w:tc>
      </w:tr>
      <w:tr>
        <w:trPr>
          <w:trHeight w:val="244"/>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Current Expected Credit Losses (“CECL”)</w:t>
      </w:r>
    </w:p>
    <w:p>
      <w:pPr>
        <w:spacing w:after="0" w:line="250" w:lineRule="exact"/>
        <w:rPr>
          <w:sz w:val="20"/>
          <w:szCs w:val="20"/>
          <w:color w:val="auto"/>
        </w:rPr>
      </w:pPr>
    </w:p>
    <w:p>
      <w:pPr>
        <w:ind w:left="20" w:right="60" w:firstLine="318"/>
        <w:spacing w:after="0" w:line="248" w:lineRule="auto"/>
        <w:rPr>
          <w:sz w:val="20"/>
          <w:szCs w:val="20"/>
          <w:color w:val="auto"/>
        </w:rPr>
      </w:pPr>
      <w:r>
        <w:rPr>
          <w:rFonts w:ascii="Arial" w:cs="Arial" w:eastAsia="Arial" w:hAnsi="Arial"/>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Most of the Company’s short-term receivables due from franchisees are derived from royalty, advertising and other franchise-related fees.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Gift Card Receivables</w:t>
      </w:r>
    </w:p>
    <w:p>
      <w:pPr>
        <w:spacing w:after="0" w:line="217"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Notes Receivable</w:t>
      </w:r>
    </w:p>
    <w:p>
      <w:pPr>
        <w:spacing w:after="0" w:line="24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$9.2 million as of June 30,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Equipment Leases Receivable</w:t>
      </w:r>
    </w:p>
    <w:p>
      <w:pPr>
        <w:spacing w:after="0" w:line="24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Equipment leases receivable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5.1 years as of June 30, 2021.</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Direct Financing Leases Receivable</w:t>
      </w:r>
    </w:p>
    <w:p>
      <w:pPr>
        <w:spacing w:after="0" w:line="1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Direct financing lease receivables also relate to IHOP franchise development activity prior to 2003. IHOP provided the financing for leasing or subleasing the site. Direct financing leases at June 30, 2021, comprised 81 leases with a weighted average remaining life of 4.4 years, and relate to locations that IHOP is leasing from third parties and subleasing to franchisees.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Distributor Receivables</w:t>
      </w:r>
    </w:p>
    <w:p>
      <w:pPr>
        <w:spacing w:after="0" w:line="24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6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5"/>
                <w:szCs w:val="15"/>
                <w:color w:val="auto"/>
              </w:rPr>
            </w:pP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Gift card receivables</w:t>
            </w: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6440" w:type="dxa"/>
            <w:vAlign w:val="bottom"/>
          </w:tcPr>
          <w:p>
            <w:pPr>
              <w:ind w:left="340"/>
              <w:spacing w:after="0"/>
              <w:rPr>
                <w:sz w:val="20"/>
                <w:szCs w:val="20"/>
                <w:color w:val="auto"/>
              </w:rPr>
            </w:pPr>
            <w:r>
              <w:rPr>
                <w:rFonts w:ascii="Arial" w:cs="Arial" w:eastAsia="Arial" w:hAnsi="Arial"/>
                <w:sz w:val="18"/>
                <w:szCs w:val="18"/>
                <w:color w:val="auto"/>
              </w:rPr>
              <w:t>Financing receivables:</w:t>
            </w:r>
          </w:p>
        </w:tc>
        <w:tc>
          <w:tcPr>
            <w:tcW w:w="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Equipment leases receivable</w:t>
            </w: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5"/>
        </w:trPr>
        <w:tc>
          <w:tcPr>
            <w:tcW w:w="6440" w:type="dxa"/>
            <w:vAlign w:val="bottom"/>
          </w:tcPr>
          <w:p>
            <w:pPr>
              <w:ind w:left="560"/>
              <w:spacing w:after="0"/>
              <w:rPr>
                <w:sz w:val="20"/>
                <w:szCs w:val="20"/>
                <w:color w:val="auto"/>
              </w:rPr>
            </w:pPr>
            <w:r>
              <w:rPr>
                <w:rFonts w:ascii="Arial" w:cs="Arial" w:eastAsia="Arial" w:hAnsi="Arial"/>
                <w:sz w:val="18"/>
                <w:szCs w:val="18"/>
                <w:color w:val="auto"/>
              </w:rPr>
              <w:t>Direct financing leases receivable</w:t>
            </w: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6"/>
        </w:trPr>
        <w:tc>
          <w:tcPr>
            <w:tcW w:w="6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Franchise fee notes receivable</w:t>
            </w: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9"/>
        </w:trPr>
        <w:tc>
          <w:tcPr>
            <w:tcW w:w="6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allowance for credit losses</w:t>
            </w: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19"/>
        </w:trPr>
        <w:tc>
          <w:tcPr>
            <w:tcW w:w="6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25"/>
        </w:trPr>
        <w:tc>
          <w:tcPr>
            <w:tcW w:w="6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w:t>
            </w: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44"/>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receivables</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Current Expected Credit Losses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allowance for credit losses during the six months ended June 30, 2021 were as follows:</w:t>
      </w:r>
    </w:p>
    <w:p>
      <w:pPr>
        <w:spacing w:after="0" w:line="1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12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Accounts</w:t>
            </w:r>
          </w:p>
        </w:tc>
        <w:tc>
          <w:tcPr>
            <w:tcW w:w="1340" w:type="dxa"/>
            <w:vAlign w:val="bottom"/>
          </w:tcPr>
          <w:p>
            <w:pPr>
              <w:ind w:left="680"/>
              <w:spacing w:after="0"/>
              <w:rPr>
                <w:sz w:val="20"/>
                <w:szCs w:val="20"/>
                <w:color w:val="auto"/>
              </w:rPr>
            </w:pPr>
            <w:r>
              <w:rPr>
                <w:rFonts w:ascii="Arial" w:cs="Arial" w:eastAsia="Arial" w:hAnsi="Arial"/>
                <w:sz w:val="14"/>
                <w:szCs w:val="14"/>
                <w:b w:val="1"/>
                <w:bCs w:val="1"/>
                <w:color w:val="auto"/>
              </w:rPr>
              <w:t>Notes</w:t>
            </w:r>
          </w:p>
        </w:tc>
        <w:tc>
          <w:tcPr>
            <w:tcW w:w="1320" w:type="dxa"/>
            <w:vAlign w:val="bottom"/>
          </w:tcPr>
          <w:p>
            <w:pPr>
              <w:ind w:left="620"/>
              <w:spacing w:after="0"/>
              <w:rPr>
                <w:sz w:val="20"/>
                <w:szCs w:val="20"/>
                <w:color w:val="auto"/>
              </w:rPr>
            </w:pPr>
            <w:r>
              <w:rPr>
                <w:rFonts w:ascii="Arial" w:cs="Arial" w:eastAsia="Arial" w:hAnsi="Arial"/>
                <w:sz w:val="14"/>
                <w:szCs w:val="14"/>
                <w:b w:val="1"/>
                <w:bCs w:val="1"/>
                <w:color w:val="auto"/>
              </w:rPr>
              <w:t>Notes</w:t>
            </w:r>
          </w:p>
        </w:tc>
        <w:tc>
          <w:tcPr>
            <w:tcW w:w="1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Lease</w:t>
            </w: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Equipment</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40" w:type="dxa"/>
            <w:vAlign w:val="bottom"/>
            <w:vMerge w:val="continue"/>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receivable, short-</w:t>
            </w:r>
          </w:p>
        </w:tc>
        <w:tc>
          <w:tcPr>
            <w:tcW w:w="1320" w:type="dxa"/>
            <w:vAlign w:val="bottom"/>
          </w:tcPr>
          <w:p>
            <w:pPr>
              <w:jc w:val="center"/>
              <w:ind w:right="9"/>
              <w:spacing w:after="0" w:line="133" w:lineRule="exact"/>
              <w:rPr>
                <w:sz w:val="20"/>
                <w:szCs w:val="20"/>
                <w:color w:val="auto"/>
              </w:rPr>
            </w:pPr>
            <w:r>
              <w:rPr>
                <w:rFonts w:ascii="Arial" w:cs="Arial" w:eastAsia="Arial" w:hAnsi="Arial"/>
                <w:sz w:val="14"/>
                <w:szCs w:val="14"/>
                <w:b w:val="1"/>
                <w:bCs w:val="1"/>
                <w:color w:val="auto"/>
                <w:w w:val="90"/>
              </w:rPr>
              <w:t>receivable, long-</w:t>
            </w:r>
          </w:p>
        </w:tc>
        <w:tc>
          <w:tcPr>
            <w:tcW w:w="13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term</w:t>
            </w: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2"/>
              </w:rPr>
              <w:t>term</w:t>
            </w: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Receivables</w:t>
            </w: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Notes</w:t>
            </w:r>
          </w:p>
        </w:tc>
        <w:tc>
          <w:tcPr>
            <w:tcW w:w="1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wp:posOffset>
            </wp:positionV>
            <wp:extent cx="6995160" cy="252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5273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3" w:lineRule="exact"/>
        <w:rPr>
          <w:sz w:val="20"/>
          <w:szCs w:val="20"/>
          <w:color w:val="auto"/>
        </w:rPr>
      </w:pPr>
    </w:p>
    <w:p>
      <w:pPr>
        <w:ind w:left="340" w:right="160" w:firstLine="318"/>
        <w:spacing w:after="0" w:line="229" w:lineRule="auto"/>
        <w:rPr>
          <w:sz w:val="20"/>
          <w:szCs w:val="20"/>
          <w:color w:val="auto"/>
        </w:rPr>
      </w:pPr>
      <w:r>
        <w:rPr>
          <w:rFonts w:ascii="Arial" w:cs="Arial" w:eastAsia="Arial" w:hAnsi="Arial"/>
          <w:sz w:val="18"/>
          <w:szCs w:val="18"/>
          <w:color w:val="auto"/>
        </w:rPr>
        <w:t>Balance, December 31, 2020</w:t>
      </w:r>
    </w:p>
    <w:p>
      <w:pPr>
        <w:spacing w:after="0" w:line="3" w:lineRule="exact"/>
        <w:rPr>
          <w:sz w:val="20"/>
          <w:szCs w:val="20"/>
          <w:color w:val="auto"/>
        </w:rPr>
      </w:pPr>
    </w:p>
    <w:p>
      <w:pPr>
        <w:jc w:val="both"/>
        <w:ind w:left="340" w:firstLine="318"/>
        <w:spacing w:after="0" w:line="232" w:lineRule="auto"/>
        <w:rPr>
          <w:sz w:val="20"/>
          <w:szCs w:val="20"/>
          <w:color w:val="auto"/>
        </w:rPr>
      </w:pPr>
      <w:r>
        <w:rPr>
          <w:rFonts w:ascii="Arial" w:cs="Arial" w:eastAsia="Arial" w:hAnsi="Arial"/>
          <w:sz w:val="17"/>
          <w:szCs w:val="17"/>
          <w:color w:val="auto"/>
        </w:rPr>
        <w:t>Bad debt (credit) expense for the six months ended June 30, 2021</w:t>
      </w:r>
    </w:p>
    <w:p>
      <w:pPr>
        <w:spacing w:after="0" w:line="3" w:lineRule="exact"/>
        <w:rPr>
          <w:sz w:val="20"/>
          <w:szCs w:val="20"/>
          <w:color w:val="auto"/>
        </w:rPr>
      </w:pPr>
    </w:p>
    <w:p>
      <w:pPr>
        <w:ind w:left="340" w:right="260" w:firstLine="318"/>
        <w:spacing w:after="0" w:line="229" w:lineRule="auto"/>
        <w:rPr>
          <w:sz w:val="20"/>
          <w:szCs w:val="20"/>
          <w:color w:val="auto"/>
        </w:rPr>
      </w:pPr>
      <w:r>
        <w:rPr>
          <w:rFonts w:ascii="Arial" w:cs="Arial" w:eastAsia="Arial" w:hAnsi="Arial"/>
          <w:sz w:val="18"/>
          <w:szCs w:val="18"/>
          <w:color w:val="auto"/>
        </w:rPr>
        <w:t>Advertising provision adjustment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Write-offs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 June 30,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11.2</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0.4</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0.3</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570"/>
        </w:trPr>
        <w:tc>
          <w:tcPr>
            <w:tcW w:w="6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4"/>
                <w:szCs w:val="24"/>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8"/>
        </w:trPr>
        <w:tc>
          <w:tcPr>
            <w:tcW w:w="6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8"/>
        </w:trPr>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5.9</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-722630</wp:posOffset>
            </wp:positionV>
            <wp:extent cx="6995160" cy="252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5273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-327660</wp:posOffset>
            </wp:positionV>
            <wp:extent cx="69951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460" w:space="220"/>
            <w:col w:w="8660"/>
          </w:cols>
          <w:pgMar w:left="320" w:top="121" w:right="239" w:bottom="1440" w:gutter="0" w:footer="0" w:header="0"/>
          <w:type w:val="continuous"/>
        </w:sectPr>
      </w:pPr>
    </w:p>
    <w:p>
      <w:pPr>
        <w:ind w:left="500" w:hanging="176"/>
        <w:spacing w:after="0"/>
        <w:tabs>
          <w:tab w:leader="none" w:pos="50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Primarily distributor receivables, gift card receivables and credit card receivables</w:t>
      </w:r>
    </w:p>
    <w:p>
      <w:pPr>
        <w:spacing w:after="0" w:line="23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Company's primary credit quality indicator for all portfolio segments is delinquency. The delinquency status of receivables (other than accounts receivable, gift card receivables and distributor receivables) at June 30, 2021 was as follows:</w:t>
      </w:r>
    </w:p>
    <w:tbl>
      <w:tblPr>
        <w:tblLayout w:type="fixed"/>
        <w:tblInd w:w="22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5"/>
              <w:spacing w:after="0" w:line="167" w:lineRule="exact"/>
              <w:rPr>
                <w:sz w:val="20"/>
                <w:szCs w:val="20"/>
                <w:color w:val="auto"/>
              </w:rPr>
            </w:pPr>
            <w:r>
              <w:rPr>
                <w:rFonts w:ascii="Arial" w:cs="Arial" w:eastAsia="Arial" w:hAnsi="Arial"/>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75"/>
              <w:spacing w:after="0" w:line="167" w:lineRule="exact"/>
              <w:rPr>
                <w:sz w:val="20"/>
                <w:szCs w:val="20"/>
                <w:color w:val="auto"/>
              </w:rPr>
            </w:pPr>
            <w:r>
              <w:rPr>
                <w:rFonts w:ascii="Arial" w:cs="Arial" w:eastAsia="Arial" w:hAnsi="Arial"/>
                <w:sz w:val="16"/>
                <w:szCs w:val="16"/>
                <w:b w:val="1"/>
                <w:bCs w:val="1"/>
                <w:color w:val="auto"/>
                <w:w w:val="85"/>
              </w:rPr>
              <w:t>Notes</w:t>
            </w:r>
          </w:p>
        </w:tc>
        <w:tc>
          <w:tcPr>
            <w:tcW w:w="22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1"/>
              </w:rPr>
              <w:t>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Arial" w:cs="Arial" w:eastAsia="Arial" w:hAnsi="Arial"/>
                <w:sz w:val="16"/>
                <w:szCs w:val="16"/>
                <w:b w:val="1"/>
                <w:bCs w:val="1"/>
                <w:color w:val="auto"/>
                <w:w w:val="89"/>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86"/>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7"/>
              </w:rPr>
              <w:t xml:space="preserve">Other </w:t>
            </w:r>
            <w:r>
              <w:rPr>
                <w:rFonts w:ascii="Arial" w:cs="Arial" w:eastAsia="Arial" w:hAnsi="Arial"/>
                <w:sz w:val="20"/>
                <w:szCs w:val="20"/>
                <w:b w:val="1"/>
                <w:bCs w:val="1"/>
                <w:color w:val="auto"/>
                <w:w w:val="97"/>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4"/>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2"/>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88"/>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Arial" w:cs="Arial" w:eastAsia="Arial" w:hAnsi="Arial"/>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176"/>
        <w:spacing w:after="0"/>
        <w:tabs>
          <w:tab w:leader="none" w:pos="50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Primarily c</w:t>
      </w:r>
      <w:r>
        <w:rPr>
          <w:rFonts w:ascii="Arial" w:cs="Arial" w:eastAsia="Arial" w:hAnsi="Arial"/>
          <w:sz w:val="14"/>
          <w:szCs w:val="14"/>
          <w:color w:val="auto"/>
        </w:rPr>
        <w:t>redit card receivables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year of origination of the Company's financing receivables is as follows:</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760" w:type="dxa"/>
            <w:vAlign w:val="bottom"/>
            <w:gridSpan w:val="2"/>
          </w:tcPr>
          <w:p>
            <w:pPr>
              <w:jc w:val="right"/>
              <w:ind w:right="152"/>
              <w:spacing w:after="0"/>
              <w:rPr>
                <w:sz w:val="20"/>
                <w:szCs w:val="20"/>
                <w:color w:val="auto"/>
              </w:rPr>
            </w:pPr>
            <w:r>
              <w:rPr>
                <w:rFonts w:ascii="Arial" w:cs="Arial" w:eastAsia="Arial" w:hAnsi="Arial"/>
                <w:sz w:val="16"/>
                <w:szCs w:val="16"/>
                <w:b w:val="1"/>
                <w:bCs w:val="1"/>
                <w:color w:val="auto"/>
              </w:rPr>
              <w:t>Notes receivable,</w:t>
            </w:r>
          </w:p>
        </w:tc>
        <w:tc>
          <w:tcPr>
            <w:tcW w:w="48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6"/>
                <w:szCs w:val="16"/>
                <w:b w:val="1"/>
                <w:bCs w:val="1"/>
                <w:color w:val="auto"/>
              </w:rPr>
              <w:t>Lease</w:t>
            </w:r>
          </w:p>
        </w:tc>
        <w:tc>
          <w:tcPr>
            <w:tcW w:w="380" w:type="dxa"/>
            <w:vAlign w:val="bottom"/>
          </w:tcPr>
          <w:p>
            <w:pPr>
              <w:spacing w:after="0"/>
              <w:rPr>
                <w:sz w:val="16"/>
                <w:szCs w:val="16"/>
                <w:color w:val="auto"/>
              </w:rPr>
            </w:pPr>
          </w:p>
        </w:tc>
        <w:tc>
          <w:tcPr>
            <w:tcW w:w="1120" w:type="dxa"/>
            <w:vAlign w:val="bottom"/>
          </w:tcPr>
          <w:p>
            <w:pPr>
              <w:jc w:val="right"/>
              <w:ind w:right="274"/>
              <w:spacing w:after="0"/>
              <w:rPr>
                <w:sz w:val="20"/>
                <w:szCs w:val="20"/>
                <w:color w:val="auto"/>
              </w:rPr>
            </w:pPr>
            <w:r>
              <w:rPr>
                <w:rFonts w:ascii="Arial" w:cs="Arial" w:eastAsia="Arial" w:hAnsi="Arial"/>
                <w:sz w:val="16"/>
                <w:szCs w:val="16"/>
                <w:b w:val="1"/>
                <w:bCs w:val="1"/>
                <w:color w:val="auto"/>
                <w:w w:val="89"/>
              </w:rPr>
              <w:t>Equipment</w:t>
            </w:r>
          </w:p>
        </w:tc>
        <w:tc>
          <w:tcPr>
            <w:tcW w:w="480" w:type="dxa"/>
            <w:vAlign w:val="bottom"/>
          </w:tcPr>
          <w:p>
            <w:pPr>
              <w:spacing w:after="0"/>
              <w:rPr>
                <w:sz w:val="16"/>
                <w:szCs w:val="16"/>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7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6"/>
                <w:szCs w:val="16"/>
                <w:b w:val="1"/>
                <w:bCs w:val="1"/>
                <w:color w:val="auto"/>
                <w:w w:val="95"/>
              </w:rPr>
              <w:t>short and long-term</w:t>
            </w:r>
          </w:p>
        </w:tc>
        <w:tc>
          <w:tcPr>
            <w:tcW w:w="15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Receivables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w w:val="89"/>
              </w:rPr>
              <w:t>Notes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8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4660" w:type="dxa"/>
            <w:vAlign w:val="bottom"/>
          </w:tcPr>
          <w:p>
            <w:pPr>
              <w:ind w:left="32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2017</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5"/>
        </w:trPr>
        <w:tc>
          <w:tcPr>
            <w:tcW w:w="4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Prior</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15.6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37.5</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20.1</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37.5</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does not place its financing receivables in non-accrual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Disclosures</w:t>
      </w:r>
    </w:p>
    <w:p>
      <w:pPr>
        <w:spacing w:after="0" w:line="25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Company engages in leasing activity as both a lessee and a lessor. The Company currently leases from third parties the real property on which approximately 540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55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ectPr>
          <w:pgSz w:w="11900" w:h="16838" w:orient="portrait"/>
          <w:cols w:equalWidth="0" w:num="1">
            <w:col w:w="11340"/>
          </w:cols>
          <w:pgMar w:left="320" w:top="121" w:right="2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firstLine="238"/>
        <w:spacing w:after="0" w:line="267" w:lineRule="auto"/>
        <w:rPr>
          <w:sz w:val="20"/>
          <w:szCs w:val="20"/>
          <w:color w:val="auto"/>
        </w:rPr>
      </w:pPr>
      <w:r>
        <w:rPr>
          <w:rFonts w:ascii="Arial" w:cs="Arial" w:eastAsia="Arial" w:hAnsi="Arial"/>
          <w:sz w:val="17"/>
          <w:szCs w:val="17"/>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275 of the Company's leases met the sales levels that required variable rent payments to the Company (as lessor), based on a percentage of restaurant sales during the six months ended June 30, 2021. Approximately 40 of the leases met the sales levels that required variable rent payments by the Company (as lessee), based on a percentage of restaurant sales during the six months ended June 30, 2021.</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lease cost for the three and six months ended June 30, 2021 and 2020 was as follows:</w:t>
      </w:r>
    </w:p>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9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Three months ended June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6"/>
          </w:tcPr>
          <w:p>
            <w:pPr>
              <w:ind w:left="140"/>
              <w:spacing w:after="0"/>
              <w:rPr>
                <w:sz w:val="20"/>
                <w:szCs w:val="20"/>
                <w:color w:val="auto"/>
              </w:rPr>
            </w:pPr>
            <w:r>
              <w:rPr>
                <w:rFonts w:ascii="Arial" w:cs="Arial" w:eastAsia="Arial" w:hAnsi="Arial"/>
                <w:sz w:val="16"/>
                <w:szCs w:val="16"/>
                <w:b w:val="1"/>
                <w:bCs w:val="1"/>
                <w:color w:val="auto"/>
                <w:w w:val="94"/>
              </w:rPr>
              <w:t>Six months ended June</w:t>
            </w:r>
          </w:p>
        </w:tc>
      </w:tr>
      <w:tr>
        <w:trPr>
          <w:trHeight w:val="210"/>
        </w:trPr>
        <w:tc>
          <w:tcPr>
            <w:tcW w:w="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30,</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79"/>
        </w:trPr>
        <w:tc>
          <w:tcPr>
            <w:tcW w:w="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8"/>
                <w:szCs w:val="18"/>
                <w:color w:val="auto"/>
                <w:w w:val="84"/>
              </w:rPr>
              <w:t>(49.1)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9"/>
        </w:trPr>
        <w:tc>
          <w:tcPr>
            <w:tcW w:w="40" w:type="dxa"/>
            <w:vAlign w:val="bottom"/>
          </w:tcPr>
          <w:p>
            <w:pPr>
              <w:spacing w:after="0"/>
              <w:rPr>
                <w:sz w:val="24"/>
                <w:szCs w:val="24"/>
                <w:color w:val="auto"/>
              </w:rPr>
            </w:pPr>
          </w:p>
        </w:tc>
        <w:tc>
          <w:tcPr>
            <w:tcW w:w="7980" w:type="dxa"/>
            <w:vAlign w:val="bottom"/>
            <w:gridSpan w:val="3"/>
          </w:tcPr>
          <w:p>
            <w:pPr>
              <w:ind w:left="120"/>
              <w:spacing w:after="0"/>
              <w:rPr>
                <w:sz w:val="20"/>
                <w:szCs w:val="20"/>
                <w:color w:val="auto"/>
              </w:rPr>
            </w:pPr>
            <w:r>
              <w:rPr>
                <w:rFonts w:ascii="Arial" w:cs="Arial" w:eastAsia="Arial" w:hAnsi="Arial"/>
                <w:sz w:val="18"/>
                <w:szCs w:val="18"/>
                <w:color w:val="auto"/>
                <w:w w:val="90"/>
              </w:rPr>
              <w:t>Future minimum lease payments under noncancelable leases as lessee as of June 30, 2021 were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5"/>
          </w:tcPr>
          <w:p>
            <w:pPr>
              <w:ind w:left="180"/>
              <w:spacing w:after="0"/>
              <w:rPr>
                <w:sz w:val="20"/>
                <w:szCs w:val="20"/>
                <w:color w:val="auto"/>
              </w:rPr>
            </w:pPr>
            <w:r>
              <w:rPr>
                <w:rFonts w:ascii="Arial" w:cs="Arial" w:eastAsia="Arial" w:hAnsi="Arial"/>
                <w:sz w:val="14"/>
                <w:szCs w:val="14"/>
                <w:b w:val="1"/>
                <w:bCs w:val="1"/>
                <w:color w:val="auto"/>
              </w:rPr>
              <w:t>Finance</w:t>
            </w:r>
          </w:p>
        </w:tc>
        <w:tc>
          <w:tcPr>
            <w:tcW w:w="380" w:type="dxa"/>
            <w:vAlign w:val="bottom"/>
          </w:tcPr>
          <w:p>
            <w:pPr>
              <w:spacing w:after="0"/>
              <w:rPr>
                <w:sz w:val="13"/>
                <w:szCs w:val="13"/>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Operating</w:t>
            </w:r>
          </w:p>
        </w:tc>
      </w:tr>
      <w:tr>
        <w:trPr>
          <w:trHeight w:val="185"/>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4"/>
              </w:rPr>
              <w:t>Leases</w:t>
            </w:r>
          </w:p>
        </w:tc>
      </w:tr>
      <w:tr>
        <w:trPr>
          <w:trHeight w:val="179"/>
        </w:trPr>
        <w:tc>
          <w:tcPr>
            <w:tcW w:w="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3"/>
          </w:tcPr>
          <w:p>
            <w:pPr>
              <w:jc w:val="right"/>
              <w:ind w:right="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9"/>
                <w:szCs w:val="19"/>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3"/>
          </w:tcPr>
          <w:p>
            <w:pPr>
              <w:jc w:val="right"/>
              <w:ind w:right="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r>
      <w:tr>
        <w:trPr>
          <w:trHeight w:val="22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Borders>
              <w:bottom w:val="single" w:sz="8" w:color="auto"/>
            </w:tcBorders>
          </w:tcPr>
          <w:p>
            <w:pPr>
              <w:spacing w:after="0"/>
              <w:rPr>
                <w:sz w:val="19"/>
                <w:szCs w:val="19"/>
                <w:color w:val="auto"/>
              </w:rPr>
            </w:pP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84"/>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interest/imputed interest</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(86.7)</w:t>
            </w: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0" w:type="dxa"/>
            <w:vAlign w:val="bottom"/>
            <w:shd w:val="clear" w:color="auto" w:fill="CCEEFF"/>
          </w:tcPr>
          <w:p>
            <w:pPr>
              <w:spacing w:after="0"/>
              <w:rPr>
                <w:sz w:val="19"/>
                <w:szCs w:val="19"/>
                <w:color w:val="auto"/>
              </w:rPr>
            </w:pPr>
          </w:p>
        </w:tc>
      </w:tr>
      <w:tr>
        <w:trPr>
          <w:trHeight w:val="225"/>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(70.5)</w:t>
            </w:r>
          </w:p>
        </w:tc>
      </w:tr>
      <w:tr>
        <w:trPr>
          <w:trHeight w:val="244"/>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weighted average remaining lease term as of June 30, 2021 was 9.4 years for finance leases and 7.0 years for operating leases. The weighted average discount rate as of June 30, 2021 was 10.2% for finance leases and 5.6% for operating leases.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and six months ended June 30, 2021 and 2020, the Company made the following cash payments for leases: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2500" w:type="dxa"/>
            <w:vAlign w:val="bottom"/>
            <w:gridSpan w:val="3"/>
          </w:tcPr>
          <w:p>
            <w:pPr>
              <w:jc w:val="right"/>
              <w:ind w:right="393"/>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06"/>
        </w:trPr>
        <w:tc>
          <w:tcPr>
            <w:tcW w:w="4300" w:type="dxa"/>
            <w:vAlign w:val="bottom"/>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179"/>
        </w:trPr>
        <w:tc>
          <w:tcPr>
            <w:tcW w:w="4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4300" w:type="dxa"/>
            <w:vAlign w:val="bottom"/>
          </w:tcPr>
          <w:p>
            <w:pPr>
              <w:ind w:left="340"/>
              <w:spacing w:after="0"/>
              <w:rPr>
                <w:sz w:val="20"/>
                <w:szCs w:val="20"/>
                <w:color w:val="auto"/>
              </w:rPr>
            </w:pPr>
            <w:r>
              <w:rPr>
                <w:rFonts w:ascii="Arial" w:cs="Arial" w:eastAsia="Arial" w:hAnsi="Arial"/>
                <w:sz w:val="18"/>
                <w:szCs w:val="18"/>
                <w:color w:val="auto"/>
              </w:rPr>
              <w:t>Principal payments on finance lease obligations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2.6</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5.2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payments on finance lease obligations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4300" w:type="dxa"/>
            <w:vAlign w:val="bottom"/>
          </w:tcPr>
          <w:p>
            <w:pPr>
              <w:ind w:left="340"/>
              <w:spacing w:after="0"/>
              <w:rPr>
                <w:sz w:val="20"/>
                <w:szCs w:val="20"/>
                <w:color w:val="auto"/>
              </w:rPr>
            </w:pPr>
            <w:r>
              <w:rPr>
                <w:rFonts w:ascii="Arial" w:cs="Arial" w:eastAsia="Arial" w:hAnsi="Arial"/>
                <w:sz w:val="18"/>
                <w:szCs w:val="18"/>
                <w:color w:val="auto"/>
              </w:rPr>
              <w:t>Payments on operating leases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22.8</w:t>
            </w: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45.8</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payments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income from operating leases for the three and six months ended June 30, 2021 and 2020 was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6"/>
                <w:szCs w:val="16"/>
                <w:b w:val="1"/>
                <w:bCs w:val="1"/>
                <w:color w:val="auto"/>
                <w:w w:val="89"/>
              </w:rPr>
              <w:t>Six months ended June 30,</w:t>
            </w:r>
          </w:p>
        </w:tc>
        <w:tc>
          <w:tcPr>
            <w:tcW w:w="20" w:type="dxa"/>
            <w:vAlign w:val="bottom"/>
          </w:tcPr>
          <w:p>
            <w:pPr>
              <w:spacing w:after="0"/>
              <w:rPr>
                <w:sz w:val="18"/>
                <w:szCs w:val="18"/>
                <w:color w:val="auto"/>
              </w:rPr>
            </w:pPr>
          </w:p>
        </w:tc>
      </w:tr>
      <w:tr>
        <w:trPr>
          <w:trHeight w:val="206"/>
        </w:trPr>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89"/>
              </w:rPr>
              <w:t>2021</w:t>
            </w: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79"/>
        </w:trPr>
        <w:tc>
          <w:tcPr>
            <w:tcW w:w="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6"/>
        </w:trPr>
        <w:tc>
          <w:tcPr>
            <w:tcW w:w="140" w:type="dxa"/>
            <w:vAlign w:val="bottom"/>
          </w:tcPr>
          <w:p>
            <w:pPr>
              <w:spacing w:after="0"/>
              <w:rPr>
                <w:sz w:val="19"/>
                <w:szCs w:val="19"/>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Minimum lease payments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120" w:type="dxa"/>
            <w:vAlign w:val="bottom"/>
          </w:tcPr>
          <w:p>
            <w:pPr>
              <w:jc w:val="right"/>
              <w:ind w:right="61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22.5</w:t>
            </w:r>
          </w:p>
        </w:tc>
        <w:tc>
          <w:tcPr>
            <w:tcW w:w="10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47.7</w:t>
            </w:r>
          </w:p>
        </w:tc>
        <w:tc>
          <w:tcPr>
            <w:tcW w:w="3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Variable lease income</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Total operating lease income</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52.1</w:t>
            </w: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8"/>
        </w:trPr>
        <w:tc>
          <w:tcPr>
            <w:tcW w:w="8420" w:type="dxa"/>
            <w:vAlign w:val="bottom"/>
            <w:gridSpan w:val="9"/>
          </w:tcPr>
          <w:p>
            <w:pPr>
              <w:jc w:val="right"/>
              <w:spacing w:after="0"/>
              <w:rPr>
                <w:sz w:val="20"/>
                <w:szCs w:val="20"/>
                <w:color w:val="auto"/>
              </w:rPr>
            </w:pPr>
            <w:r>
              <w:rPr>
                <w:rFonts w:ascii="Arial" w:cs="Arial" w:eastAsia="Arial" w:hAnsi="Arial"/>
                <w:sz w:val="18"/>
                <w:szCs w:val="18"/>
                <w:color w:val="auto"/>
                <w:w w:val="87"/>
              </w:rPr>
              <w:t>Minimum payments to be received as lessor under noncancelable operating leases as of June 30, 2021 were as follows: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r>
      <w:tr>
        <w:trPr>
          <w:trHeight w:val="236"/>
        </w:trPr>
        <w:tc>
          <w:tcPr>
            <w:tcW w:w="1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2021 (remaining six months)</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0"/>
                <w:szCs w:val="20"/>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r>
      <w:tr>
        <w:trPr>
          <w:trHeight w:val="225"/>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9"/>
                <w:szCs w:val="19"/>
                <w:color w:val="auto"/>
              </w:rPr>
            </w:pPr>
          </w:p>
        </w:tc>
      </w:tr>
      <w:tr>
        <w:trPr>
          <w:trHeight w:val="226"/>
        </w:trPr>
        <w:tc>
          <w:tcPr>
            <w:tcW w:w="1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shd w:val="clear" w:color="auto" w:fill="CCEEFF"/>
          </w:tcPr>
          <w:p>
            <w:pPr>
              <w:spacing w:after="0"/>
              <w:rPr>
                <w:sz w:val="19"/>
                <w:szCs w:val="19"/>
                <w:color w:val="auto"/>
              </w:rPr>
            </w:pPr>
          </w:p>
        </w:tc>
      </w:tr>
      <w:tr>
        <w:trPr>
          <w:trHeight w:val="225"/>
        </w:trPr>
        <w:tc>
          <w:tcPr>
            <w:tcW w:w="4380" w:type="dxa"/>
            <w:vAlign w:val="bottom"/>
            <w:gridSpan w:val="2"/>
          </w:tcPr>
          <w:p>
            <w:pPr>
              <w:ind w:left="46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9"/>
                <w:szCs w:val="19"/>
                <w:color w:val="auto"/>
              </w:rPr>
            </w:pPr>
          </w:p>
        </w:tc>
      </w:tr>
      <w:tr>
        <w:trPr>
          <w:trHeight w:val="225"/>
        </w:trPr>
        <w:tc>
          <w:tcPr>
            <w:tcW w:w="140" w:type="dxa"/>
            <w:vAlign w:val="bottom"/>
            <w:tcBorders>
              <w:right w:val="single" w:sz="8" w:color="CCEEFF"/>
            </w:tcBorders>
          </w:tcPr>
          <w:p>
            <w:pPr>
              <w:spacing w:after="0"/>
              <w:rPr>
                <w:sz w:val="19"/>
                <w:szCs w:val="19"/>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Total minimum rents receivable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589.4</w:t>
            </w:r>
          </w:p>
        </w:tc>
        <w:tc>
          <w:tcPr>
            <w:tcW w:w="2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income from direct financing leases for the three and six months ended June 30, 2021 and 2020 was as follows:</w:t>
      </w:r>
    </w:p>
    <w:p>
      <w:pPr>
        <w:spacing w:after="0" w:line="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06"/>
        </w:trPr>
        <w:tc>
          <w:tcPr>
            <w:tcW w:w="42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r>
      <w:tr>
        <w:trPr>
          <w:trHeight w:val="180"/>
        </w:trPr>
        <w:tc>
          <w:tcPr>
            <w:tcW w:w="4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6"/>
        </w:trPr>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4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Variable lease income</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0.3</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4"/>
        </w:trPr>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lease income</w:t>
            </w:r>
          </w:p>
        </w:tc>
        <w:tc>
          <w:tcPr>
            <w:tcW w:w="11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 Disclosures (Continued)</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Minimum payments to be received as lessor under noncancelable direct financing leases as of June 30, 2021 were as follows: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8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940" w:type="dxa"/>
            <w:vAlign w:val="bottom"/>
          </w:tcPr>
          <w:p>
            <w:pPr>
              <w:ind w:left="340"/>
              <w:spacing w:after="0"/>
              <w:rPr>
                <w:sz w:val="20"/>
                <w:szCs w:val="20"/>
                <w:color w:val="auto"/>
              </w:rPr>
            </w:pPr>
            <w:r>
              <w:rPr>
                <w:rFonts w:ascii="Arial" w:cs="Arial" w:eastAsia="Arial" w:hAnsi="Arial"/>
                <w:sz w:val="18"/>
                <w:szCs w:val="18"/>
                <w:color w:val="auto"/>
              </w:rPr>
              <w:t>2021 (remaining six months)</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940" w:type="dxa"/>
            <w:vAlign w:val="bottom"/>
          </w:tcPr>
          <w:p>
            <w:pPr>
              <w:ind w:left="34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8940" w:type="dxa"/>
            <w:vAlign w:val="bottom"/>
          </w:tcPr>
          <w:p>
            <w:pPr>
              <w:ind w:left="34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8940" w:type="dxa"/>
            <w:vAlign w:val="bottom"/>
          </w:tcPr>
          <w:p>
            <w:pPr>
              <w:ind w:left="340"/>
              <w:spacing w:after="0"/>
              <w:rPr>
                <w:sz w:val="20"/>
                <w:szCs w:val="20"/>
                <w:color w:val="auto"/>
              </w:rPr>
            </w:pPr>
            <w:r>
              <w:rPr>
                <w:rFonts w:ascii="Arial" w:cs="Arial" w:eastAsia="Arial" w:hAnsi="Arial"/>
                <w:sz w:val="18"/>
                <w:szCs w:val="18"/>
                <w:color w:val="auto"/>
              </w:rPr>
              <w:t>Total minimum rents receivable</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6"/>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unearned income</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8"/>
        </w:trPr>
        <w:tc>
          <w:tcPr>
            <w:tcW w:w="8940" w:type="dxa"/>
            <w:vAlign w:val="bottom"/>
          </w:tcPr>
          <w:p>
            <w:pPr>
              <w:ind w:left="340"/>
              <w:spacing w:after="0"/>
              <w:rPr>
                <w:sz w:val="20"/>
                <w:szCs w:val="20"/>
                <w:color w:val="auto"/>
              </w:rPr>
            </w:pPr>
            <w:r>
              <w:rPr>
                <w:rFonts w:ascii="Arial" w:cs="Arial" w:eastAsia="Arial" w:hAnsi="Arial"/>
                <w:sz w:val="18"/>
                <w:szCs w:val="18"/>
                <w:color w:val="auto"/>
              </w:rPr>
              <w:t>Total net investment in direct financing leases</w:t>
            </w: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5"/>
        </w:trPr>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9"/>
        </w:trPr>
        <w:tc>
          <w:tcPr>
            <w:tcW w:w="8940" w:type="dxa"/>
            <w:vAlign w:val="bottom"/>
          </w:tcPr>
          <w:p>
            <w:pPr>
              <w:ind w:left="340"/>
              <w:spacing w:after="0"/>
              <w:rPr>
                <w:sz w:val="20"/>
                <w:szCs w:val="20"/>
                <w:color w:val="auto"/>
              </w:rPr>
            </w:pPr>
            <w:r>
              <w:rPr>
                <w:rFonts w:ascii="Arial" w:cs="Arial" w:eastAsia="Arial" w:hAnsi="Arial"/>
                <w:sz w:val="18"/>
                <w:szCs w:val="18"/>
                <w:color w:val="auto"/>
              </w:rPr>
              <w:t>Long-term investment in direct financing leases</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8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2021 and December 31, 2020, long-term debt consisted of the following:</w:t>
      </w:r>
    </w:p>
    <w:p>
      <w:pPr>
        <w:spacing w:after="0" w:line="43"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180"/>
        </w:trPr>
        <w:tc>
          <w:tcPr>
            <w:tcW w:w="6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2019-1 4.194% Fixed Rate Senior Secured Notes, Class A-2-I</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25"/>
        </w:trPr>
        <w:tc>
          <w:tcPr>
            <w:tcW w:w="6540" w:type="dxa"/>
            <w:vAlign w:val="bottom"/>
          </w:tcPr>
          <w:p>
            <w:pPr>
              <w:ind w:left="340"/>
              <w:spacing w:after="0"/>
              <w:rPr>
                <w:sz w:val="20"/>
                <w:szCs w:val="20"/>
                <w:color w:val="auto"/>
              </w:rPr>
            </w:pPr>
            <w:r>
              <w:rPr>
                <w:rFonts w:ascii="Arial" w:cs="Arial" w:eastAsia="Arial" w:hAnsi="Arial"/>
                <w:sz w:val="18"/>
                <w:szCs w:val="18"/>
                <w:color w:val="auto"/>
              </w:rPr>
              <w:t>Series 2019-1 4.723% Fixed Rate Senior Secured Notes, Class A-2-II</w:t>
            </w: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174"/>
        </w:trPr>
        <w:tc>
          <w:tcPr>
            <w:tcW w:w="65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2019-1 Variable Funding Senior Notes Class A-1, variable interest rate of 2.42% at</w:t>
            </w:r>
          </w:p>
        </w:tc>
        <w:tc>
          <w:tcPr>
            <w:tcW w:w="58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58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 of debt issuance costs</w:t>
            </w: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25"/>
        </w:trPr>
        <w:tc>
          <w:tcPr>
            <w:tcW w:w="6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ind w:right="40"/>
        <w:spacing w:after="0" w:line="251" w:lineRule="auto"/>
        <w:rPr>
          <w:sz w:val="20"/>
          <w:szCs w:val="20"/>
          <w:color w:val="auto"/>
        </w:rPr>
      </w:pPr>
      <w:r>
        <w:rPr>
          <w:rFonts w:ascii="Arial" w:cs="Arial" w:eastAsia="Arial" w:hAnsi="Arial"/>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Co-Issuers also entered into a revolving financing facility, the 2019-1 Variable Funding Senior Notes, Class A-1 (the “Credit Facility”), that allows for drawings up to $225 million of variable funding notes and the issuance of letters of credit. The Credit Facility and the 2019 Class A-2 Notes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A-2 Notes</w:t>
      </w:r>
    </w:p>
    <w:p>
      <w:pPr>
        <w:spacing w:after="0" w:line="250" w:lineRule="exact"/>
        <w:rPr>
          <w:sz w:val="20"/>
          <w:szCs w:val="20"/>
          <w:color w:val="auto"/>
        </w:rPr>
      </w:pPr>
    </w:p>
    <w:p>
      <w:pPr>
        <w:jc w:val="both"/>
        <w:ind w:right="100" w:firstLine="318"/>
        <w:spacing w:after="0" w:line="298" w:lineRule="auto"/>
        <w:rPr>
          <w:sz w:val="20"/>
          <w:szCs w:val="20"/>
          <w:color w:val="auto"/>
        </w:rPr>
      </w:pPr>
      <w:r>
        <w:rPr>
          <w:rFonts w:ascii="Arial" w:cs="Arial" w:eastAsia="Arial" w:hAnsi="Arial"/>
          <w:sz w:val="15"/>
          <w:szCs w:val="15"/>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3" w:lineRule="exact"/>
        <w:rPr>
          <w:sz w:val="20"/>
          <w:szCs w:val="20"/>
          <w:color w:val="auto"/>
        </w:rPr>
      </w:pPr>
    </w:p>
    <w:p>
      <w:pPr>
        <w:jc w:val="both"/>
        <w:ind w:right="340" w:firstLine="6"/>
        <w:spacing w:after="0" w:line="322" w:lineRule="auto"/>
        <w:tabs>
          <w:tab w:leader="none" w:pos="289" w:val="left"/>
        </w:tabs>
        <w:numPr>
          <w:ilvl w:val="0"/>
          <w:numId w:val="6"/>
        </w:numPr>
        <w:rPr>
          <w:rFonts w:ascii="Arial" w:cs="Arial" w:eastAsia="Arial" w:hAnsi="Arial"/>
          <w:sz w:val="15"/>
          <w:szCs w:val="15"/>
          <w:color w:val="auto"/>
        </w:rPr>
      </w:pPr>
      <w:r>
        <w:rPr>
          <w:rFonts w:ascii="Arial" w:cs="Arial" w:eastAsia="Arial" w:hAnsi="Arial"/>
          <w:sz w:val="15"/>
          <w:szCs w:val="15"/>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69"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New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17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of June 30, 2021, the Company's leverage ratio was 4.94x. As a result, quarterly principal payments on the 2019 Class A-2 Notes of $3.25 million will no longer to be required after a payment is made on September 7, 2021.</w:t>
      </w:r>
    </w:p>
    <w:p>
      <w:pPr>
        <w:spacing w:after="0" w:line="207"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The Company may voluntarily repay the 2019 Class A-2 Notes at any time; however, if the 2019 Class A-2 Notes are repaid prior to certain dates, the Company would be required to pay make-whole premiums. As of June 30, 2021, the make-whole premium associated with voluntary prepayment of the Class A-2-I Notes was approximately $22 million; this amount declines progressively each quarter to zero in June 2022. As of June 30, 2021, the make-whole premium associated with voluntary prepayment of the Class A-2-II Notes was approximately $57 million; this amount declines progressively each quarter to zero in June 2024. 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June 30, 2021, based on the probability-weighted discounted cash flows associated with either event.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2019 Class A-1 Notes</w:t>
      </w:r>
    </w:p>
    <w:p>
      <w:pPr>
        <w:spacing w:after="0" w:line="22" w:lineRule="exact"/>
        <w:rPr>
          <w:sz w:val="20"/>
          <w:szCs w:val="20"/>
          <w:color w:val="auto"/>
        </w:rPr>
      </w:pPr>
    </w:p>
    <w:p>
      <w:pPr>
        <w:ind w:firstLine="318"/>
        <w:spacing w:after="0" w:line="294" w:lineRule="auto"/>
        <w:rPr>
          <w:sz w:val="20"/>
          <w:szCs w:val="20"/>
          <w:color w:val="auto"/>
        </w:rPr>
      </w:pPr>
      <w:r>
        <w:rPr>
          <w:rFonts w:ascii="Arial" w:cs="Arial" w:eastAsia="Arial" w:hAnsi="Arial"/>
          <w:sz w:val="15"/>
          <w:szCs w:val="15"/>
          <w:color w:val="auto"/>
        </w:rPr>
        <w:t>The Co-Issuers entered into the Credit Facility that allows for drawings up to $225 million of variable funding notes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Eurodollar Funding Rate, in either case, plus</w:t>
      </w:r>
    </w:p>
    <w:p>
      <w:pPr>
        <w:spacing w:after="0" w:line="2" w:lineRule="exact"/>
        <w:rPr>
          <w:sz w:val="20"/>
          <w:szCs w:val="20"/>
          <w:color w:val="auto"/>
        </w:rPr>
      </w:pPr>
    </w:p>
    <w:p>
      <w:pPr>
        <w:jc w:val="both"/>
        <w:ind w:right="140"/>
        <w:spacing w:after="0" w:line="313" w:lineRule="auto"/>
        <w:rPr>
          <w:sz w:val="20"/>
          <w:szCs w:val="20"/>
          <w:color w:val="auto"/>
        </w:rPr>
      </w:pPr>
      <w:r>
        <w:rPr>
          <w:rFonts w:ascii="Arial" w:cs="Arial" w:eastAsia="Arial" w:hAnsi="Arial"/>
          <w:sz w:val="15"/>
          <w:szCs w:val="15"/>
          <w:color w:val="auto"/>
        </w:rPr>
        <w:t>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 (iii) the one-month Eurodollar Funding Rate plus 1.00%. There is no upfront fee for the Credit Facility. There is a fee of 50 basis points on any unused portion of the revolving financing facility. Undrawn face amounts of outstanding letters of credit that are not cash collateralized accrue a fee of 2.15% per annum.</w:t>
      </w:r>
    </w:p>
    <w:p>
      <w:pPr>
        <w:spacing w:after="0" w:line="17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In March 2020, the Company borrowed $220.0 million against the Credit Facility. The maximum amount of borrowings from the Credit Facility outstanding during the six months ended June 30, 2021 was $220.0 million. The $220.0 million was repaid on March 5, 2021 and there have been no new borrowings since that date. As of June 30, 2021, there were no outstanding borrowings under the Credit Facility. The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six months ended June 30, 2021 was 2.4%.</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June 30, 2021, $3.3 million was pledged against the Credit Facility for outstanding letters of credit, leaving $221.7 million available for borrowing.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letters of credit are used primarily to satisfy insurance-related collateral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Long-Term Debt (Continued)</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250"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on or with respect to the New Notes, failure of the Securitization Entities to maintain the stated DSCR, failure to comply with covenants within certain time frames, certain bankruptcy events, breaches of specified representations and warranties and certain judgments.</w:t>
      </w:r>
    </w:p>
    <w:p>
      <w:pPr>
        <w:spacing w:after="0" w:line="18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DSCR for the reporting period ended June 30, 2021 was approximately 4.6x.</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Debt Issuance Costs</w:t>
      </w:r>
    </w:p>
    <w:p>
      <w:pPr>
        <w:spacing w:after="0" w:line="250"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Amortization of costs incurred in connection with the issuance of the 2019 Class A-2 Notes of $0.6 million and $0.5 million were included in interest expense for the three months ended June 30, 2021 and 2020, respectively. Amortization of costs incurred in connection with the issuance of the 2019 Class A-2 Notes of $1.1 million and $1.0 million were included in interest expense for the six months ended June 30, 2021 and 2020, respectively. Amortization costs incurred in connection with the Company's Credit Facility and prior credit facility of $0.1 million and $0.1 million were included in interest expense for the three months ended June 30, 2021 and 2020, respectively. Amortization costs incurred in connection with the Company's Credit Facility and prior credit facility of $0.3 million and $0.3 million were included in interest expense for the six months ended June 30, 2021 and 2020, respectively.</w:t>
      </w:r>
    </w:p>
    <w:p>
      <w:pPr>
        <w:spacing w:after="0" w:line="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At June 30, 2021, total unamortized debt issuance costs of $8.5 million are reported as a direct reduction of the 2019 Class A-2 Notes in the Consolidated Balance Sheets. At June 30, 2021, total unamortized debt issuance costs of $1.8 million related to the Credit Facility and prior credit facility are classified as other long-term assets because there are no borrowings outstanding against the Credit Facility.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Maturities of Long-term Debt</w:t>
      </w:r>
    </w:p>
    <w:p>
      <w:pPr>
        <w:spacing w:after="0" w:line="250"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repayment date of the Class A-2-I Notes is June 2024.</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repayment date of the Class A-2-II Notes is in June 2026.</w:t>
      </w:r>
    </w:p>
    <w:p>
      <w:pPr>
        <w:spacing w:after="0" w:line="5" w:lineRule="exact"/>
        <w:rPr>
          <w:rFonts w:ascii="Arial" w:cs="Arial" w:eastAsia="Arial" w:hAnsi="Arial"/>
          <w:sz w:val="18"/>
          <w:szCs w:val="18"/>
          <w:color w:val="auto"/>
        </w:rPr>
      </w:pPr>
    </w:p>
    <w:p>
      <w:pPr>
        <w:ind w:left="640" w:right="70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principal payments on the Class A-2-I and Class A-2-II Notes totaling $3.25 million ($13.0 million per annum) are required if the Company's leverage ratio is greater than 5.25x.</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Deficit</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Dividends declared and paid per share for the three and six months ended June 30, 2021 and 2020 were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6"/>
                <w:szCs w:val="16"/>
                <w:b w:val="1"/>
                <w:bCs w:val="1"/>
                <w:color w:val="auto"/>
                <w:w w:val="89"/>
              </w:rPr>
              <w:t>Six months ended June 30,</w:t>
            </w:r>
          </w:p>
        </w:tc>
      </w:tr>
      <w:tr>
        <w:trPr>
          <w:trHeight w:val="206"/>
        </w:trPr>
        <w:tc>
          <w:tcPr>
            <w:tcW w:w="59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center"/>
              <w:ind w:left="396"/>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r>
      <w:tr>
        <w:trPr>
          <w:trHeight w:val="221"/>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4"/>
        </w:trPr>
        <w:tc>
          <w:tcPr>
            <w:tcW w:w="5940" w:type="dxa"/>
            <w:vAlign w:val="bottom"/>
          </w:tcPr>
          <w:p>
            <w:pPr>
              <w:ind w:left="340"/>
              <w:spacing w:after="0"/>
              <w:rPr>
                <w:sz w:val="20"/>
                <w:szCs w:val="20"/>
                <w:color w:val="auto"/>
              </w:rPr>
            </w:pPr>
            <w:r>
              <w:rPr>
                <w:rFonts w:ascii="Arial" w:cs="Arial" w:eastAsia="Arial" w:hAnsi="Arial"/>
                <w:sz w:val="18"/>
                <w:szCs w:val="18"/>
                <w:color w:val="auto"/>
              </w:rPr>
              <w:t>Dividends paid per common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3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30"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The Company did not repurchase any shares during three and six months ended June 30, 2021. The Company did not repurchase any shares during the three months ended June 30, 2020 and repurchased 459,899 shares during the six months ended June 30, 2020. As of June 30, 2021, cumulative repurchases of stock total 1,697,597 shares at a cost of $129.8 million, with a dollar value of $70.2 million remaining for repurchase under the 2019 Repurchase Program.</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Treasury Stock</w:t>
      </w:r>
    </w:p>
    <w:p>
      <w:pPr>
        <w:spacing w:after="0" w:line="217"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2021, the Company re-issued 596,645 shares of treasury stock at a total FIFO cost of $24.1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57"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The Company's effective tax rate was 12.3% (a tax provision of $7.7 million on pretax book income of $62.7 million) for the six months ended June 30, 2021, as compared to 4.5% for the six months ended June 30, 2020 (a tax benefit of $5.3 million on pretax book loss of $117.7 million). The effective tax rate for the six months ended June 30, 2021 was lower than the statutory federal tax rate of 21% primarily due to the recognition of excess tax benefits on stock-based compensation in the first quarter of 2021. In addition, the effective tax rate for the six months ended June 30, 2021 was different than the prior comparable period due to the impairment of goodwill in the second quarter of 2020, which was not deductible for income tax purposes and therefore had no associated tax benefit.</w:t>
      </w:r>
    </w:p>
    <w:p>
      <w:pPr>
        <w:spacing w:after="0" w:line="222"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total gross unrecognized tax benefit as of June 30, 2021 and December 31, 2020 was $1.9 million and $2.2 million, respectively, excluding interest, penalties and related tax benefits. The Company estimates the unrecognized tax benefit as of June 30, 2021 may decrease over the upcoming 12 months by an amount up to $0.2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17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As of June 30, 2021, accrued interest was $0.6 million and accrued penalties were less than $0.1 million, excluding any related income tax benefits. As of December 31, 2020, accrued interest was $0.9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 (Continued)</w:t>
      </w:r>
    </w:p>
    <w:p>
      <w:pPr>
        <w:spacing w:after="0" w:line="268"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21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On March 11, 2021, the American Rescue Plan Act of 2021 (“ARP Act”) was enacted in response to the COVID-19 pandemic. The Company is continuing to evaluate the impact of the ARP Act, but at present, does not expect the ARP Act would result in a material impact to our income tax benefit or provision.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340" w:type="dxa"/>
            <w:vAlign w:val="bottom"/>
            <w:gridSpan w:val="6"/>
          </w:tcPr>
          <w:p>
            <w:pPr>
              <w:ind w:left="12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192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w w:val="86"/>
              </w:rPr>
              <w:t>Six months ended June 30,</w:t>
            </w:r>
          </w:p>
        </w:tc>
      </w:tr>
      <w:tr>
        <w:trPr>
          <w:trHeight w:val="203"/>
        </w:trPr>
        <w:tc>
          <w:tcPr>
            <w:tcW w:w="68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r>
      <w:tr>
        <w:trPr>
          <w:trHeight w:val="209"/>
        </w:trPr>
        <w:tc>
          <w:tcPr>
            <w:tcW w:w="68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6"/>
        </w:trPr>
        <w:tc>
          <w:tcPr>
            <w:tcW w:w="6860" w:type="dxa"/>
            <w:vAlign w:val="bottom"/>
          </w:tcPr>
          <w:p>
            <w:pPr>
              <w:ind w:left="340"/>
              <w:spacing w:after="0"/>
              <w:rPr>
                <w:sz w:val="20"/>
                <w:szCs w:val="20"/>
                <w:color w:val="auto"/>
              </w:rPr>
            </w:pPr>
            <w:r>
              <w:rPr>
                <w:rFonts w:ascii="Arial" w:cs="Arial" w:eastAsia="Arial" w:hAnsi="Arial"/>
                <w:sz w:val="18"/>
                <w:szCs w:val="18"/>
                <w:color w:val="auto"/>
              </w:rPr>
              <w:t>Equity classified awards expense</w:t>
            </w: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87"/>
              </w:rPr>
              <w:t>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54"/>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ind w:left="273"/>
              <w:spacing w:after="0"/>
              <w:rPr>
                <w:sz w:val="20"/>
                <w:szCs w:val="20"/>
                <w:color w:val="auto"/>
              </w:rPr>
            </w:pPr>
            <w:r>
              <w:rPr>
                <w:rFonts w:ascii="Arial" w:cs="Arial" w:eastAsia="Arial" w:hAnsi="Arial"/>
                <w:sz w:val="18"/>
                <w:szCs w:val="18"/>
                <w:color w:val="auto"/>
                <w:w w:val="87"/>
              </w:rPr>
              <w:t>6.7</w:t>
            </w:r>
          </w:p>
        </w:tc>
      </w:tr>
      <w:tr>
        <w:trPr>
          <w:trHeight w:val="22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classified awards expense (credit)</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1"/>
              </w:rPr>
              <w:t>(0.5)</w:t>
            </w:r>
          </w:p>
        </w:tc>
      </w:tr>
      <w:tr>
        <w:trPr>
          <w:trHeight w:val="218"/>
        </w:trPr>
        <w:tc>
          <w:tcPr>
            <w:tcW w:w="6860" w:type="dxa"/>
            <w:vAlign w:val="bottom"/>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7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454"/>
              <w:spacing w:after="0"/>
              <w:rPr>
                <w:sz w:val="20"/>
                <w:szCs w:val="20"/>
                <w:color w:val="auto"/>
              </w:rPr>
            </w:pPr>
            <w:r>
              <w:rPr>
                <w:rFonts w:ascii="Arial" w:cs="Arial" w:eastAsia="Arial" w:hAnsi="Arial"/>
                <w:sz w:val="18"/>
                <w:szCs w:val="18"/>
                <w:color w:val="auto"/>
                <w:w w:val="87"/>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ind w:left="273"/>
              <w:spacing w:after="0"/>
              <w:rPr>
                <w:sz w:val="20"/>
                <w:szCs w:val="20"/>
                <w:color w:val="auto"/>
              </w:rPr>
            </w:pPr>
            <w:r>
              <w:rPr>
                <w:rFonts w:ascii="Arial" w:cs="Arial" w:eastAsia="Arial" w:hAnsi="Arial"/>
                <w:sz w:val="18"/>
                <w:szCs w:val="18"/>
                <w:color w:val="auto"/>
                <w:w w:val="87"/>
              </w:rPr>
              <w:t>6.2</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income tax benefit</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86"/>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8"/>
                <w:szCs w:val="18"/>
                <w:color w:val="auto"/>
                <w:w w:val="86"/>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1"/>
              </w:rPr>
              <w:t>(1.6)</w:t>
            </w:r>
          </w:p>
        </w:tc>
      </w:tr>
      <w:tr>
        <w:trPr>
          <w:trHeight w:val="219"/>
        </w:trPr>
        <w:tc>
          <w:tcPr>
            <w:tcW w:w="6860" w:type="dxa"/>
            <w:vAlign w:val="bottom"/>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87"/>
              </w:rPr>
              <w:t>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454"/>
              <w:spacing w:after="0"/>
              <w:rPr>
                <w:sz w:val="20"/>
                <w:szCs w:val="20"/>
                <w:color w:val="auto"/>
              </w:rPr>
            </w:pPr>
            <w:r>
              <w:rPr>
                <w:rFonts w:ascii="Arial" w:cs="Arial" w:eastAsia="Arial" w:hAnsi="Arial"/>
                <w:sz w:val="18"/>
                <w:szCs w:val="18"/>
                <w:color w:val="auto"/>
                <w:w w:val="87"/>
              </w:rPr>
              <w:t>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87"/>
              </w:rPr>
              <w:t>4.6</w:t>
            </w:r>
          </w:p>
        </w:tc>
      </w:tr>
      <w:tr>
        <w:trPr>
          <w:trHeight w:val="20"/>
        </w:trPr>
        <w:tc>
          <w:tcPr>
            <w:tcW w:w="6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As of June 30, 2021, total unrecognized compensation expense of $20.9 million related to restricted stock and restricted stock units and $3.9 million related to stock options are expected to be recognized over a weighted average period of 1.5 years for restricted stock and restricted stock units and 1.8 years for stock options.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244" w:lineRule="exact"/>
        <w:rPr>
          <w:sz w:val="20"/>
          <w:szCs w:val="20"/>
          <w:color w:val="auto"/>
        </w:rPr>
      </w:pPr>
    </w:p>
    <w:p>
      <w:pPr>
        <w:ind w:right="400" w:firstLine="318"/>
        <w:spacing w:after="0" w:line="294" w:lineRule="auto"/>
        <w:rPr>
          <w:sz w:val="20"/>
          <w:szCs w:val="20"/>
          <w:color w:val="auto"/>
        </w:rPr>
      </w:pPr>
      <w:r>
        <w:rPr>
          <w:rFonts w:ascii="Arial" w:cs="Arial" w:eastAsia="Arial" w:hAnsi="Arial"/>
          <w:sz w:val="17"/>
          <w:szCs w:val="17"/>
          <w:color w:val="auto"/>
        </w:rPr>
        <w:t>The Company granted 95,891 stock options during the six months ended June 30, 2021 for which the fair value was estimated using a Black-Scholes option pricing model. The following summarizes the weighted average assumptions used in the Black-Scholes model: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granted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556"/>
        </w:trPr>
        <w:tc>
          <w:tcPr>
            <w:tcW w:w="56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180" w:type="dxa"/>
            <w:vAlign w:val="bottom"/>
            <w:gridSpan w:val="6"/>
          </w:tcPr>
          <w:p>
            <w:pPr>
              <w:ind w:left="320"/>
              <w:spacing w:after="0"/>
              <w:rPr>
                <w:sz w:val="20"/>
                <w:szCs w:val="20"/>
                <w:color w:val="auto"/>
              </w:rPr>
            </w:pPr>
            <w:r>
              <w:rPr>
                <w:rFonts w:ascii="Arial" w:cs="Arial" w:eastAsia="Arial" w:hAnsi="Arial"/>
                <w:sz w:val="18"/>
                <w:szCs w:val="18"/>
                <w:color w:val="auto"/>
                <w:w w:val="90"/>
              </w:rPr>
              <w:t>Stock option balances at June 30, 2021, and activity for the six months ended June 30, 2021 were as follows: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200" w:type="dxa"/>
            <w:vAlign w:val="bottom"/>
          </w:tcPr>
          <w:p>
            <w:pPr>
              <w:spacing w:after="0"/>
              <w:rPr>
                <w:sz w:val="16"/>
                <w:szCs w:val="16"/>
                <w:color w:val="auto"/>
              </w:rPr>
            </w:pPr>
          </w:p>
        </w:tc>
        <w:tc>
          <w:tcPr>
            <w:tcW w:w="104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0"/>
              </w:rPr>
              <w:t>Remaining</w:t>
            </w:r>
          </w:p>
        </w:tc>
        <w:tc>
          <w:tcPr>
            <w:tcW w:w="200" w:type="dxa"/>
            <w:vAlign w:val="bottom"/>
          </w:tcPr>
          <w:p>
            <w:pPr>
              <w:spacing w:after="0"/>
              <w:rPr>
                <w:sz w:val="13"/>
                <w:szCs w:val="13"/>
                <w:color w:val="auto"/>
              </w:rPr>
            </w:pPr>
          </w:p>
        </w:tc>
        <w:tc>
          <w:tcPr>
            <w:tcW w:w="1040" w:type="dxa"/>
            <w:vAlign w:val="bottom"/>
          </w:tcPr>
          <w:p>
            <w:pPr>
              <w:jc w:val="center"/>
              <w:ind w:right="95"/>
              <w:spacing w:after="0" w:line="159"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2"/>
              </w:rPr>
              <w:t>Contractual Term</w:t>
            </w:r>
          </w:p>
        </w:tc>
        <w:tc>
          <w:tcPr>
            <w:tcW w:w="200" w:type="dxa"/>
            <w:vAlign w:val="bottom"/>
          </w:tcPr>
          <w:p>
            <w:pPr>
              <w:spacing w:after="0"/>
              <w:rPr>
                <w:sz w:val="13"/>
                <w:szCs w:val="13"/>
                <w:color w:val="auto"/>
              </w:rPr>
            </w:pPr>
          </w:p>
        </w:tc>
        <w:tc>
          <w:tcPr>
            <w:tcW w:w="10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89"/>
              </w:rPr>
              <w:t>Value (in</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5"/>
              </w:rPr>
              <w:t>Millions)</w:t>
            </w:r>
          </w:p>
        </w:tc>
        <w:tc>
          <w:tcPr>
            <w:tcW w:w="0" w:type="dxa"/>
            <w:vAlign w:val="bottom"/>
          </w:tcPr>
          <w:p>
            <w:pPr>
              <w:spacing w:after="0"/>
              <w:rPr>
                <w:sz w:val="1"/>
                <w:szCs w:val="1"/>
                <w:color w:val="auto"/>
              </w:rPr>
            </w:pPr>
          </w:p>
        </w:tc>
      </w:tr>
      <w:tr>
        <w:trPr>
          <w:trHeight w:val="221"/>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95,891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Expired</w:t>
            </w:r>
          </w:p>
        </w:tc>
        <w:tc>
          <w:tcPr>
            <w:tcW w:w="1180" w:type="dxa"/>
            <w:vAlign w:val="bottom"/>
          </w:tcPr>
          <w:p>
            <w:pPr>
              <w:jc w:val="right"/>
              <w:spacing w:after="0"/>
              <w:rPr>
                <w:sz w:val="20"/>
                <w:szCs w:val="20"/>
                <w:color w:val="auto"/>
              </w:rPr>
            </w:pPr>
            <w:r>
              <w:rPr>
                <w:rFonts w:ascii="Arial" w:cs="Arial" w:eastAsia="Arial" w:hAnsi="Arial"/>
                <w:sz w:val="18"/>
                <w:szCs w:val="18"/>
                <w:color w:val="auto"/>
              </w:rPr>
              <w:t>(24,540)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Outstanding at June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June 30, 2021 and Expected to Vest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Arial" w:cs="Arial" w:eastAsia="Arial" w:hAnsi="Arial"/>
                <w:sz w:val="18"/>
                <w:szCs w:val="18"/>
                <w:color w:val="auto"/>
              </w:rPr>
              <w:t>Exercisable at June 30, 2021</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372,922</w:t>
            </w:r>
          </w:p>
        </w:tc>
        <w:tc>
          <w:tcPr>
            <w:tcW w:w="2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72.86</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8"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Compensation (Continued)</w:t>
      </w:r>
    </w:p>
    <w:p>
      <w:pPr>
        <w:spacing w:after="0" w:line="200" w:lineRule="exact"/>
        <w:rPr>
          <w:sz w:val="20"/>
          <w:szCs w:val="20"/>
          <w:color w:val="auto"/>
        </w:rPr>
      </w:pPr>
    </w:p>
    <w:p>
      <w:pPr>
        <w:spacing w:after="0" w:line="307"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second quarter of 2021 and the exercise price, multiplied by the number of in-the-money options) that would have been received by the option holders had all option holders exercised their options on June 30, 2021. The aggregate intrinsic value will change based on the fair market value of the Company’s common stock and the number of in-the-money options.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217"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Outstanding balances as of June 30, 2021, and activity related to restricted stock and restricted stock units for the six months ended June 30, 2021 were as follows:</w:t>
      </w:r>
    </w:p>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6"/>
                <w:szCs w:val="16"/>
                <w:b w:val="1"/>
                <w:bCs w:val="1"/>
                <w:color w:val="auto"/>
                <w:w w:val="91"/>
              </w:rPr>
              <w:t>Weighted</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7"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5"/>
              </w:rPr>
              <w:t>Grant Date</w:t>
            </w:r>
          </w:p>
        </w:tc>
        <w:tc>
          <w:tcPr>
            <w:tcW w:w="13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2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254,331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127,041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(46,223)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(40,105)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295,044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4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2300" w:type="dxa"/>
            <w:vAlign w:val="bottom"/>
          </w:tcPr>
          <w:p>
            <w:pPr>
              <w:jc w:val="right"/>
              <w:ind w:right="95"/>
              <w:spacing w:after="0" w:line="167" w:lineRule="exact"/>
              <w:rPr>
                <w:sz w:val="20"/>
                <w:szCs w:val="20"/>
                <w:color w:val="auto"/>
              </w:rPr>
            </w:pPr>
            <w:r>
              <w:rPr>
                <w:rFonts w:ascii="Arial" w:cs="Arial" w:eastAsia="Arial" w:hAnsi="Arial"/>
                <w:sz w:val="16"/>
                <w:szCs w:val="16"/>
                <w:b w:val="1"/>
                <w:bCs w:val="1"/>
                <w:color w:val="auto"/>
              </w:rPr>
              <w:t>Cash-Settled Restricted</w:t>
            </w:r>
          </w:p>
        </w:tc>
      </w:tr>
      <w:tr>
        <w:trPr>
          <w:trHeight w:val="210"/>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Stock Units</w:t>
            </w:r>
          </w:p>
        </w:tc>
      </w:tr>
      <w:tr>
        <w:trPr>
          <w:trHeight w:val="221"/>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r>
      <w:tr>
        <w:trPr>
          <w:trHeight w:val="225"/>
        </w:trPr>
        <w:tc>
          <w:tcPr>
            <w:tcW w:w="8420" w:type="dxa"/>
            <w:vAlign w:val="bottom"/>
          </w:tcPr>
          <w:p>
            <w:pPr>
              <w:ind w:left="340"/>
              <w:spacing w:after="0"/>
              <w:rPr>
                <w:sz w:val="20"/>
                <w:szCs w:val="20"/>
                <w:color w:val="auto"/>
              </w:rPr>
            </w:pPr>
            <w:r>
              <w:rPr>
                <w:rFonts w:ascii="Arial" w:cs="Arial" w:eastAsia="Arial" w:hAnsi="Arial"/>
                <w:sz w:val="18"/>
                <w:szCs w:val="18"/>
                <w:color w:val="auto"/>
              </w:rPr>
              <w:t>Released</w:t>
            </w:r>
          </w:p>
        </w:tc>
        <w:tc>
          <w:tcPr>
            <w:tcW w:w="2300" w:type="dxa"/>
            <w:vAlign w:val="bottom"/>
          </w:tcPr>
          <w:p>
            <w:pPr>
              <w:jc w:val="right"/>
              <w:spacing w:after="0"/>
              <w:rPr>
                <w:sz w:val="20"/>
                <w:szCs w:val="20"/>
                <w:color w:val="auto"/>
              </w:rPr>
            </w:pPr>
            <w:r>
              <w:rPr>
                <w:rFonts w:ascii="Arial" w:cs="Arial" w:eastAsia="Arial" w:hAnsi="Arial"/>
                <w:sz w:val="18"/>
                <w:szCs w:val="18"/>
                <w:color w:val="auto"/>
              </w:rPr>
              <w:t>(38,916)</w:t>
            </w:r>
          </w:p>
        </w:tc>
      </w:tr>
      <w:tr>
        <w:trPr>
          <w:trHeight w:val="225"/>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9"/>
        </w:trPr>
        <w:tc>
          <w:tcPr>
            <w:tcW w:w="8420" w:type="dxa"/>
            <w:vAlign w:val="bottom"/>
          </w:tcPr>
          <w:p>
            <w:pPr>
              <w:ind w:left="340"/>
              <w:spacing w:after="0"/>
              <w:rPr>
                <w:sz w:val="20"/>
                <w:szCs w:val="20"/>
                <w:color w:val="auto"/>
              </w:rPr>
            </w:pPr>
            <w:r>
              <w:rPr>
                <w:rFonts w:ascii="Arial" w:cs="Arial" w:eastAsia="Arial" w:hAnsi="Arial"/>
                <w:sz w:val="18"/>
                <w:szCs w:val="18"/>
                <w:color w:val="auto"/>
              </w:rPr>
              <w:t>Outstanding at June 30, 2021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13,300</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For the three months ended June 30, 2021 and 2020, an expense of $0.1 million and $0.4 million, respectively, was included as stock-based compensation expense related to cash-settled restricted stock units. For the six months ended June 30, 2021 and 2020, an expense of $1.5 million and a credit of $0.9 million, respectively, was included as stock-based compensation expense related to cash-settled restricted stock units. At June 30, 2021 and December 31, 2020, liabilities of $0.8 million and $2.5 million, respectively, related to cash-settled restricted stock units were included as part of accrued employee compensation and benefits in the Consolidated Balance Sheets.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5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June 30, 2021 and 2020, an expense of $0.3 million and a credit of $0.3 million, respectively, were included in total stock-based compensation expense related to LTIP awards. For the six months ended June 30, 2021 and 2020, $0.5 million and $0.4 million, respectively, were included in total stock-based compensation expense related to LTIP awards. At June 30, 2021 and December 31, 2020, liabilities of $1.2 million and $2.1 million, respectively, related to LTIP awards were included as part of accrued employee compensation and benefits in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Segments</w:t>
      </w:r>
    </w:p>
    <w:p>
      <w:pPr>
        <w:spacing w:after="0" w:line="183"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Segments (Continued)</w:t>
      </w:r>
    </w:p>
    <w:p>
      <w:pPr>
        <w:spacing w:after="0" w:line="268" w:lineRule="exact"/>
        <w:rPr>
          <w:sz w:val="20"/>
          <w:szCs w:val="20"/>
          <w:color w:val="auto"/>
        </w:rPr>
      </w:pPr>
    </w:p>
    <w:p>
      <w:pPr>
        <w:ind w:right="520"/>
        <w:spacing w:after="0" w:line="252" w:lineRule="auto"/>
        <w:rPr>
          <w:sz w:val="20"/>
          <w:szCs w:val="20"/>
          <w:color w:val="auto"/>
        </w:rPr>
      </w:pPr>
      <w:r>
        <w:rPr>
          <w:rFonts w:ascii="Arial" w:cs="Arial" w:eastAsia="Arial" w:hAnsi="Arial"/>
          <w:sz w:val="18"/>
          <w:szCs w:val="18"/>
          <w:color w:val="auto"/>
        </w:rPr>
        <w:t>operations. The Company has four reportable segments: franchise operations, (an aggregation of Applebee's and IHOP franchise operations), company-operated restaurant operations, rental operations and financing operations. The Company</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considers these to be its reportable segments, regardless of whether any segment exceeds 10% of consolidated revenues, income before income tax provision or total assets.</w:t>
      </w:r>
    </w:p>
    <w:p>
      <w:pPr>
        <w:spacing w:after="0" w:line="218" w:lineRule="exact"/>
        <w:rPr>
          <w:sz w:val="20"/>
          <w:szCs w:val="20"/>
          <w:color w:val="auto"/>
        </w:rPr>
      </w:pPr>
    </w:p>
    <w:p>
      <w:pPr>
        <w:ind w:firstLine="352"/>
        <w:spacing w:after="0" w:line="267" w:lineRule="auto"/>
        <w:rPr>
          <w:sz w:val="20"/>
          <w:szCs w:val="20"/>
          <w:color w:val="auto"/>
        </w:rPr>
      </w:pPr>
      <w:r>
        <w:rPr>
          <w:rFonts w:ascii="Arial" w:cs="Arial" w:eastAsia="Arial" w:hAnsi="Arial"/>
          <w:sz w:val="17"/>
          <w:szCs w:val="17"/>
          <w:color w:val="auto"/>
        </w:rPr>
        <w:t>As of June 30, 2021, the franchise operations segment consisted of (i) 1,627 restaurants operated by Applebee’s franchisees in the United States, two U.S. territories and 11 countries outside the United States and (ii) 1,744 restaurants operated by IHOP franchisees and area licensees in the United States, two U.S. territories and seven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06" w:lineRule="exact"/>
        <w:rPr>
          <w:sz w:val="20"/>
          <w:szCs w:val="20"/>
          <w:color w:val="auto"/>
        </w:rPr>
      </w:pPr>
    </w:p>
    <w:p>
      <w:pPr>
        <w:ind w:right="640" w:firstLine="318"/>
        <w:spacing w:after="0" w:line="252"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segments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5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w w:val="87"/>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Revenues from external customers:</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233.6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Interest expense: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9"/>
        </w:trPr>
        <w:tc>
          <w:tcPr>
            <w:tcW w:w="4980" w:type="dxa"/>
            <w:vAlign w:val="bottom"/>
          </w:tcPr>
          <w:p>
            <w:pPr>
              <w:ind w:left="1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 (loss), by segment: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operations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restaurants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operations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profit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and unallocated expenses, net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98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9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computation of the Company's basic and diluted net income (loss) per share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2380" w:type="dxa"/>
            <w:vAlign w:val="bottom"/>
            <w:gridSpan w:val="6"/>
          </w:tcPr>
          <w:p>
            <w:pPr>
              <w:ind w:left="100"/>
              <w:spacing w:after="0"/>
              <w:rPr>
                <w:sz w:val="20"/>
                <w:szCs w:val="20"/>
                <w:color w:val="auto"/>
              </w:rPr>
            </w:pPr>
            <w:r>
              <w:rPr>
                <w:rFonts w:ascii="Arial" w:cs="Arial" w:eastAsia="Arial" w:hAnsi="Arial"/>
                <w:sz w:val="17"/>
                <w:szCs w:val="17"/>
                <w:b w:val="1"/>
                <w:bCs w:val="1"/>
                <w:color w:val="auto"/>
                <w:w w:val="94"/>
              </w:rPr>
              <w:t>Three months ended June 30,</w:t>
            </w:r>
          </w:p>
        </w:tc>
        <w:tc>
          <w:tcPr>
            <w:tcW w:w="120" w:type="dxa"/>
            <w:vAlign w:val="bottom"/>
          </w:tcPr>
          <w:p>
            <w:pPr>
              <w:spacing w:after="0"/>
              <w:rPr>
                <w:sz w:val="19"/>
                <w:szCs w:val="19"/>
                <w:color w:val="auto"/>
              </w:rPr>
            </w:pPr>
          </w:p>
        </w:tc>
        <w:tc>
          <w:tcPr>
            <w:tcW w:w="2060" w:type="dxa"/>
            <w:vAlign w:val="bottom"/>
            <w:gridSpan w:val="4"/>
          </w:tcPr>
          <w:p>
            <w:pPr>
              <w:jc w:val="right"/>
              <w:ind w:right="52"/>
              <w:spacing w:after="0"/>
              <w:rPr>
                <w:sz w:val="20"/>
                <w:szCs w:val="20"/>
                <w:color w:val="auto"/>
              </w:rPr>
            </w:pPr>
            <w:r>
              <w:rPr>
                <w:rFonts w:ascii="Arial" w:cs="Arial" w:eastAsia="Arial" w:hAnsi="Arial"/>
                <w:sz w:val="17"/>
                <w:szCs w:val="17"/>
                <w:b w:val="1"/>
                <w:bCs w:val="1"/>
                <w:color w:val="auto"/>
                <w:w w:val="86"/>
              </w:rPr>
              <w:t>Six months ended June 30,</w:t>
            </w:r>
          </w:p>
        </w:tc>
        <w:tc>
          <w:tcPr>
            <w:tcW w:w="0" w:type="dxa"/>
            <w:vAlign w:val="bottom"/>
          </w:tcPr>
          <w:p>
            <w:pPr>
              <w:spacing w:after="0"/>
              <w:rPr>
                <w:sz w:val="1"/>
                <w:szCs w:val="1"/>
                <w:color w:val="auto"/>
              </w:rPr>
            </w:pPr>
          </w:p>
        </w:tc>
      </w:tr>
      <w:tr>
        <w:trPr>
          <w:trHeight w:val="205"/>
        </w:trPr>
        <w:tc>
          <w:tcPr>
            <w:tcW w:w="6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9"/>
        </w:trPr>
        <w:tc>
          <w:tcPr>
            <w:tcW w:w="6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20"/>
              <w:spacing w:after="0"/>
              <w:rPr>
                <w:sz w:val="20"/>
                <w:szCs w:val="20"/>
                <w:color w:val="auto"/>
              </w:rPr>
            </w:pPr>
            <w:r>
              <w:rPr>
                <w:rFonts w:ascii="Arial" w:cs="Arial" w:eastAsia="Arial" w:hAnsi="Arial"/>
                <w:sz w:val="18"/>
                <w:szCs w:val="18"/>
                <w:color w:val="auto"/>
              </w:rPr>
              <w:t>Numerator for basic and diluted income (loss) per common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(112,451)</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Less: Net income allocated to unvested participating restricted stock</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 basic</w:t>
            </w: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(112,871)</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unvested participating restricted stock in two-class calculation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 diluted</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28,708</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Dilutive effect of stock options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outstanding shares of common stock - diluted</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tcPr>
          <w:p>
            <w:pPr>
              <w:ind w:left="22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ind w:right="53"/>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1.69</w:t>
            </w:r>
          </w:p>
        </w:tc>
        <w:tc>
          <w:tcPr>
            <w:tcW w:w="320" w:type="dxa"/>
            <w:vAlign w:val="bottom"/>
            <w:gridSpan w:val="2"/>
          </w:tcPr>
          <w:p>
            <w:pPr>
              <w:jc w:val="right"/>
              <w:ind w:right="12"/>
              <w:spacing w:after="0" w:line="198"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(8.33)</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3.19</w:t>
            </w:r>
          </w:p>
        </w:tc>
        <w:tc>
          <w:tcPr>
            <w:tcW w:w="100" w:type="dxa"/>
            <w:vAlign w:val="bottom"/>
          </w:tcPr>
          <w:p>
            <w:pPr>
              <w:spacing w:after="0"/>
              <w:rPr>
                <w:sz w:val="17"/>
                <w:szCs w:val="17"/>
                <w:color w:val="auto"/>
              </w:rPr>
            </w:pP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20" w:firstLine="318"/>
        <w:spacing w:after="0" w:line="239" w:lineRule="auto"/>
        <w:rPr>
          <w:sz w:val="20"/>
          <w:szCs w:val="20"/>
          <w:color w:val="auto"/>
        </w:rPr>
      </w:pPr>
      <w:r>
        <w:rPr>
          <w:rFonts w:ascii="Arial" w:cs="Arial" w:eastAsia="Arial" w:hAnsi="Arial"/>
          <w:sz w:val="18"/>
          <w:szCs w:val="18"/>
          <w:color w:val="auto"/>
        </w:rPr>
        <w:t>For the six months ended June 30, 2020, diluted loss per common share was computed using the basic weighted average number of shares outstanding during the period as the 101,000 shares from common stock equivalents would have been antidilutive. There were no common stock equivalents for the three months ended June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Impairment and Closure Charges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Closure and long-lived tangible asset impairment charges for the three and six months ended June 30, 2021 were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Impairment and Closure Charges</w:t>
            </w:r>
          </w:p>
        </w:tc>
        <w:tc>
          <w:tcPr>
            <w:tcW w:w="580" w:type="dxa"/>
            <w:vAlign w:val="bottom"/>
          </w:tcPr>
          <w:p>
            <w:pPr>
              <w:spacing w:after="0"/>
              <w:rPr>
                <w:sz w:val="18"/>
                <w:szCs w:val="18"/>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0"/>
        </w:trPr>
        <w:tc>
          <w:tcPr>
            <w:tcW w:w="420" w:type="dxa"/>
            <w:vAlign w:val="bottom"/>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r>
      <w:tr>
        <w:trPr>
          <w:trHeight w:val="180"/>
        </w:trPr>
        <w:tc>
          <w:tcPr>
            <w:tcW w:w="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6"/>
        </w:trPr>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Closure charges</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5060" w:type="dxa"/>
            <w:vAlign w:val="bottom"/>
            <w:gridSpan w:val="3"/>
          </w:tcPr>
          <w:p>
            <w:pPr>
              <w:ind w:left="420"/>
              <w:spacing w:after="0"/>
              <w:rPr>
                <w:sz w:val="20"/>
                <w:szCs w:val="20"/>
                <w:color w:val="auto"/>
              </w:rPr>
            </w:pPr>
            <w:r>
              <w:rPr>
                <w:rFonts w:ascii="Arial" w:cs="Arial" w:eastAsia="Arial" w:hAnsi="Arial"/>
                <w:sz w:val="18"/>
                <w:szCs w:val="18"/>
                <w:color w:val="auto"/>
              </w:rPr>
              <w:t>Long-lived tangible asset impairment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5"/>
        </w:trPr>
        <w:tc>
          <w:tcPr>
            <w:tcW w:w="5060" w:type="dxa"/>
            <w:vAlign w:val="bottom"/>
            <w:gridSpan w:val="3"/>
          </w:tcPr>
          <w:p>
            <w:pPr>
              <w:ind w:left="420"/>
              <w:spacing w:after="0"/>
              <w:rPr>
                <w:sz w:val="20"/>
                <w:szCs w:val="20"/>
                <w:color w:val="auto"/>
              </w:rPr>
            </w:pPr>
            <w:r>
              <w:rPr>
                <w:rFonts w:ascii="Arial" w:cs="Arial" w:eastAsia="Arial" w:hAnsi="Arial"/>
                <w:sz w:val="18"/>
                <w:szCs w:val="18"/>
                <w:color w:val="auto"/>
              </w:rPr>
              <w:t>Tradename impairment</w:t>
            </w:r>
          </w:p>
        </w:tc>
        <w:tc>
          <w:tcPr>
            <w:tcW w:w="5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of reacquired franchise rights</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5060" w:type="dxa"/>
            <w:vAlign w:val="bottom"/>
            <w:gridSpan w:val="3"/>
          </w:tcPr>
          <w:p>
            <w:pPr>
              <w:ind w:left="420"/>
              <w:spacing w:after="0"/>
              <w:rPr>
                <w:sz w:val="20"/>
                <w:szCs w:val="20"/>
                <w:color w:val="auto"/>
              </w:rPr>
            </w:pPr>
            <w:r>
              <w:rPr>
                <w:rFonts w:ascii="Arial" w:cs="Arial" w:eastAsia="Arial" w:hAnsi="Arial"/>
                <w:sz w:val="18"/>
                <w:szCs w:val="18"/>
                <w:color w:val="auto"/>
              </w:rPr>
              <w:t>Total impairment and closure charges</w:t>
            </w: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Closure Charges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closure charges of $1.0 million for the three months ended June 30, 2021 related to the establishment of or revision</w:t>
      </w:r>
    </w:p>
    <w:p>
      <w:pPr>
        <w:spacing w:after="0" w:line="6" w:lineRule="exact"/>
        <w:rPr>
          <w:sz w:val="20"/>
          <w:szCs w:val="20"/>
          <w:color w:val="auto"/>
        </w:rPr>
      </w:pPr>
    </w:p>
    <w:p>
      <w:pPr>
        <w:ind w:right="840"/>
        <w:spacing w:after="0" w:line="248" w:lineRule="auto"/>
        <w:rPr>
          <w:sz w:val="20"/>
          <w:szCs w:val="20"/>
          <w:color w:val="auto"/>
        </w:rPr>
      </w:pPr>
      <w:r>
        <w:rPr>
          <w:rFonts w:ascii="Arial" w:cs="Arial" w:eastAsia="Arial" w:hAnsi="Arial"/>
          <w:sz w:val="18"/>
          <w:szCs w:val="18"/>
          <w:color w:val="auto"/>
        </w:rPr>
        <w:t>to closure reserves for approximately 30 IHOP restaurants. The closure charges of $2.9 million for the six months ended June 30, 2021 related to the establishment of or revision to closure reserves for approximately 50 IHOP restaurants.</w:t>
      </w:r>
    </w:p>
    <w:p>
      <w:pPr>
        <w:sectPr>
          <w:pgSz w:w="11900" w:h="16838" w:orient="portrait"/>
          <w:cols w:equalWidth="0" w:num="1">
            <w:col w:w="11340"/>
          </w:cols>
          <w:pgMar w:left="32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Closure and Impairment Charges (Continued)</w:t>
      </w: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Long-lived Tangible Asset Impairment</w:t>
      </w:r>
    </w:p>
    <w:p>
      <w:pPr>
        <w:spacing w:after="0" w:line="244" w:lineRule="exact"/>
        <w:rPr>
          <w:sz w:val="20"/>
          <w:szCs w:val="20"/>
          <w:color w:val="auto"/>
        </w:rPr>
      </w:pPr>
    </w:p>
    <w:p>
      <w:pPr>
        <w:ind w:right="20" w:firstLine="318"/>
        <w:spacing w:after="0" w:line="236" w:lineRule="auto"/>
        <w:rPr>
          <w:sz w:val="20"/>
          <w:szCs w:val="20"/>
          <w:color w:val="auto"/>
        </w:rPr>
      </w:pPr>
      <w:r>
        <w:rPr>
          <w:rFonts w:ascii="Arial" w:cs="Arial" w:eastAsia="Arial" w:hAnsi="Arial"/>
          <w:sz w:val="18"/>
          <w:szCs w:val="18"/>
          <w:color w:val="auto"/>
        </w:rPr>
        <w:t>The long-lived asset impairment of $1.6 million for the three months ended June 30, 2021 related to three IHOP franchisee-operated restaurants for which the carrying amount exceeded the undiscounted cash flows. The long-lived asset impairment of $1.7 million for the six months ended June 30, 2021 related to four IHOP franchisee-operated restaurants. The impairment recorded represented the difference between the carrying value and the estimated fair value. The impairments related to operating lease right-of-use assets that had been recorded in 2019 upon adoption of new lease accounting guidance codified in Accounting Standards Codification Topic 842.</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Goodwill and Intangible Assets</w:t>
      </w:r>
    </w:p>
    <w:p>
      <w:pPr>
        <w:spacing w:after="0" w:line="210" w:lineRule="exact"/>
        <w:rPr>
          <w:sz w:val="20"/>
          <w:szCs w:val="20"/>
          <w:color w:val="auto"/>
        </w:rPr>
      </w:pPr>
    </w:p>
    <w:p>
      <w:pPr>
        <w:ind w:right="460" w:firstLine="318"/>
        <w:spacing w:after="0" w:line="229" w:lineRule="auto"/>
        <w:rPr>
          <w:sz w:val="20"/>
          <w:szCs w:val="20"/>
          <w:color w:val="auto"/>
        </w:rPr>
      </w:pPr>
      <w:r>
        <w:rPr>
          <w:rFonts w:ascii="Arial" w:cs="Arial" w:eastAsia="Arial" w:hAnsi="Arial"/>
          <w:sz w:val="18"/>
          <w:szCs w:val="18"/>
          <w:color w:val="auto"/>
        </w:rPr>
        <w:t>For the three and six months ended June 30, 2021, the Company determined that there were no indicators for impairment to goodwill and intangible assets.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in 2020</w:t>
      </w:r>
    </w:p>
    <w:p>
      <w:pPr>
        <w:spacing w:after="0" w:line="36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Most of the Company's goodwill and intangible assets arose from the November 29, 2007 acquisition of Applebee's. 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11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the second quarter of 2020, the Company noted that its common stock had recovered less of its early March 2020 (pre-pandemic) market value than the overall U.S. stock market had recovered. The Company also was able to assess several additional months of data as to the impact of the COVID-19 pandemic on its operations and, in turn, assess the impact that might have on the risk premium incorporated into its discount rate. Based on these developments, the Company determined that an interim quantitative test of goodwill and indefinite-lived intangible assets for impairment should be performed as of May 24, 2020.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133"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113"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In performing the impairment review of the tradename, the Company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109"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$92.2 million to the goodwill of the Applebee's franchise unit and an impairment of $11.0 million to Applebee's tradename during the three months ended June 30, 2020. The majority of the impairment was due to an increase in the assessed risk premium incorporated into the discount rate assumption.</w:t>
      </w:r>
    </w:p>
    <w:p>
      <w:pPr>
        <w:spacing w:after="0" w:line="122"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In addition, the Company reviewed its reacquired franchising rights and determined that the carrying amount exceeded the estimated fair value by $3.3 million and has recorded an impairment to that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57"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values of the Company's 2019 Class A-2 Notes at June 30, 2021 and December 31, 2020 were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auto"/>
            </w:tcBorders>
          </w:tcPr>
          <w:p>
            <w:pPr>
              <w:spacing w:after="0"/>
              <w:rPr>
                <w:sz w:val="16"/>
                <w:szCs w:val="16"/>
                <w:color w:val="auto"/>
              </w:rPr>
            </w:pPr>
          </w:p>
        </w:tc>
      </w:tr>
      <w:tr>
        <w:trPr>
          <w:trHeight w:val="183"/>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4"/>
          </w:tcPr>
          <w:p>
            <w:pPr>
              <w:jc w:val="right"/>
              <w:ind w:right="117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r>
      <w:tr>
        <w:trPr>
          <w:trHeight w:val="227"/>
        </w:trPr>
        <w:tc>
          <w:tcPr>
            <w:tcW w:w="7760" w:type="dxa"/>
            <w:vAlign w:val="bottom"/>
          </w:tcPr>
          <w:p>
            <w:pPr>
              <w:spacing w:after="0"/>
              <w:rPr>
                <w:sz w:val="20"/>
                <w:szCs w:val="20"/>
                <w:color w:val="auto"/>
              </w:rPr>
            </w:pPr>
            <w:r>
              <w:rPr>
                <w:rFonts w:ascii="Arial" w:cs="Arial" w:eastAsia="Arial" w:hAnsi="Arial"/>
                <w:sz w:val="18"/>
                <w:szCs w:val="18"/>
                <w:color w:val="auto"/>
              </w:rPr>
              <w:t>Face Value of Class A-2 Notes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8"/>
                <w:szCs w:val="18"/>
                <w:color w:val="auto"/>
              </w:rPr>
              <w:t>Fair Value of Class A-2 Notes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1,354.9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 Claims and Disputes</w:t>
      </w:r>
    </w:p>
    <w:p>
      <w:pPr>
        <w:spacing w:after="0" w:line="177" w:lineRule="exact"/>
        <w:rPr>
          <w:sz w:val="20"/>
          <w:szCs w:val="20"/>
          <w:color w:val="auto"/>
        </w:rPr>
      </w:pPr>
    </w:p>
    <w:p>
      <w:pPr>
        <w:ind w:right="140" w:firstLine="318"/>
        <w:spacing w:after="0" w:line="288" w:lineRule="auto"/>
        <w:rPr>
          <w:sz w:val="20"/>
          <w:szCs w:val="20"/>
          <w:color w:val="auto"/>
        </w:rPr>
      </w:pPr>
      <w:r>
        <w:rPr>
          <w:rFonts w:ascii="Arial" w:cs="Arial" w:eastAsia="Arial" w:hAnsi="Arial"/>
          <w:sz w:val="15"/>
          <w:szCs w:val="15"/>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7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connection with the sale of Applebee’s restaurants to franchisees, the Company has, in certain cases, guaranteed or has potential continuing liability for lease payments totaling $234.8 million as of June 30, 2021. This amount represents the maximum potential liability for future payments under these leases. These leases have been assigned to the buyers and expire at the end of the respective lease terms, which range from 2021 through 2048. Excluding unexercised option periods, the Company's potential liability for future payments under these leases is $40.1 million. In the event of default, the indemnity and default clauses in the sale or assignment agreements govern the Company's ability to pursue and recover damages incurred.</w:t>
      </w:r>
    </w:p>
    <w:p>
      <w:pPr>
        <w:spacing w:after="0" w:line="171" w:lineRule="exact"/>
        <w:rPr>
          <w:sz w:val="20"/>
          <w:szCs w:val="20"/>
          <w:color w:val="auto"/>
        </w:rPr>
      </w:pPr>
    </w:p>
    <w:p>
      <w:pPr>
        <w:ind w:left="360" w:right="7600" w:hanging="354"/>
        <w:spacing w:after="0" w:line="410" w:lineRule="auto"/>
        <w:tabs>
          <w:tab w:leader="none" w:pos="2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i w:val="1"/>
          <w:iCs w:val="1"/>
          <w:color w:val="auto"/>
        </w:rPr>
        <w:t>Cash and Cash Equivalents</w:t>
      </w:r>
    </w:p>
    <w:p>
      <w:pPr>
        <w:spacing w:after="0" w:line="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Cash Equivalents and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cash and cash equivalents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111760</wp:posOffset>
            </wp:positionV>
            <wp:extent cx="2338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346"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June 30,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December 31, 2020</w:t>
            </w:r>
          </w:p>
        </w:tc>
      </w:tr>
      <w:tr>
        <w:trPr>
          <w:trHeight w:val="183"/>
        </w:trPr>
        <w:tc>
          <w:tcPr>
            <w:tcW w:w="6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6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w w:val="91"/>
              </w:rPr>
              <w:t>(In millions)</w:t>
            </w:r>
          </w:p>
        </w:tc>
      </w:tr>
      <w:tr>
        <w:trPr>
          <w:trHeight w:val="226"/>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5"/>
        </w:trPr>
        <w:tc>
          <w:tcPr>
            <w:tcW w:w="6900" w:type="dxa"/>
            <w:vAlign w:val="bottom"/>
          </w:tcPr>
          <w:p>
            <w:pPr>
              <w:ind w:left="340"/>
              <w:spacing w:after="0"/>
              <w:rPr>
                <w:sz w:val="20"/>
                <w:szCs w:val="20"/>
                <w:color w:val="auto"/>
              </w:rPr>
            </w:pPr>
            <w:r>
              <w:rPr>
                <w:rFonts w:ascii="Arial" w:cs="Arial" w:eastAsia="Arial" w:hAnsi="Arial"/>
                <w:sz w:val="18"/>
                <w:szCs w:val="18"/>
                <w:color w:val="auto"/>
              </w:rPr>
              <w:t>IHOP advertising funds and gift card programs</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5"/>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depository accounts</w:t>
            </w: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19"/>
        </w:trPr>
        <w:tc>
          <w:tcPr>
            <w:tcW w:w="690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259.5</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decrease in money market funds between December 31, 2020 and June 30, 2021 was due to the repayment of $220.0 million previously drawn on the Company's Credit Facility.</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 Restricted Cash</w:t>
      </w:r>
    </w:p>
    <w:p>
      <w:pPr>
        <w:spacing w:after="0" w:line="151"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102235</wp:posOffset>
            </wp:positionV>
            <wp:extent cx="2322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6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4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Securitized debt reserves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5"/>
        </w:trPr>
        <w:tc>
          <w:tcPr>
            <w:tcW w:w="6940" w:type="dxa"/>
            <w:vAlign w:val="bottom"/>
          </w:tcPr>
          <w:p>
            <w:pPr>
              <w:ind w:left="340"/>
              <w:spacing w:after="0"/>
              <w:rPr>
                <w:sz w:val="20"/>
                <w:szCs w:val="20"/>
                <w:color w:val="auto"/>
              </w:rPr>
            </w:pPr>
            <w:r>
              <w:rPr>
                <w:rFonts w:ascii="Arial" w:cs="Arial" w:eastAsia="Arial" w:hAnsi="Arial"/>
                <w:sz w:val="18"/>
                <w:szCs w:val="18"/>
                <w:color w:val="auto"/>
              </w:rPr>
              <w:t>Applebee's advertising funds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6940" w:type="dxa"/>
            <w:vAlign w:val="bottom"/>
          </w:tcPr>
          <w:p>
            <w:pPr>
              <w:ind w:left="340"/>
              <w:spacing w:after="0"/>
              <w:rPr>
                <w:sz w:val="20"/>
                <w:szCs w:val="20"/>
                <w:color w:val="auto"/>
              </w:rPr>
            </w:pPr>
            <w:r>
              <w:rPr>
                <w:rFonts w:ascii="Arial" w:cs="Arial" w:eastAsia="Arial" w:hAnsi="Arial"/>
                <w:sz w:val="18"/>
                <w:szCs w:val="18"/>
                <w:color w:val="auto"/>
              </w:rPr>
              <w:t>Total current restricted cash</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Non-current Restricted Cash</w:t>
      </w:r>
    </w:p>
    <w:p>
      <w:pPr>
        <w:spacing w:after="0" w:line="151"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Non-current restricted cash was $16.4 million and $32.8 million at June 30, 2021 and December 31, 2020, respectively, and represents interest reserves required to be set aside for the duration of the Company's securitized debt. The minimum reserve is approximately one quarter's interest payment on the Company's securitized debt, currently approximately $16 million. The Company voluntarily increased the amount held in the reserve account to twice the minimum amount during the year ended December 31, 2020 and, in turn, reduced the reserve to the minimum amount during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2020. Except where the context indicates otherwise, the words “we,” “us,” “our,” “Dine Brands Global” and the “Company” refer to Dine Brands Global, Inc., together with its subsidiaries that are consolidated in accordance with United States generally accepted accounting principles (“U.S. GAAP”). The financial tables appearing in MD&amp;A present amounts in millions of dollars that are rounded from our consolidated financial statements presented in thousands of dollars. As a result, the tables may not foot or crossfoot due to rounding.</w:t>
      </w:r>
    </w:p>
    <w:p>
      <w:pPr>
        <w:spacing w:after="0" w:line="149" w:lineRule="exact"/>
        <w:rPr>
          <w:sz w:val="20"/>
          <w:szCs w:val="20"/>
          <w:color w:val="auto"/>
        </w:rPr>
      </w:pPr>
    </w:p>
    <w:p>
      <w:pPr>
        <w:ind w:right="100" w:firstLine="318"/>
        <w:spacing w:after="0" w:line="245" w:lineRule="auto"/>
        <w:rPr>
          <w:sz w:val="20"/>
          <w:szCs w:val="20"/>
          <w:color w:val="auto"/>
        </w:rPr>
      </w:pPr>
      <w:r>
        <w:rPr>
          <w:rFonts w:ascii="Arial" w:cs="Arial" w:eastAsia="Arial" w:hAnsi="Arial"/>
          <w:sz w:val="16"/>
          <w:szCs w:val="16"/>
          <w:color w:val="auto"/>
        </w:rPr>
        <w:t>Through various subsidiaries, we own, franchise and operate the Applebee's Neighborhood Grill &amp; Bar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(“IHOP”) concept in the family dining category of the restaurant industry. References herein to Applebee's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IHOP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restaurants are to these two restaurant concepts, whether operated by franchisees, area licensees and their sub-licensees (collectively, “area licensees”) or by us. With 3,443 restaurants combined, the substantial majority of which are franchised, we believe we are one of the largest full-service restaurant companies in the world.</w:t>
      </w:r>
    </w:p>
    <w:p>
      <w:pPr>
        <w:spacing w:after="0" w:line="226"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Impacting Comparability of Financial Information</w:t>
      </w:r>
    </w:p>
    <w:p>
      <w:pPr>
        <w:spacing w:after="0" w:line="250"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Comparisons of financial results for the three and six months ended June 30, 2021 with those for the three and six months ended June 30, 2020 were significantly impacted by the degree of restrictions in place on restaurant operations during the respective periods. In March 2020, the World Health Organization (“WHO”) declared a global pandemic related to the outbreak of a novel strain of coronavirus, designated “COVID-19.” Initially,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Generally speaking, these restrictions largely limited our restaurants to off-premise sales (take-out and delivery) approximately from the second week of March 2020 until May 2020. In May 2020, governmental entities slowly began to relax restrictions as infection rates from the initial outbreak declined, but restaurants allowed to re-open were largely limited to occupancy of 50% or less of capacity as of June 30, 2020.</w:t>
      </w:r>
    </w:p>
    <w:p>
      <w:pPr>
        <w:spacing w:after="0" w:line="181"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operating status of our restaurants was fluid during the three and six months ended June 30, 2021 and subject to change. While many federal, state, local and international governments maintained the restrictive protocols noted above, the degree and duration of restrictions varied by individual geographic area. Restrictions on restaurant operations were increased or decreased in response to changes in the number of COVID-19 infections, the availability and acceptance of vaccines and an increase in vaccination rates within the respective jurisdictions. While the significant majority of our restaurants were open for in-restaurant dining during the three and six months ended June 30, 2021, some federal, state, local and international governments continue to maintain protocols that limit restaurant dine-in occupancy levels to less than 100% of capacity.</w:t>
      </w:r>
    </w:p>
    <w:p>
      <w:pPr>
        <w:spacing w:after="0" w:line="206"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As of June 30, 2021, 98% of domestic Applebee's and IHOP restaurants were operating at 100% capacity and 99% of domestic Applebee's and IHOP restaurants were open. This was an improvement from March 31, 2021, as which time only one-third of domestic Applebee's restaurants and less than 20% of domestic IHOP restaurants were operating at greater than 50%</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capacity. However, nearly half of IHOP restaurants that operated 24 hours a day for all or parts of a week prior to the pandemic are currently closed during overnight hours. Internationally, restrictions vary by country, with restaurants in Mexico and Puerto Rico primarily operating at greater than 50% capacity, with other countries maintaining a higher level of restriction. Temporary closures of occur for a variety of reasons, and the temporary closures reflected below were not necessarily related to the impact of the COVID-19 pandemic or related restrictions.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252525"/>
        </w:rPr>
        <w:t>The operating status of all restaurants as of June 30, 2021 and March 31, 2021 was as follows:</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88"/>
              </w:rPr>
              <w:t>Status as of June 30, 2021</w:t>
            </w:r>
          </w:p>
        </w:tc>
        <w:tc>
          <w:tcPr>
            <w:tcW w:w="1140" w:type="dxa"/>
            <w:vAlign w:val="bottom"/>
            <w:tcBorders>
              <w:bottom w:val="single" w:sz="8" w:color="auto"/>
            </w:tcBorders>
          </w:tcPr>
          <w:p>
            <w:pPr>
              <w:spacing w:after="0"/>
              <w:rPr>
                <w:sz w:val="19"/>
                <w:szCs w:val="19"/>
                <w:color w:val="auto"/>
              </w:rPr>
            </w:pPr>
          </w:p>
        </w:tc>
      </w:tr>
      <w:tr>
        <w:trPr>
          <w:trHeight w:val="219"/>
        </w:trPr>
        <w:tc>
          <w:tcPr>
            <w:tcW w:w="6040" w:type="dxa"/>
            <w:vAlign w:val="bottom"/>
          </w:tcPr>
          <w:p>
            <w:pPr>
              <w:spacing w:after="0"/>
              <w:rPr>
                <w:sz w:val="19"/>
                <w:szCs w:val="19"/>
                <w:color w:val="auto"/>
              </w:rPr>
            </w:pPr>
          </w:p>
        </w:tc>
        <w:tc>
          <w:tcPr>
            <w:tcW w:w="3520" w:type="dxa"/>
            <w:vAlign w:val="bottom"/>
            <w:gridSpan w:val="5"/>
          </w:tcPr>
          <w:p>
            <w:pPr>
              <w:ind w:left="1340"/>
              <w:spacing w:after="0"/>
              <w:rPr>
                <w:sz w:val="20"/>
                <w:szCs w:val="20"/>
                <w:color w:val="auto"/>
              </w:rPr>
            </w:pPr>
            <w:r>
              <w:rPr>
                <w:rFonts w:ascii="Arial" w:cs="Arial" w:eastAsia="Arial" w:hAnsi="Arial"/>
                <w:sz w:val="18"/>
                <w:szCs w:val="18"/>
                <w:b w:val="1"/>
                <w:bCs w:val="1"/>
                <w:color w:val="auto"/>
              </w:rPr>
              <w:t>Domestic</w:t>
            </w:r>
          </w:p>
        </w:tc>
        <w:tc>
          <w:tcPr>
            <w:tcW w:w="1140" w:type="dxa"/>
            <w:vAlign w:val="bottom"/>
          </w:tcPr>
          <w:p>
            <w:pPr>
              <w:spacing w:after="0"/>
              <w:rPr>
                <w:sz w:val="19"/>
                <w:szCs w:val="19"/>
                <w:color w:val="auto"/>
              </w:rPr>
            </w:pPr>
          </w:p>
        </w:tc>
      </w:tr>
      <w:tr>
        <w:trPr>
          <w:trHeight w:val="218"/>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Dining room capacity %/other status</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Applebee's</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IHOP</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International</w:t>
            </w:r>
          </w:p>
        </w:tc>
      </w:tr>
      <w:tr>
        <w:trPr>
          <w:trHeight w:val="218"/>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capacity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&gt; 50% capacity</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26%-50% capacity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Up to 25% capacity</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Off-premise/outdoors only and other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Restaurants temporarily closed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Status as of March 31, 2021</w:t>
            </w:r>
          </w:p>
        </w:tc>
        <w:tc>
          <w:tcPr>
            <w:tcW w:w="1100" w:type="dxa"/>
            <w:vAlign w:val="bottom"/>
            <w:tcBorders>
              <w:bottom w:val="single" w:sz="8" w:color="auto"/>
            </w:tcBorders>
          </w:tcPr>
          <w:p>
            <w:pPr>
              <w:spacing w:after="0"/>
              <w:rPr>
                <w:sz w:val="19"/>
                <w:szCs w:val="19"/>
                <w:color w:val="auto"/>
              </w:rPr>
            </w:pPr>
          </w:p>
        </w:tc>
      </w:tr>
      <w:tr>
        <w:trPr>
          <w:trHeight w:val="219"/>
        </w:trPr>
        <w:tc>
          <w:tcPr>
            <w:tcW w:w="6040" w:type="dxa"/>
            <w:vAlign w:val="bottom"/>
          </w:tcPr>
          <w:p>
            <w:pPr>
              <w:spacing w:after="0"/>
              <w:rPr>
                <w:sz w:val="19"/>
                <w:szCs w:val="19"/>
                <w:color w:val="auto"/>
              </w:rPr>
            </w:pPr>
          </w:p>
        </w:tc>
        <w:tc>
          <w:tcPr>
            <w:tcW w:w="3560" w:type="dxa"/>
            <w:vAlign w:val="bottom"/>
            <w:gridSpan w:val="6"/>
          </w:tcPr>
          <w:p>
            <w:pPr>
              <w:ind w:left="1340"/>
              <w:spacing w:after="0"/>
              <w:rPr>
                <w:sz w:val="20"/>
                <w:szCs w:val="20"/>
                <w:color w:val="auto"/>
              </w:rPr>
            </w:pPr>
            <w:r>
              <w:rPr>
                <w:rFonts w:ascii="Arial" w:cs="Arial" w:eastAsia="Arial" w:hAnsi="Arial"/>
                <w:sz w:val="18"/>
                <w:szCs w:val="18"/>
                <w:b w:val="1"/>
                <w:bCs w:val="1"/>
                <w:color w:val="auto"/>
              </w:rPr>
              <w:t>Domestic</w:t>
            </w:r>
          </w:p>
        </w:tc>
        <w:tc>
          <w:tcPr>
            <w:tcW w:w="1100" w:type="dxa"/>
            <w:vAlign w:val="bottom"/>
          </w:tcPr>
          <w:p>
            <w:pPr>
              <w:spacing w:after="0"/>
              <w:rPr>
                <w:sz w:val="19"/>
                <w:szCs w:val="19"/>
                <w:color w:val="auto"/>
              </w:rPr>
            </w:pPr>
          </w:p>
        </w:tc>
      </w:tr>
      <w:tr>
        <w:trPr>
          <w:trHeight w:val="218"/>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Dining room capacity %/other status</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Applebee's</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IHOP</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International</w:t>
            </w:r>
          </w:p>
        </w:tc>
      </w:tr>
      <w:tr>
        <w:trPr>
          <w:trHeight w:val="218"/>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capacity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&gt; 50% capacity</w:t>
            </w: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26%-50% capacity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Up to 25% capacity</w:t>
            </w:r>
          </w:p>
        </w:tc>
        <w:tc>
          <w:tcPr>
            <w:tcW w:w="1440" w:type="dxa"/>
            <w:vAlign w:val="bottom"/>
          </w:tcPr>
          <w:p>
            <w:pPr>
              <w:jc w:val="right"/>
              <w:spacing w:after="0"/>
              <w:rPr>
                <w:sz w:val="20"/>
                <w:szCs w:val="20"/>
                <w:color w:val="auto"/>
              </w:rPr>
            </w:pPr>
            <w:r>
              <w:rPr>
                <w:rFonts w:ascii="Arial" w:cs="Arial" w:eastAsia="Arial" w:hAnsi="Arial"/>
                <w:sz w:val="18"/>
                <w:szCs w:val="18"/>
                <w:color w:val="auto"/>
              </w:rPr>
              <w:t>106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Off-premise/outdoors only and 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Restaurants temporarily closed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80" w:firstLine="318"/>
        <w:spacing w:after="0" w:line="330" w:lineRule="auto"/>
        <w:rPr>
          <w:sz w:val="20"/>
          <w:szCs w:val="20"/>
          <w:color w:val="auto"/>
        </w:rPr>
      </w:pPr>
      <w:r>
        <w:rPr>
          <w:rFonts w:ascii="Arial" w:cs="Arial" w:eastAsia="Arial" w:hAnsi="Arial"/>
          <w:sz w:val="15"/>
          <w:szCs w:val="15"/>
          <w:color w:val="auto"/>
        </w:rPr>
        <w:t>Note that at the onset of the pandemic, information as to restaurant capacity was not available in the same detail as is available currently and therefore specific dining room capacity details are unavailable for the comparative 2020 periods. Information as to operating status of all our restaurants combined is provided for each month during the three months ended June 30, 2020, given the significant change in opening status over the course of that period.</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720" w:type="dxa"/>
            <w:vAlign w:val="bottom"/>
          </w:tcPr>
          <w:p>
            <w:pPr>
              <w:ind w:left="340"/>
              <w:spacing w:after="0"/>
              <w:rPr>
                <w:sz w:val="20"/>
                <w:szCs w:val="20"/>
                <w:color w:val="auto"/>
              </w:rPr>
            </w:pPr>
            <w:r>
              <w:rPr>
                <w:rFonts w:ascii="Arial" w:cs="Arial" w:eastAsia="Arial" w:hAnsi="Arial"/>
                <w:sz w:val="18"/>
                <w:szCs w:val="18"/>
                <w:b w:val="1"/>
                <w:bCs w:val="1"/>
                <w:color w:val="auto"/>
              </w:rPr>
              <w:t>Restaurant Status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Status as of 2020 Fiscal Month Ended</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9"/>
        </w:trPr>
        <w:tc>
          <w:tcPr>
            <w:tcW w:w="572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b w:val="1"/>
                <w:bCs w:val="1"/>
                <w:color w:val="auto"/>
              </w:rPr>
              <w:t>Mar</w:t>
            </w:r>
          </w:p>
        </w:tc>
        <w:tc>
          <w:tcPr>
            <w:tcW w:w="1300" w:type="dxa"/>
            <w:vAlign w:val="bottom"/>
            <w:gridSpan w:val="2"/>
          </w:tcPr>
          <w:p>
            <w:pPr>
              <w:ind w:left="600"/>
              <w:spacing w:after="0"/>
              <w:rPr>
                <w:sz w:val="20"/>
                <w:szCs w:val="20"/>
                <w:color w:val="auto"/>
              </w:rPr>
            </w:pPr>
            <w:r>
              <w:rPr>
                <w:rFonts w:ascii="Arial" w:cs="Arial" w:eastAsia="Arial" w:hAnsi="Arial"/>
                <w:sz w:val="18"/>
                <w:szCs w:val="18"/>
                <w:b w:val="1"/>
                <w:bCs w:val="1"/>
                <w:color w:val="auto"/>
              </w:rPr>
              <w:t>Apr</w:t>
            </w:r>
          </w:p>
        </w:tc>
        <w:tc>
          <w:tcPr>
            <w:tcW w:w="1740" w:type="dxa"/>
            <w:vAlign w:val="bottom"/>
            <w:gridSpan w:val="3"/>
          </w:tcPr>
          <w:p>
            <w:pPr>
              <w:ind w:left="580"/>
              <w:spacing w:after="0"/>
              <w:rPr>
                <w:sz w:val="20"/>
                <w:szCs w:val="20"/>
                <w:color w:val="auto"/>
              </w:rPr>
            </w:pPr>
            <w:r>
              <w:rPr>
                <w:rFonts w:ascii="Arial" w:cs="Arial" w:eastAsia="Arial" w:hAnsi="Arial"/>
                <w:sz w:val="18"/>
                <w:szCs w:val="18"/>
                <w:b w:val="1"/>
                <w:bCs w:val="1"/>
                <w:color w:val="auto"/>
              </w:rPr>
              <w:t>May</w:t>
            </w: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w:t>
            </w:r>
          </w:p>
        </w:tc>
      </w:tr>
      <w:tr>
        <w:trPr>
          <w:trHeight w:val="218"/>
        </w:trPr>
        <w:tc>
          <w:tcPr>
            <w:tcW w:w="5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Dining rooms open*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3,138</w:t>
            </w:r>
          </w:p>
        </w:tc>
        <w:tc>
          <w:tcPr>
            <w:tcW w:w="100" w:type="dxa"/>
            <w:vAlign w:val="bottom"/>
            <w:tcBorders>
              <w:top w:val="single" w:sz="8" w:color="CCEEFF"/>
            </w:tcBorders>
            <w:shd w:val="clear" w:color="auto" w:fill="CCEEFF"/>
          </w:tcPr>
          <w:p>
            <w:pPr>
              <w:spacing w:after="0"/>
              <w:rPr>
                <w:sz w:val="19"/>
                <w:szCs w:val="19"/>
                <w:color w:val="auto"/>
              </w:rPr>
            </w:pPr>
          </w:p>
        </w:tc>
      </w:tr>
      <w:tr>
        <w:trPr>
          <w:trHeight w:val="225"/>
        </w:trPr>
        <w:tc>
          <w:tcPr>
            <w:tcW w:w="5720" w:type="dxa"/>
            <w:vAlign w:val="bottom"/>
          </w:tcPr>
          <w:p>
            <w:pPr>
              <w:ind w:left="340"/>
              <w:spacing w:after="0"/>
              <w:rPr>
                <w:sz w:val="20"/>
                <w:szCs w:val="20"/>
                <w:color w:val="auto"/>
              </w:rPr>
            </w:pPr>
            <w:r>
              <w:rPr>
                <w:rFonts w:ascii="Arial" w:cs="Arial" w:eastAsia="Arial" w:hAnsi="Arial"/>
                <w:sz w:val="18"/>
                <w:szCs w:val="18"/>
                <w:color w:val="auto"/>
              </w:rPr>
              <w:t>Limited to off-premise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25"/>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Temporarily closed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r>
      <w:tr>
        <w:trPr>
          <w:trHeight w:val="219"/>
        </w:trPr>
        <w:tc>
          <w:tcPr>
            <w:tcW w:w="5720" w:type="dxa"/>
            <w:vAlign w:val="bottom"/>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In most instances limited to 50% capacity or less, and/or reduced operating hours.</w:t>
      </w:r>
    </w:p>
    <w:p>
      <w:pPr>
        <w:spacing w:after="0" w:line="243" w:lineRule="exact"/>
        <w:rPr>
          <w:sz w:val="20"/>
          <w:szCs w:val="20"/>
          <w:color w:val="auto"/>
        </w:rPr>
      </w:pPr>
    </w:p>
    <w:p>
      <w:pPr>
        <w:ind w:right="160" w:firstLine="318"/>
        <w:spacing w:after="0" w:line="250" w:lineRule="auto"/>
        <w:rPr>
          <w:sz w:val="20"/>
          <w:szCs w:val="20"/>
          <w:color w:val="auto"/>
        </w:rPr>
      </w:pPr>
      <w:r>
        <w:rPr>
          <w:rFonts w:ascii="Arial" w:cs="Arial" w:eastAsia="Arial" w:hAnsi="Arial"/>
          <w:sz w:val="17"/>
          <w:szCs w:val="17"/>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how long the COVID-19 pandemic and its impact on our operations will last, including recurrences of the virus and the emergence of new variants of the virus, the acceptance of vaccines worldwide and the availability of vaccines internationally, restrictions on in-restaurant dining that may be imposed or re-imposed, the timing and extent of customer re-engagement with our brands and, in general, what the short- and long-term impact on consumer discretionary spending the COVID-19 pandemic might have on our operations and the restaurant industry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Update on Key COVID-19 Pandemic Actions</w:t>
      </w:r>
    </w:p>
    <w:p>
      <w:pPr>
        <w:spacing w:after="0" w:line="236"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Updates regarding several actions taken over the past 15 months to mitigate the effects of the COVID-19 pandemic on the Company, its operations and its franchisees, are discussed below:</w:t>
      </w:r>
    </w:p>
    <w:p>
      <w:pPr>
        <w:spacing w:after="0" w:line="207" w:lineRule="exact"/>
        <w:rPr>
          <w:sz w:val="20"/>
          <w:szCs w:val="20"/>
          <w:color w:val="auto"/>
        </w:rPr>
      </w:pPr>
    </w:p>
    <w:p>
      <w:pPr>
        <w:ind w:left="560" w:right="140" w:hanging="316"/>
        <w:spacing w:after="0" w:line="298" w:lineRule="auto"/>
        <w:tabs>
          <w:tab w:leader="none" w:pos="5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In March 2021, we repaid $220 million of borrowings outstanding under our revolving credit facility (“Credit Facility”) that initially had been drawn in March 2020. At the time of the initial draw, we had no immediate need for additional liquidity, but in light of then-current market conditions and significant uncertainty related to the COVID-19 pandemic, we drew on the revolving facility to maximize our financial flexibility. As of June 30, 2021, our borrowing capacity under the Credit Facility was $221.7 million.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xml:space="preserve"> below for more information.</w:t>
      </w:r>
    </w:p>
    <w:p>
      <w:pPr>
        <w:spacing w:after="0" w:line="2" w:lineRule="exact"/>
        <w:rPr>
          <w:rFonts w:ascii="Arial" w:cs="Arial" w:eastAsia="Arial" w:hAnsi="Arial"/>
          <w:sz w:val="15"/>
          <w:szCs w:val="15"/>
          <w:color w:val="auto"/>
        </w:rPr>
      </w:pPr>
    </w:p>
    <w:p>
      <w:pPr>
        <w:ind w:left="560" w:right="40" w:hanging="316"/>
        <w:spacing w:after="0" w:line="260" w:lineRule="auto"/>
        <w:tabs>
          <w:tab w:leader="none" w:pos="5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offered Applebee's franchisees the opportunity to defer payment of their royalty, advertising and other fees, primarily amounts due for the months of March and April 2020. A total of 30 franchisees representing 94% of Applebee’s restaurants deferred payments totaling $33.4 million. Repayment of deferred amounts, scheduled over up to nine months, began in the third quarter of 2020. As of June 30, 2021, the outstanding balance of these deferrals was $0.7 million, with 29 of the 30 franchisees having repaid their deferred balances in full. Approximately $3.2 million and $12.6 million was collected during the three and six months ended June 30, 2021, respectively. Collection of these balances had a favorable impact on cash provided by operating activities during the six months ended June 30, 2021.</w:t>
      </w:r>
    </w:p>
    <w:p>
      <w:pPr>
        <w:spacing w:after="0" w:line="1" w:lineRule="exact"/>
        <w:rPr>
          <w:rFonts w:ascii="Arial" w:cs="Arial" w:eastAsia="Arial" w:hAnsi="Arial"/>
          <w:sz w:val="17"/>
          <w:szCs w:val="17"/>
          <w:color w:val="auto"/>
        </w:rPr>
      </w:pPr>
    </w:p>
    <w:p>
      <w:pPr>
        <w:ind w:left="560" w:hanging="316"/>
        <w:spacing w:after="0" w:line="294" w:lineRule="auto"/>
        <w:tabs>
          <w:tab w:leader="none" w:pos="5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offered IHOP franchisees the opportunity to defer their royalty, advertising, equipment rent and sublease rent payments, primarily amounts due for the months of March and April 2020. Initially, 193 franchisees representing 58% of IHOP restaurants deferred payments totaling $24.1 million. Including subsequent deferrals made on a case-by case basis, the deferral program totaled $28.6 million. Repayment of deferred amounts, scheduled over up to 36 weeks, began in the third quarter of 2020. In certain instances, repayments were temporarily paused for up to 60 days. As of June 30, 2021, the outstanding balance of these deferrals was $3.7 million, with approximately $6.0 million and $12.8 million collected during the three months and six months ended June 30, 2021, respectively. A total of 106 franchisees have repaid their deferred balances in full. Collection of these balances had a favorable impact on cash provided by operating activities during the six months ended June 30, 2021.</w:t>
      </w:r>
    </w:p>
    <w:p>
      <w:pPr>
        <w:spacing w:after="0" w:line="4" w:lineRule="exact"/>
        <w:rPr>
          <w:rFonts w:ascii="Arial" w:cs="Arial" w:eastAsia="Arial" w:hAnsi="Arial"/>
          <w:sz w:val="15"/>
          <w:szCs w:val="15"/>
          <w:color w:val="auto"/>
        </w:rPr>
      </w:pPr>
    </w:p>
    <w:p>
      <w:pPr>
        <w:ind w:left="560" w:right="200" w:hanging="316"/>
        <w:spacing w:after="0"/>
        <w:tabs>
          <w:tab w:leader="none" w:pos="5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received rent deferrals and abatements on properties we lease of approximately $11 million during fiscal 2020, primarily related to rent deferrals for properties on which IHOP restaurants are located. As of June 30, 2021, the outstanding balance of those deferrals was $0.8 million, with approximately $1.6 million and $4.1 million paid during the three and six months ended June 30, 2021, respectively. Payment of these deferrals reduced our cash provided by operating activities during the six months ended June 30, 2021.</w:t>
      </w:r>
    </w:p>
    <w:p>
      <w:pPr>
        <w:spacing w:after="0" w:line="2" w:lineRule="exact"/>
        <w:rPr>
          <w:rFonts w:ascii="Arial" w:cs="Arial" w:eastAsia="Arial" w:hAnsi="Arial"/>
          <w:sz w:val="17"/>
          <w:szCs w:val="17"/>
          <w:color w:val="auto"/>
        </w:rPr>
      </w:pPr>
    </w:p>
    <w:p>
      <w:pPr>
        <w:ind w:left="560" w:right="80" w:hanging="316"/>
        <w:spacing w:after="0" w:line="270" w:lineRule="auto"/>
        <w:tabs>
          <w:tab w:leader="none" w:pos="556"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suspended our repurchasing of common stock and the declaration of dividends on our common stock after the first quarter of 2020. We evaluate repurchases of common stock and dividend payments on common stock within the context of our overall capital allocation strategy with our Board of Directors on an ongoing basis, giving consideration to our current and forecast earnings, financial condition, cash requirements and other factors. We will continue to evaluate our capital allocation strategy in consideration of, among other things, resurgence of COVID-19 infections due to variants of the virus and changes in the percentage of the population that is fully vaccinated, as well as overall industry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6"/>
                <w:szCs w:val="16"/>
                <w:color w:val="auto"/>
              </w:rPr>
            </w:pPr>
          </w:p>
        </w:tc>
        <w:tc>
          <w:tcPr>
            <w:tcW w:w="116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Favorable</w:t>
            </w:r>
          </w:p>
        </w:tc>
      </w:tr>
      <w:tr>
        <w:trPr>
          <w:trHeight w:val="53"/>
        </w:trPr>
        <w:tc>
          <w:tcPr>
            <w:tcW w:w="28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tcPr>
          <w:p>
            <w:pPr>
              <w:jc w:val="center"/>
              <w:ind w:right="280"/>
              <w:spacing w:after="0" w:line="53" w:lineRule="exact"/>
              <w:rPr>
                <w:sz w:val="20"/>
                <w:szCs w:val="20"/>
                <w:color w:val="auto"/>
              </w:rPr>
            </w:pPr>
            <w:r>
              <w:rPr>
                <w:rFonts w:ascii="Arial" w:cs="Arial" w:eastAsia="Arial" w:hAnsi="Arial"/>
                <w:sz w:val="6"/>
                <w:szCs w:val="6"/>
                <w:b w:val="1"/>
                <w:bCs w:val="1"/>
                <w:color w:val="auto"/>
              </w:rPr>
              <w:t>(Unfavorable)</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jc w:val="center"/>
              <w:ind w:right="103"/>
              <w:spacing w:after="0" w:line="53" w:lineRule="exact"/>
              <w:rPr>
                <w:sz w:val="20"/>
                <w:szCs w:val="20"/>
                <w:color w:val="auto"/>
              </w:rPr>
            </w:pPr>
            <w:r>
              <w:rPr>
                <w:rFonts w:ascii="Arial" w:cs="Arial" w:eastAsia="Arial" w:hAnsi="Arial"/>
                <w:sz w:val="6"/>
                <w:szCs w:val="6"/>
                <w:b w:val="1"/>
                <w:bCs w:val="1"/>
                <w:color w:val="auto"/>
              </w:rPr>
              <w:t>(Unfavorable)</w:t>
            </w:r>
          </w:p>
        </w:tc>
      </w:tr>
      <w:tr>
        <w:trPr>
          <w:trHeight w:val="204"/>
        </w:trPr>
        <w:tc>
          <w:tcPr>
            <w:tcW w:w="2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2"/>
              </w:rPr>
              <w:t>Variance</w:t>
            </w:r>
          </w:p>
        </w:tc>
      </w:tr>
      <w:tr>
        <w:trPr>
          <w:trHeight w:val="254"/>
        </w:trPr>
        <w:tc>
          <w:tcPr>
            <w:tcW w:w="2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180.4</w:t>
            </w:r>
          </w:p>
        </w:tc>
      </w:tr>
      <w:tr>
        <w:trPr>
          <w:trHeight w:val="22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8"/>
                <w:szCs w:val="18"/>
                <w:color w:val="auto"/>
              </w:rPr>
              <w:t>(13.0)</w:t>
            </w:r>
          </w:p>
        </w:tc>
      </w:tr>
      <w:tr>
        <w:trPr>
          <w:trHeight w:val="217"/>
        </w:trPr>
        <w:tc>
          <w:tcPr>
            <w:tcW w:w="28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520"/>
              <w:spacing w:after="0" w:line="193" w:lineRule="exact"/>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93"/>
              <w:spacing w:after="0" w:line="193" w:lineRule="exact"/>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3"/>
              <w:spacing w:after="0" w:line="193" w:lineRule="exact"/>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480"/>
              <w:spacing w:after="0" w:line="193" w:lineRule="exact"/>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3"/>
              <w:spacing w:after="0" w:line="193" w:lineRule="exact"/>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3"/>
              <w:spacing w:after="0" w:line="193" w:lineRule="exact"/>
              <w:rPr>
                <w:sz w:val="20"/>
                <w:szCs w:val="20"/>
                <w:color w:val="auto"/>
              </w:rPr>
            </w:pPr>
            <w:r>
              <w:rPr>
                <w:rFonts w:ascii="Arial" w:cs="Arial" w:eastAsia="Arial" w:hAnsi="Arial"/>
                <w:sz w:val="18"/>
                <w:szCs w:val="18"/>
                <w:color w:val="auto"/>
              </w:rPr>
              <w:t>167.4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9"/>
              </w:rPr>
              <w:t>24.0 %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1"/>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9"/>
              </w:rPr>
              <w:t>12.3 %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diluted share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8"/>
                <w:szCs w:val="18"/>
                <w:color w:val="auto"/>
              </w:rPr>
              <w:t>10.15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58"/>
        </w:trPr>
        <w:tc>
          <w:tcPr>
            <w:tcW w:w="28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63"/>
              <w:spacing w:after="0" w:line="158" w:lineRule="exact"/>
              <w:rPr>
                <w:sz w:val="20"/>
                <w:szCs w:val="20"/>
                <w:color w:val="auto"/>
              </w:rPr>
            </w:pPr>
            <w:r>
              <w:rPr>
                <w:rFonts w:ascii="Arial" w:cs="Arial" w:eastAsia="Arial" w:hAnsi="Arial"/>
                <w:sz w:val="14"/>
                <w:szCs w:val="14"/>
                <w:b w:val="1"/>
                <w:bCs w:val="1"/>
                <w:color w:val="auto"/>
                <w:w w:val="90"/>
              </w:rPr>
              <w:t>% increase</w:t>
            </w:r>
          </w:p>
        </w:tc>
        <w:tc>
          <w:tcPr>
            <w:tcW w:w="1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103"/>
              <w:spacing w:after="0" w:line="158" w:lineRule="exact"/>
              <w:rPr>
                <w:sz w:val="20"/>
                <w:szCs w:val="20"/>
                <w:color w:val="auto"/>
              </w:rPr>
            </w:pPr>
            <w:r>
              <w:rPr>
                <w:rFonts w:ascii="Arial" w:cs="Arial" w:eastAsia="Arial" w:hAnsi="Arial"/>
                <w:sz w:val="14"/>
                <w:szCs w:val="14"/>
                <w:b w:val="1"/>
                <w:bCs w:val="1"/>
                <w:color w:val="auto"/>
                <w:w w:val="90"/>
              </w:rPr>
              <w:t>% increase</w:t>
            </w: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7"/>
          <w:szCs w:val="17"/>
          <w:color w:val="auto"/>
        </w:rPr>
        <w:t>The effective tax rate for the six months ended June 30, 2021 was lower than the statutory federal tax rate of 21% primarily due to the one-time recognition of excess tax benefits on stock-based compensation related to the departure of our previous chief executive officer in the first quarter of 2021. In addition, the effective tax rate for the six months ended June 30, 2021 was different than the prior comparable period due to the impairment of goodwill in the second quarter of 2020, which was not deductible for income tax purposes and therefore had no associated tax benefit.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0" w:firstLine="318"/>
        <w:spacing w:after="0" w:line="262" w:lineRule="auto"/>
        <w:rPr>
          <w:sz w:val="20"/>
          <w:szCs w:val="20"/>
          <w:color w:val="auto"/>
        </w:rPr>
      </w:pPr>
      <w:r>
        <w:rPr>
          <w:rFonts w:ascii="Arial" w:cs="Arial" w:eastAsia="Arial" w:hAnsi="Arial"/>
          <w:sz w:val="18"/>
          <w:szCs w:val="18"/>
          <w:color w:val="auto"/>
        </w:rPr>
        <w:t>The following table highlights the primary components of the increase in our income before income taxes for the three and six months ended June 30, 2021, compared to our income before income taxes for the three and six months ended June 30, 2020:</w:t>
      </w:r>
    </w:p>
    <w:p>
      <w:pPr>
        <w:jc w:val="center"/>
        <w:ind w:left="6660"/>
        <w:spacing w:after="0" w:line="223" w:lineRule="auto"/>
        <w:rPr>
          <w:sz w:val="20"/>
          <w:szCs w:val="20"/>
          <w:color w:val="auto"/>
        </w:rPr>
      </w:pPr>
      <w:r>
        <w:rPr>
          <w:rFonts w:ascii="Arial" w:cs="Arial" w:eastAsia="Arial" w:hAnsi="Arial"/>
          <w:sz w:val="14"/>
          <w:szCs w:val="14"/>
          <w:b w:val="1"/>
          <w:bCs w:val="1"/>
          <w:color w:val="auto"/>
        </w:rPr>
        <w:t>Favorable</w:t>
      </w:r>
    </w:p>
    <w:p>
      <w:pPr>
        <w:spacing w:after="0" w:line="1"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(Unfavorable) Variance</w:t>
      </w:r>
    </w:p>
    <w:p>
      <w:pPr>
        <w:spacing w:after="0" w:line="7" w:lineRule="exact"/>
        <w:rPr>
          <w:sz w:val="20"/>
          <w:szCs w:val="20"/>
          <w:color w:val="auto"/>
        </w:rPr>
      </w:pPr>
    </w:p>
    <w:tbl>
      <w:tblPr>
        <w:tblLayout w:type="fixed"/>
        <w:tblInd w:w="7080" w:type="dxa"/>
        <w:tblCellMar>
          <w:top w:w="0" w:type="dxa"/>
          <w:left w:w="0" w:type="dxa"/>
          <w:bottom w:w="0" w:type="dxa"/>
          <w:right w:w="0" w:type="dxa"/>
        </w:tblCellMar>
      </w:tblPr>
      <w:tr>
        <w:trPr>
          <w:trHeight w:val="163"/>
        </w:trPr>
        <w:tc>
          <w:tcPr>
            <w:tcW w:w="19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6"/>
                <w:szCs w:val="16"/>
                <w:b w:val="1"/>
                <w:bCs w:val="1"/>
                <w:color w:val="auto"/>
                <w:w w:val="88"/>
              </w:rPr>
              <w:t>Three months ended June</w:t>
            </w:r>
          </w:p>
        </w:tc>
        <w:tc>
          <w:tcPr>
            <w:tcW w:w="178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6"/>
                <w:szCs w:val="16"/>
                <w:b w:val="1"/>
                <w:bCs w:val="1"/>
                <w:color w:val="auto"/>
                <w:w w:val="87"/>
              </w:rPr>
              <w:t>Six months ended June</w:t>
            </w:r>
          </w:p>
        </w:tc>
      </w:tr>
      <w:tr>
        <w:trPr>
          <w:trHeight w:val="208"/>
        </w:trPr>
        <w:tc>
          <w:tcPr>
            <w:tcW w:w="1980" w:type="dxa"/>
            <w:vAlign w:val="bottom"/>
          </w:tcPr>
          <w:p>
            <w:pPr>
              <w:jc w:val="right"/>
              <w:ind w:right="661"/>
              <w:spacing w:after="0"/>
              <w:rPr>
                <w:sz w:val="20"/>
                <w:szCs w:val="20"/>
                <w:color w:val="auto"/>
              </w:rPr>
            </w:pPr>
            <w:r>
              <w:rPr>
                <w:rFonts w:ascii="Arial" w:cs="Arial" w:eastAsia="Arial" w:hAnsi="Arial"/>
                <w:sz w:val="16"/>
                <w:szCs w:val="16"/>
                <w:b w:val="1"/>
                <w:bCs w:val="1"/>
                <w:color w:val="auto"/>
              </w:rPr>
              <w:t>30, 2021</w:t>
            </w:r>
          </w:p>
        </w:tc>
        <w:tc>
          <w:tcPr>
            <w:tcW w:w="1780" w:type="dxa"/>
            <w:vAlign w:val="bottom"/>
          </w:tcPr>
          <w:p>
            <w:pPr>
              <w:jc w:val="right"/>
              <w:ind w:right="521"/>
              <w:spacing w:after="0"/>
              <w:rPr>
                <w:sz w:val="20"/>
                <w:szCs w:val="20"/>
                <w:color w:val="auto"/>
              </w:rPr>
            </w:pPr>
            <w:r>
              <w:rPr>
                <w:rFonts w:ascii="Arial" w:cs="Arial" w:eastAsia="Arial" w:hAnsi="Arial"/>
                <w:sz w:val="16"/>
                <w:szCs w:val="16"/>
                <w:b w:val="1"/>
                <w:bCs w:val="1"/>
                <w:color w:val="auto"/>
              </w:rPr>
              <w:t>30, 2021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2540</wp:posOffset>
            </wp:positionV>
            <wp:extent cx="6621780" cy="126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21780" cy="126365"/>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Increase in gross profit:</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Applebee's franchise operations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IHOP franchise operations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restaurant operations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and financing operations</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increase in gross profit</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Impairment and closure charges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Increase in G&amp;A expenses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Increase in income before income taxes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5"/>
        </w:trPr>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5"/>
        </w:trPr>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8"/>
        </w:trPr>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25"/>
        </w:trPr>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5"/>
        </w:trPr>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6"/>
        </w:trPr>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8"/>
        </w:trPr>
        <w:tc>
          <w:tcPr>
            <w:tcW w:w="7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-1337310</wp:posOffset>
            </wp:positionV>
            <wp:extent cx="662178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21780" cy="1428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-1050925</wp:posOffset>
            </wp:positionV>
            <wp:extent cx="662178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1780" cy="1428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-470535</wp:posOffset>
            </wp:positionV>
            <wp:extent cx="662178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1780" cy="1428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-184150</wp:posOffset>
            </wp:positionV>
            <wp:extent cx="662178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1780" cy="1682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-765175</wp:posOffset>
            </wp:positionV>
            <wp:extent cx="662178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178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340" w:hanging="1340"/>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27.8</w:t>
      </w:r>
    </w:p>
    <w:p>
      <w:pPr>
        <w:spacing w:after="0" w:line="18"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29.5</w:t>
      </w:r>
    </w:p>
    <w:p>
      <w:pPr>
        <w:spacing w:after="0" w:line="1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1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31"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69.7</w:t>
      </w:r>
    </w:p>
    <w:p>
      <w:pPr>
        <w:spacing w:after="0" w:line="18"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119.8</w:t>
      </w:r>
    </w:p>
    <w:p>
      <w:pPr>
        <w:spacing w:after="0" w:line="18"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(10.7)</w:t>
      </w:r>
    </w:p>
    <w:p>
      <w:pPr>
        <w:spacing w:after="0" w:line="18"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1.6</w:t>
      </w:r>
    </w:p>
    <w:p>
      <w:pPr>
        <w:spacing w:after="0" w:line="32" w:lineRule="exact"/>
        <w:rPr>
          <w:sz w:val="20"/>
          <w:szCs w:val="20"/>
          <w:color w:val="auto"/>
        </w:rPr>
      </w:pPr>
    </w:p>
    <w:p>
      <w:pPr>
        <w:ind w:left="1260" w:hanging="1260"/>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43815</wp:posOffset>
            </wp:positionV>
            <wp:extent cx="1102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3">
            <w:col w:w="6360" w:space="720"/>
            <w:col w:w="1920" w:space="120"/>
            <w:col w:w="2120"/>
          </w:cols>
          <w:pgMar w:left="320" w:top="121" w:right="339" w:bottom="1440" w:gutter="0" w:footer="0" w:header="0"/>
          <w:type w:val="continuous"/>
        </w:sectPr>
      </w:pPr>
    </w:p>
    <w:p>
      <w:pPr>
        <w:spacing w:after="0" w:line="132" w:lineRule="exact"/>
        <w:rPr>
          <w:sz w:val="20"/>
          <w:szCs w:val="20"/>
          <w:color w:val="auto"/>
        </w:rPr>
      </w:pPr>
    </w:p>
    <w:p>
      <w:pPr>
        <w:ind w:right="180" w:firstLine="318"/>
        <w:spacing w:after="0" w:line="239" w:lineRule="auto"/>
        <w:rPr>
          <w:sz w:val="20"/>
          <w:szCs w:val="20"/>
          <w:color w:val="auto"/>
        </w:rPr>
      </w:pPr>
      <w:r>
        <w:rPr>
          <w:rFonts w:ascii="Arial" w:cs="Arial" w:eastAsia="Arial" w:hAnsi="Arial"/>
          <w:sz w:val="18"/>
          <w:szCs w:val="18"/>
          <w:color w:val="252525"/>
        </w:rPr>
        <w:t xml:space="preserve">As discussed above under </w:t>
      </w:r>
      <w:r>
        <w:rPr>
          <w:rFonts w:ascii="Arial" w:cs="Arial" w:eastAsia="Arial" w:hAnsi="Arial"/>
          <w:sz w:val="18"/>
          <w:szCs w:val="18"/>
          <w:i w:val="1"/>
          <w:iCs w:val="1"/>
          <w:color w:val="000000"/>
        </w:rPr>
        <w:t>“Events Impacting the Comparability of Financial Information,”</w:t>
      </w:r>
      <w:r>
        <w:rPr>
          <w:rFonts w:ascii="Arial" w:cs="Arial" w:eastAsia="Arial" w:hAnsi="Arial"/>
          <w:sz w:val="18"/>
          <w:szCs w:val="18"/>
          <w:color w:val="252525"/>
        </w:rPr>
        <w:t xml:space="preserve"> </w:t>
      </w:r>
      <w:r>
        <w:rPr>
          <w:rFonts w:ascii="Arial" w:cs="Arial" w:eastAsia="Arial" w:hAnsi="Arial"/>
          <w:sz w:val="18"/>
          <w:szCs w:val="18"/>
          <w:color w:val="000000"/>
        </w:rPr>
        <w:t>the imposition and subsequent relaxation or removal of</w:t>
      </w:r>
      <w:r>
        <w:rPr>
          <w:rFonts w:ascii="Arial" w:cs="Arial" w:eastAsia="Arial" w:hAnsi="Arial"/>
          <w:sz w:val="18"/>
          <w:szCs w:val="18"/>
          <w:color w:val="252525"/>
        </w:rPr>
        <w:t xml:space="preserve"> </w:t>
      </w:r>
      <w:r>
        <w:rPr>
          <w:rFonts w:ascii="Arial" w:cs="Arial" w:eastAsia="Arial" w:hAnsi="Arial"/>
          <w:sz w:val="18"/>
          <w:szCs w:val="18"/>
          <w:color w:val="000000"/>
        </w:rPr>
        <w:t>restrictions imposed on in-restaurant dining in response to the COVID-19 pandemic had a significant impact on comparisons of our gross profit between the three and six months ended June 30, 2021 and the same periods of 2020.</w:t>
      </w:r>
    </w:p>
    <w:p>
      <w:pPr>
        <w:spacing w:after="0" w:line="216"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The significant impacts of the COVID-19 pandemic resulted in our performing impairment assessments of our long-lived assets, goodwill and other intangible assets during the three months ended June 30, 2020. As a result of these assessments, we recorded an impairment to Applebee's goodwill of $92.2 million, an impairment to Applebee's intangible assets of $14.3 million and impairments to long-lived assets of both brands totaling approximately $17.2 million in the second quarter of 2020. There were no impairments of goodwill or other intangible assets during the three and six months ended June 30, 2021.</w:t>
      </w:r>
    </w:p>
    <w:p>
      <w:pPr>
        <w:spacing w:after="0" w:line="172"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w:t>
      </w:r>
      <w:r>
        <w:rPr>
          <w:rFonts w:ascii="Arial" w:cs="Arial" w:eastAsia="Arial" w:hAnsi="Arial"/>
          <w:sz w:val="18"/>
          <w:szCs w:val="18"/>
          <w:color w:val="auto"/>
        </w:rPr>
        <w:t xml:space="preserve"> the </w:t>
      </w:r>
      <w:r>
        <w:rPr>
          <w:rFonts w:ascii="Arial" w:cs="Arial" w:eastAsia="Arial" w:hAnsi="Arial"/>
          <w:sz w:val="18"/>
          <w:szCs w:val="18"/>
          <w:i w:val="1"/>
          <w:iCs w:val="1"/>
          <w:color w:val="auto"/>
        </w:rPr>
        <w:t>Three and Six Months ended June 30, 2021 and June 30, 2020”</w:t>
      </w:r>
      <w:r>
        <w:rPr>
          <w:rFonts w:ascii="Arial" w:cs="Arial" w:eastAsia="Arial" w:hAnsi="Arial"/>
          <w:sz w:val="18"/>
          <w:szCs w:val="18"/>
          <w:color w:val="auto"/>
        </w:rPr>
        <w:t xml:space="preserve"> for additional discussion of the changes shown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3"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six months ended June 30, 2021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620" w:type="dxa"/>
            <w:vAlign w:val="bottom"/>
            <w:gridSpan w:val="6"/>
          </w:tcPr>
          <w:p>
            <w:pPr>
              <w:ind w:left="80"/>
              <w:spacing w:after="0"/>
              <w:rPr>
                <w:sz w:val="20"/>
                <w:szCs w:val="20"/>
                <w:color w:val="auto"/>
              </w:rPr>
            </w:pPr>
            <w:r>
              <w:rPr>
                <w:rFonts w:ascii="Arial" w:cs="Arial" w:eastAsia="Arial" w:hAnsi="Arial"/>
                <w:sz w:val="16"/>
                <w:szCs w:val="16"/>
                <w:b w:val="1"/>
                <w:bCs w:val="1"/>
                <w:color w:val="auto"/>
                <w:w w:val="94"/>
              </w:rPr>
              <w:t>Three months ended June 30, 2021</w:t>
            </w:r>
          </w:p>
        </w:tc>
        <w:tc>
          <w:tcPr>
            <w:tcW w:w="234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w w:val="90"/>
              </w:rPr>
              <w:t>Six months ended June 30, 2021</w:t>
            </w:r>
          </w:p>
        </w:tc>
      </w:tr>
      <w:tr>
        <w:trPr>
          <w:trHeight w:val="168"/>
        </w:trPr>
        <w:tc>
          <w:tcPr>
            <w:tcW w:w="6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840"/>
              <w:spacing w:after="0" w:line="168" w:lineRule="exact"/>
              <w:rPr>
                <w:sz w:val="20"/>
                <w:szCs w:val="20"/>
                <w:color w:val="auto"/>
              </w:rPr>
            </w:pPr>
            <w:r>
              <w:rPr>
                <w:rFonts w:ascii="Arial" w:cs="Arial" w:eastAsia="Arial" w:hAnsi="Arial"/>
                <w:sz w:val="16"/>
                <w:szCs w:val="16"/>
                <w:b w:val="1"/>
                <w:bCs w:val="1"/>
                <w:color w:val="auto"/>
                <w:w w:val="84"/>
              </w:rPr>
              <w:t>Applebee's</w:t>
            </w:r>
          </w:p>
        </w:tc>
        <w:tc>
          <w:tcPr>
            <w:tcW w:w="660" w:type="dxa"/>
            <w:vAlign w:val="bottom"/>
            <w:tcBorders>
              <w:top w:val="single" w:sz="8" w:color="auto"/>
            </w:tcBorders>
            <w:gridSpan w:val="2"/>
          </w:tcPr>
          <w:p>
            <w:pPr>
              <w:jc w:val="right"/>
              <w:ind w:right="260"/>
              <w:spacing w:after="0" w:line="168" w:lineRule="exact"/>
              <w:rPr>
                <w:sz w:val="20"/>
                <w:szCs w:val="20"/>
                <w:color w:val="auto"/>
              </w:rPr>
            </w:pPr>
            <w:r>
              <w:rPr>
                <w:rFonts w:ascii="Arial" w:cs="Arial" w:eastAsia="Arial" w:hAnsi="Arial"/>
                <w:sz w:val="16"/>
                <w:szCs w:val="16"/>
                <w:b w:val="1"/>
                <w:bCs w:val="1"/>
                <w:color w:val="auto"/>
                <w:w w:val="97"/>
              </w:rPr>
              <w:t>IHOP</w:t>
            </w:r>
          </w:p>
        </w:tc>
        <w:tc>
          <w:tcPr>
            <w:tcW w:w="100" w:type="dxa"/>
            <w:vAlign w:val="bottom"/>
          </w:tcPr>
          <w:p>
            <w:pPr>
              <w:spacing w:after="0"/>
              <w:rPr>
                <w:sz w:val="14"/>
                <w:szCs w:val="14"/>
                <w:color w:val="auto"/>
              </w:rPr>
            </w:pPr>
          </w:p>
        </w:tc>
        <w:tc>
          <w:tcPr>
            <w:tcW w:w="1460" w:type="dxa"/>
            <w:vAlign w:val="bottom"/>
            <w:tcBorders>
              <w:top w:val="single" w:sz="8" w:color="auto"/>
            </w:tcBorders>
            <w:gridSpan w:val="3"/>
          </w:tcPr>
          <w:p>
            <w:pPr>
              <w:jc w:val="right"/>
              <w:ind w:right="480"/>
              <w:spacing w:after="0" w:line="168" w:lineRule="exact"/>
              <w:rPr>
                <w:sz w:val="20"/>
                <w:szCs w:val="20"/>
                <w:color w:val="auto"/>
              </w:rPr>
            </w:pPr>
            <w:r>
              <w:rPr>
                <w:rFonts w:ascii="Arial" w:cs="Arial" w:eastAsia="Arial" w:hAnsi="Arial"/>
                <w:sz w:val="16"/>
                <w:szCs w:val="16"/>
                <w:b w:val="1"/>
                <w:bCs w:val="1"/>
                <w:color w:val="auto"/>
              </w:rPr>
              <w:t>Applebee's</w:t>
            </w:r>
          </w:p>
        </w:tc>
        <w:tc>
          <w:tcPr>
            <w:tcW w:w="880" w:type="dxa"/>
            <w:vAlign w:val="bottom"/>
            <w:tcBorders>
              <w:top w:val="single" w:sz="8" w:color="auto"/>
            </w:tcBorders>
            <w:gridSpan w:val="3"/>
          </w:tcPr>
          <w:p>
            <w:pPr>
              <w:jc w:val="right"/>
              <w:ind w:right="220"/>
              <w:spacing w:after="0" w:line="168" w:lineRule="exact"/>
              <w:rPr>
                <w:sz w:val="20"/>
                <w:szCs w:val="20"/>
                <w:color w:val="auto"/>
              </w:rPr>
            </w:pPr>
            <w:r>
              <w:rPr>
                <w:rFonts w:ascii="Arial" w:cs="Arial" w:eastAsia="Arial" w:hAnsi="Arial"/>
                <w:sz w:val="16"/>
                <w:szCs w:val="16"/>
                <w:b w:val="1"/>
                <w:bCs w:val="1"/>
                <w:color w:val="auto"/>
              </w:rPr>
              <w:t>IHOP</w:t>
            </w:r>
          </w:p>
        </w:tc>
      </w:tr>
      <w:tr>
        <w:trPr>
          <w:trHeight w:val="30"/>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percentage increase in reported retail sales</w:t>
            </w:r>
          </w:p>
        </w:tc>
        <w:tc>
          <w:tcPr>
            <w:tcW w:w="2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125.3 %</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163.6 %</w:t>
            </w:r>
          </w:p>
        </w:tc>
        <w:tc>
          <w:tcPr>
            <w:tcW w:w="1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43.3 %</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39.2 %</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 increase in domestic system-wide same-restaurant sales - 2021 vs 2020</w:t>
            </w:r>
          </w:p>
        </w:tc>
        <w:tc>
          <w:tcPr>
            <w:tcW w:w="1860" w:type="dxa"/>
            <w:vAlign w:val="bottom"/>
            <w:gridSpan w:val="3"/>
          </w:tcPr>
          <w:p>
            <w:pPr>
              <w:jc w:val="right"/>
              <w:ind w:right="560"/>
              <w:spacing w:after="0"/>
              <w:rPr>
                <w:sz w:val="20"/>
                <w:szCs w:val="20"/>
                <w:color w:val="auto"/>
              </w:rPr>
            </w:pPr>
            <w:r>
              <w:rPr>
                <w:rFonts w:ascii="Arial" w:cs="Arial" w:eastAsia="Arial" w:hAnsi="Arial"/>
                <w:sz w:val="18"/>
                <w:szCs w:val="18"/>
                <w:color w:val="auto"/>
              </w:rPr>
              <w:t>102.2 %</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120.1 %</w:t>
            </w:r>
          </w:p>
        </w:tc>
        <w:tc>
          <w:tcPr>
            <w:tcW w:w="10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46.4 %</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40.7 %</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increase (decrease) in domestic system-wide same-restaurant sales - 2021 vs 2019</w:t>
            </w:r>
          </w:p>
        </w:tc>
        <w:tc>
          <w:tcPr>
            <w:tcW w:w="1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10.5 %</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2.0 %</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Net franchise restaurant reduction </w:t>
            </w:r>
            <w:r>
              <w:rPr>
                <w:rFonts w:ascii="Arial" w:cs="Arial" w:eastAsia="Arial" w:hAnsi="Arial"/>
                <w:sz w:val="10"/>
                <w:szCs w:val="10"/>
                <w:color w:val="auto"/>
              </w:rPr>
              <w:t>(1)</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(13)</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r>
      <w:tr>
        <w:trPr>
          <w:trHeight w:val="226"/>
        </w:trPr>
        <w:tc>
          <w:tcPr>
            <w:tcW w:w="62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Net increase in total effective restaurants </w:t>
            </w:r>
            <w:r>
              <w:rPr>
                <w:rFonts w:ascii="Arial" w:cs="Arial" w:eastAsia="Arial" w:hAnsi="Arial"/>
                <w:sz w:val="22"/>
                <w:szCs w:val="22"/>
                <w:color w:val="auto"/>
                <w:vertAlign w:val="superscript"/>
              </w:rPr>
              <w:t>(2)</w:t>
            </w:r>
          </w:p>
        </w:tc>
        <w:tc>
          <w:tcPr>
            <w:tcW w:w="18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162" w:lineRule="exact"/>
        <w:rPr>
          <w:sz w:val="20"/>
          <w:szCs w:val="20"/>
          <w:color w:val="auto"/>
        </w:rPr>
      </w:pPr>
    </w:p>
    <w:p>
      <w:pPr>
        <w:ind w:left="160" w:hanging="154"/>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Franchise and area license restaurant closings, net of openings, during the three and six months ended June 30, 2021.</w:t>
      </w:r>
    </w:p>
    <w:p>
      <w:pPr>
        <w:ind w:left="160" w:right="60" w:hanging="154"/>
        <w:spacing w:after="0" w:line="216" w:lineRule="auto"/>
        <w:tabs>
          <w:tab w:leader="none" w:pos="152" w:val="left"/>
        </w:tabs>
        <w:numPr>
          <w:ilvl w:val="0"/>
          <w:numId w:val="13"/>
        </w:numPr>
        <w:rPr>
          <w:rFonts w:ascii="Arial" w:cs="Arial" w:eastAsia="Arial" w:hAnsi="Arial"/>
          <w:sz w:val="17"/>
          <w:szCs w:val="17"/>
          <w:color w:val="auto"/>
          <w:vertAlign w:val="superscript"/>
        </w:rPr>
      </w:pPr>
      <w:r>
        <w:rPr>
          <w:rFonts w:ascii="Arial" w:cs="Arial" w:eastAsia="Arial" w:hAnsi="Arial"/>
          <w:sz w:val="12"/>
          <w:szCs w:val="12"/>
          <w:color w:val="auto"/>
        </w:rPr>
        <w:t>Change in the weighted average number of franchise, area license and company-operated restaurants open during the three and six months ended June 30, 2021, compared to the weighted average number of those open during the same periods of 2020.</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 xml:space="preserve">The changes in sales percentage and domestic same-restaurant sales of both brands were impacted by the varying degrees of restrictions on in-restaurant dining in effect during each period as discussed </w:t>
      </w:r>
      <w:r>
        <w:rPr>
          <w:rFonts w:ascii="Arial" w:cs="Arial" w:eastAsia="Arial" w:hAnsi="Arial"/>
          <w:sz w:val="15"/>
          <w:szCs w:val="15"/>
          <w:color w:val="252525"/>
        </w:rPr>
        <w:t>under</w:t>
      </w:r>
      <w:r>
        <w:rPr>
          <w:rFonts w:ascii="Arial" w:cs="Arial" w:eastAsia="Arial" w:hAnsi="Arial"/>
          <w:sz w:val="15"/>
          <w:szCs w:val="15"/>
          <w:color w:val="auto"/>
        </w:rPr>
        <w:t xml:space="preserve"> </w:t>
      </w:r>
      <w:r>
        <w:rPr>
          <w:rFonts w:ascii="Arial" w:cs="Arial" w:eastAsia="Arial" w:hAnsi="Arial"/>
          <w:sz w:val="15"/>
          <w:szCs w:val="15"/>
          <w:i w:val="1"/>
          <w:iCs w:val="1"/>
          <w:color w:val="auto"/>
        </w:rPr>
        <w:t>“Events Impacting the Comparability of Financial Information.”</w:t>
      </w:r>
      <w:r>
        <w:rPr>
          <w:rFonts w:ascii="Arial" w:cs="Arial" w:eastAsia="Arial" w:hAnsi="Arial"/>
          <w:sz w:val="15"/>
          <w:szCs w:val="15"/>
          <w:color w:val="auto"/>
        </w:rPr>
        <w:t xml:space="preserve"> Additionally, the calculation of the percentage change in domestic same-restaurant sales was also impacted by a shift in the weeks of comparison because of a 53rd week in fiscal 2020.</w:t>
      </w:r>
    </w:p>
    <w:p>
      <w:pPr>
        <w:spacing w:after="0" w:line="163"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light of the distortion caused by the pandemic and a 53rd week in fiscal 2020 on the changes in sales percentage and domestic same-restaurant sales, we believe a comparison of average weekly unit sales, a function of reported retail sales and the number of effective restaurants, for the six individual months of 2021 and 2020, provides additional insight into each brand's performance during the three and six months ended June 30, 2021 as compared to the same periods of 2020 and 2019:</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Average Weekly Unit</w:t>
      </w:r>
    </w:p>
    <w:tbl>
      <w:tblPr>
        <w:tblLayout w:type="fixed"/>
        <w:tblInd w:w="3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b w:val="1"/>
                <w:bCs w:val="1"/>
                <w:color w:val="auto"/>
                <w:w w:val="76"/>
              </w:rPr>
              <w:t>Sales</w:t>
            </w:r>
          </w:p>
        </w:tc>
        <w:tc>
          <w:tcPr>
            <w:tcW w:w="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234"/>
              <w:spacing w:after="0" w:line="152" w:lineRule="exact"/>
              <w:rPr>
                <w:sz w:val="20"/>
                <w:szCs w:val="20"/>
                <w:color w:val="auto"/>
              </w:rPr>
            </w:pPr>
            <w:r>
              <w:rPr>
                <w:rFonts w:ascii="Arial" w:cs="Arial" w:eastAsia="Arial" w:hAnsi="Arial"/>
                <w:sz w:val="16"/>
                <w:szCs w:val="16"/>
                <w:b w:val="1"/>
                <w:bCs w:val="1"/>
                <w:color w:val="auto"/>
                <w:w w:val="87"/>
              </w:rPr>
              <w:t>Applebee's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394"/>
              <w:spacing w:after="0" w:line="152" w:lineRule="exact"/>
              <w:rPr>
                <w:sz w:val="20"/>
                <w:szCs w:val="20"/>
                <w:color w:val="auto"/>
              </w:rPr>
            </w:pPr>
            <w:r>
              <w:rPr>
                <w:rFonts w:ascii="Arial" w:cs="Arial" w:eastAsia="Arial" w:hAnsi="Arial"/>
                <w:sz w:val="16"/>
                <w:szCs w:val="16"/>
                <w:b w:val="1"/>
                <w:bCs w:val="1"/>
                <w:color w:val="auto"/>
              </w:rPr>
              <w:t>IHOP</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2019</w:t>
            </w: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22.1</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May</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53.1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22.5</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35.8</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13.7</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35.5</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March</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54.3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35.1</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35.1</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25.3</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49.7</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27.4</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January</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39.6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49.8</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24.8</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36.1</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r>
    </w:tbl>
    <w:p>
      <w:pPr>
        <w:spacing w:after="0" w:line="32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change in total effective restaurants for each brand reflects both permanent closures, net of openings, over the past 12 months as well as the weighted effect of restaurants temporarily closed during the three and six months ended June 30, 2021. While the absolute number of franchise restaurants has decreased, the re-opening of restaurants that had been temporarily closed during the respective 2020 comparative periods resulted in the net increase in effective restaurants for the three and six months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166370</wp:posOffset>
            </wp:positionV>
            <wp:extent cx="5048250" cy="2524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4825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firstLine="238"/>
        <w:spacing w:after="0" w:line="312" w:lineRule="auto"/>
        <w:rPr>
          <w:sz w:val="20"/>
          <w:szCs w:val="20"/>
          <w:color w:val="auto"/>
        </w:rPr>
      </w:pPr>
      <w:r>
        <w:rPr>
          <w:rFonts w:ascii="Arial" w:cs="Arial" w:eastAsia="Arial" w:hAnsi="Arial"/>
          <w:sz w:val="15"/>
          <w:szCs w:val="15"/>
          <w:color w:val="auto"/>
        </w:rPr>
        <w:t xml:space="preserve">Applebee’s system-wide domestic same-restaurant sales increased 102.2% for the three months ended June 30, 2021 and 46.4% for the six months ended June 30, 2021 as compared to the same periods of 2020. The increase in both periods was due to a substantial increase customer traffic as well as increase in average check. The increase in customer traffic primarily was due to the positive changes in restaurant operating status as discussed under </w:t>
      </w:r>
      <w:r>
        <w:rPr>
          <w:rFonts w:ascii="Arial" w:cs="Arial" w:eastAsia="Arial" w:hAnsi="Arial"/>
          <w:sz w:val="15"/>
          <w:szCs w:val="15"/>
          <w:i w:val="1"/>
          <w:iCs w:val="1"/>
          <w:color w:val="auto"/>
        </w:rPr>
        <w:t>“Events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Impacting the Comparability of Financial Information,” </w:t>
      </w:r>
      <w:r>
        <w:rPr>
          <w:rFonts w:ascii="Arial" w:cs="Arial" w:eastAsia="Arial" w:hAnsi="Arial"/>
          <w:sz w:val="15"/>
          <w:szCs w:val="15"/>
          <w:color w:val="auto"/>
        </w:rPr>
        <w:t>as well as increased consumer desire to patronize restaurants after the relaxation of pandemic</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restrictions. The increase in average check was primarily due to favorable mix shifts related to a reduction in core menu</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right="40"/>
        <w:spacing w:after="0" w:line="318" w:lineRule="auto"/>
        <w:rPr>
          <w:sz w:val="20"/>
          <w:szCs w:val="20"/>
          <w:color w:val="auto"/>
        </w:rPr>
      </w:pPr>
      <w:r>
        <w:rPr>
          <w:rFonts w:ascii="Arial" w:cs="Arial" w:eastAsia="Arial" w:hAnsi="Arial"/>
          <w:sz w:val="15"/>
          <w:szCs w:val="15"/>
          <w:color w:val="auto"/>
        </w:rPr>
        <w:t>items, successful promotional food and beverage offerings and a larger number of items purchased with off-premise orders. We believe the distribution of the latest round of government stimulus checks that began in March 2021 favorably impacted consumer spending behavior as well. Applebee’s system-wide domestic same-restaurant sales increased 10.5% for the three months ended June 30, 2021 and 2.0% for the six months ended June 30, 2021 as compared to the same periods of 2019. The increase in both periods was due to an increase in customer check partially offset by a decrease in traffic.</w:t>
      </w:r>
    </w:p>
    <w:p>
      <w:pPr>
        <w:spacing w:after="0" w:line="172" w:lineRule="exact"/>
        <w:rPr>
          <w:sz w:val="20"/>
          <w:szCs w:val="20"/>
          <w:color w:val="auto"/>
        </w:rPr>
      </w:pPr>
    </w:p>
    <w:p>
      <w:pPr>
        <w:ind w:left="260" w:right="300" w:firstLine="238"/>
        <w:spacing w:after="0" w:line="255" w:lineRule="auto"/>
        <w:rPr>
          <w:sz w:val="20"/>
          <w:szCs w:val="20"/>
          <w:color w:val="auto"/>
        </w:rPr>
      </w:pPr>
      <w:r>
        <w:rPr>
          <w:rFonts w:ascii="Arial" w:cs="Arial" w:eastAsia="Arial" w:hAnsi="Arial"/>
          <w:sz w:val="18"/>
          <w:szCs w:val="18"/>
          <w:color w:val="auto"/>
        </w:rPr>
        <w:t>Based on data from Black Box Intelligence, a restaurant sales reporting firm (“Black Box”), Applebee's increase in same-restaurant sales for both the three and six months ended June 30, 2021 outperformed the casual dining segment of the restaurant industry (excluding Applebee's) during the same periods.</w:t>
      </w:r>
    </w:p>
    <w:tbl>
      <w:tblPr>
        <w:tblLayout w:type="fixed"/>
        <w:tblInd w:w="0" w:type="dxa"/>
        <w:tblCellMar>
          <w:top w:w="0" w:type="dxa"/>
          <w:left w:w="0" w:type="dxa"/>
          <w:bottom w:w="0" w:type="dxa"/>
          <w:right w:w="0" w:type="dxa"/>
        </w:tblCellMar>
      </w:tblP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Applebee's Off-premise Sales Data</w:t>
            </w:r>
          </w:p>
        </w:tc>
        <w:tc>
          <w:tcPr>
            <w:tcW w:w="1680" w:type="dxa"/>
            <w:vAlign w:val="bottom"/>
          </w:tcPr>
          <w:p>
            <w:pPr>
              <w:spacing w:after="0"/>
              <w:rPr>
                <w:sz w:val="17"/>
                <w:szCs w:val="17"/>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7"/>
              </w:rPr>
              <w:t>Three months ended 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
        </w:trPr>
        <w:tc>
          <w:tcPr>
            <w:tcW w:w="25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2"/>
                <w:szCs w:val="22"/>
                <w:color w:val="auto"/>
                <w:vertAlign w:val="superscript"/>
              </w:rPr>
              <w:t>(1)</w:t>
            </w:r>
          </w:p>
        </w:tc>
        <w:tc>
          <w:tcPr>
            <w:tcW w:w="16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90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84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continu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gridSpan w:val="2"/>
            <w:vMerge w:val="continue"/>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93"/>
              </w:rPr>
              <w:t>317.1 $</w:t>
            </w:r>
          </w:p>
        </w:tc>
        <w:tc>
          <w:tcPr>
            <w:tcW w:w="3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293.9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661.6 $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24"/>
        </w:trPr>
        <w:tc>
          <w:tcPr>
            <w:tcW w:w="4120" w:type="dxa"/>
            <w:vAlign w:val="bottom"/>
            <w:gridSpan w:val="2"/>
          </w:tcPr>
          <w:p>
            <w:pPr>
              <w:spacing w:after="0"/>
              <w:rPr>
                <w:sz w:val="20"/>
                <w:szCs w:val="20"/>
                <w:color w:val="auto"/>
              </w:rPr>
            </w:pPr>
            <w:r>
              <w:rPr>
                <w:rFonts w:ascii="Arial" w:cs="Arial" w:eastAsia="Arial" w:hAnsi="Arial"/>
                <w:sz w:val="18"/>
                <w:szCs w:val="18"/>
                <w:color w:val="auto"/>
              </w:rPr>
              <w:t>% sales mix</w:t>
            </w:r>
          </w:p>
        </w:tc>
        <w:tc>
          <w:tcPr>
            <w:tcW w:w="1680" w:type="dxa"/>
            <w:vAlign w:val="bottom"/>
          </w:tcPr>
          <w:p>
            <w:pPr>
              <w:spacing w:after="0"/>
              <w:rPr>
                <w:sz w:val="19"/>
                <w:szCs w:val="19"/>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8"/>
                <w:szCs w:val="18"/>
                <w:color w:val="auto"/>
              </w:rPr>
              <w:t>30.%3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33.%3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-284480</wp:posOffset>
            </wp:positionV>
            <wp:extent cx="690753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7530" cy="142875"/>
                    </a:xfrm>
                    <a:prstGeom prst="rect">
                      <a:avLst/>
                    </a:prstGeom>
                    <a:noFill/>
                  </pic:spPr>
                </pic:pic>
              </a:graphicData>
            </a:graphic>
          </wp:anchor>
        </w:drawing>
      </w:r>
    </w:p>
    <w:p>
      <w:pPr>
        <w:spacing w:after="0" w:line="26" w:lineRule="exact"/>
        <w:rPr>
          <w:sz w:val="20"/>
          <w:szCs w:val="20"/>
          <w:color w:val="auto"/>
        </w:rPr>
      </w:pPr>
    </w:p>
    <w:p>
      <w:pPr>
        <w:ind w:left="340" w:hanging="234"/>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Primarily to-go, delivery and catering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146050</wp:posOffset>
            </wp:positionV>
            <wp:extent cx="5157470" cy="257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57470"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firstLine="318"/>
        <w:spacing w:after="0" w:line="248" w:lineRule="auto"/>
        <w:rPr>
          <w:sz w:val="20"/>
          <w:szCs w:val="20"/>
          <w:color w:val="auto"/>
        </w:rPr>
      </w:pPr>
      <w:r>
        <w:rPr>
          <w:rFonts w:ascii="Arial" w:cs="Arial" w:eastAsia="Arial" w:hAnsi="Arial"/>
          <w:sz w:val="17"/>
          <w:szCs w:val="17"/>
          <w:color w:val="auto"/>
        </w:rPr>
        <w:t xml:space="preserve">IHOP's system-wide domestic same-restaurant sales increased 120.1% for the three months ended June 30, 2021 and 40.7% for the six months ended June 30, 2021 as compared to the same periods of 2020. Most of the improvement in both periods was due to a significant increase in customer traffic as well an increase in average check. The increase in customer traffic was primarily was due to the positive changes in restaurant operating status as discussed under </w:t>
      </w:r>
      <w:r>
        <w:rPr>
          <w:rFonts w:ascii="Arial" w:cs="Arial" w:eastAsia="Arial" w:hAnsi="Arial"/>
          <w:sz w:val="17"/>
          <w:szCs w:val="17"/>
          <w:i w:val="1"/>
          <w:iCs w:val="1"/>
          <w:color w:val="auto"/>
        </w:rPr>
        <w:t xml:space="preserve">“Events Impacting the Comparability of Financial Information,” </w:t>
      </w:r>
      <w:r>
        <w:rPr>
          <w:rFonts w:ascii="Arial" w:cs="Arial" w:eastAsia="Arial" w:hAnsi="Arial"/>
          <w:sz w:val="17"/>
          <w:szCs w:val="17"/>
          <w:color w:val="auto"/>
        </w:rPr>
        <w:t>as well as increased consumer desire to patronize restaurants after the relaxation of pandemic</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The increase in average check was primarily due to increases in both menu prices and delivery prices as well as a general increase in consumer spending. We believe the distribution of the latest round of government stimulus checks that began in March 2021 favorably impacted consumer spending behavior. IHOP’s system-wide domestic same-restaurant sales decreased 3.4% for the three months ended June 30, 2021 and 12.2% for the six months ended June 30, 2021 as compared to the same periods of 2019. The decrease in both periods was due to a decrease in traffic partially offset by an increase in customer check.</w:t>
      </w:r>
    </w:p>
    <w:p>
      <w:pPr>
        <w:spacing w:after="0" w:line="209" w:lineRule="exact"/>
        <w:rPr>
          <w:sz w:val="20"/>
          <w:szCs w:val="20"/>
          <w:color w:val="auto"/>
        </w:rPr>
      </w:pPr>
    </w:p>
    <w:p>
      <w:pPr>
        <w:ind w:left="100" w:right="20" w:firstLine="318"/>
        <w:spacing w:after="0" w:line="261" w:lineRule="auto"/>
        <w:rPr>
          <w:sz w:val="20"/>
          <w:szCs w:val="20"/>
          <w:color w:val="auto"/>
        </w:rPr>
      </w:pPr>
      <w:r>
        <w:rPr>
          <w:rFonts w:ascii="Arial" w:cs="Arial" w:eastAsia="Arial" w:hAnsi="Arial"/>
          <w:sz w:val="17"/>
          <w:szCs w:val="17"/>
          <w:color w:val="auto"/>
        </w:rPr>
        <w:t>Based on data from Black Box, IHOP's increase in same-restaurant sales for the three months ended June 30, 2021 outperformed the family dining segment of the restaurant industry (excluding IHOP) during that same period. IHOP's increase in same-restaurant sales for the six months ended June 30, 2021 underperformed the family dining segment of the restaurant industry (excluding IHOP) during that same period.</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3" w:name="page34"/>
    <w:bookmarkEnd w:id="33"/>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ind w:left="40"/>
              <w:spacing w:after="0"/>
              <w:rPr>
                <w:sz w:val="20"/>
                <w:szCs w:val="20"/>
                <w:color w:val="auto"/>
              </w:rPr>
            </w:pPr>
            <w:r>
              <w:rPr>
                <w:rFonts w:ascii="Arial" w:cs="Arial" w:eastAsia="Arial" w:hAnsi="Arial"/>
                <w:sz w:val="18"/>
                <w:szCs w:val="18"/>
                <w:b w:val="1"/>
                <w:bCs w:val="1"/>
                <w:color w:val="auto"/>
              </w:rPr>
              <w:t>HOP Off-premise Sales Data</w:t>
            </w:r>
          </w:p>
        </w:tc>
        <w:tc>
          <w:tcPr>
            <w:tcW w:w="1820" w:type="dxa"/>
            <w:vAlign w:val="bottom"/>
          </w:tcPr>
          <w:p>
            <w:pPr>
              <w:spacing w:after="0"/>
              <w:rPr>
                <w:sz w:val="17"/>
                <w:szCs w:val="17"/>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w w:val="97"/>
              </w:rPr>
              <w:t>Three months ended 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Off-premise sales (in millions) </w:t>
            </w:r>
            <w:r>
              <w:rPr>
                <w:rFonts w:ascii="Arial" w:cs="Arial" w:eastAsia="Arial" w:hAnsi="Arial"/>
                <w:sz w:val="22"/>
                <w:szCs w:val="22"/>
                <w:color w:val="auto"/>
                <w:vertAlign w:val="superscript"/>
              </w:rPr>
              <w:t>(1)</w:t>
            </w:r>
          </w:p>
        </w:tc>
        <w:tc>
          <w:tcPr>
            <w:tcW w:w="182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90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2021</w:t>
            </w:r>
          </w:p>
        </w:tc>
        <w:tc>
          <w:tcPr>
            <w:tcW w:w="840" w:type="dxa"/>
            <w:vAlign w:val="bottom"/>
          </w:tcPr>
          <w:p>
            <w:pPr>
              <w:spacing w:after="0"/>
              <w:rPr>
                <w:sz w:val="14"/>
                <w:szCs w:val="14"/>
                <w:color w:val="auto"/>
              </w:rPr>
            </w:pPr>
          </w:p>
        </w:tc>
        <w:tc>
          <w:tcPr>
            <w:tcW w:w="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80" w:type="dxa"/>
            <w:vAlign w:val="bottom"/>
            <w:gridSpan w:val="3"/>
            <w:vMerge w:val="continue"/>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93"/>
              </w:rPr>
              <w:t>167.4 $</w:t>
            </w:r>
          </w:p>
        </w:tc>
        <w:tc>
          <w:tcPr>
            <w:tcW w:w="3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152.9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350.3 $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5"/>
        </w:trPr>
        <w:tc>
          <w:tcPr>
            <w:tcW w:w="3980" w:type="dxa"/>
            <w:vAlign w:val="bottom"/>
            <w:gridSpan w:val="3"/>
          </w:tcPr>
          <w:p>
            <w:pPr>
              <w:spacing w:after="0"/>
              <w:rPr>
                <w:sz w:val="20"/>
                <w:szCs w:val="20"/>
                <w:color w:val="auto"/>
              </w:rPr>
            </w:pPr>
            <w:r>
              <w:rPr>
                <w:rFonts w:ascii="Arial" w:cs="Arial" w:eastAsia="Arial" w:hAnsi="Arial"/>
                <w:sz w:val="18"/>
                <w:szCs w:val="18"/>
                <w:color w:val="auto"/>
              </w:rPr>
              <w:t>% sales mix</w:t>
            </w:r>
          </w:p>
        </w:tc>
        <w:tc>
          <w:tcPr>
            <w:tcW w:w="1820" w:type="dxa"/>
            <w:vAlign w:val="bottom"/>
          </w:tcPr>
          <w:p>
            <w:pPr>
              <w:spacing w:after="0"/>
              <w:rPr>
                <w:sz w:val="19"/>
                <w:szCs w:val="19"/>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8"/>
                <w:szCs w:val="18"/>
                <w:color w:val="auto"/>
              </w:rPr>
              <w:t>26.%1</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29.%4</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-294005</wp:posOffset>
            </wp:positionV>
            <wp:extent cx="690753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7530" cy="142875"/>
                    </a:xfrm>
                    <a:prstGeom prst="rect">
                      <a:avLst/>
                    </a:prstGeom>
                    <a:noFill/>
                  </pic:spPr>
                </pic:pic>
              </a:graphicData>
            </a:graphic>
          </wp:anchor>
        </w:drawing>
      </w:r>
    </w:p>
    <w:p>
      <w:pPr>
        <w:spacing w:after="0" w:line="12" w:lineRule="exact"/>
        <w:rPr>
          <w:sz w:val="20"/>
          <w:szCs w:val="20"/>
          <w:color w:val="auto"/>
        </w:rPr>
      </w:pPr>
    </w:p>
    <w:p>
      <w:pPr>
        <w:ind w:left="340" w:hanging="234"/>
        <w:spacing w:after="0"/>
        <w:tabs>
          <w:tab w:leader="none" w:pos="3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Primarily to-go, delivery and catering sales.</w:t>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Restaurant Data</w:t>
      </w:r>
    </w:p>
    <w:p>
      <w:pPr>
        <w:spacing w:after="0" w:line="210" w:lineRule="exact"/>
        <w:rPr>
          <w:sz w:val="20"/>
          <w:szCs w:val="20"/>
          <w:color w:val="auto"/>
        </w:rPr>
      </w:pPr>
    </w:p>
    <w:p>
      <w:pPr>
        <w:ind w:left="100" w:firstLine="318"/>
        <w:spacing w:after="0" w:line="303" w:lineRule="auto"/>
        <w:rPr>
          <w:sz w:val="20"/>
          <w:szCs w:val="20"/>
          <w:color w:val="auto"/>
        </w:rPr>
      </w:pPr>
      <w:r>
        <w:rPr>
          <w:rFonts w:ascii="Arial" w:cs="Arial" w:eastAsia="Arial" w:hAnsi="Arial"/>
          <w:sz w:val="15"/>
          <w:szCs w:val="15"/>
          <w:color w:val="auto"/>
        </w:rPr>
        <w:t>The following table sets forth the number of “Effective Restaurants” in the Applebee’s and IHOP systems and information regarding the percentage change in sales at those restaurants compared to the same periods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25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Applebee's Restaurant Data</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Company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89"/>
              </w:rPr>
              <w:t>67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440"/>
              <w:spacing w:after="0" w:line="193"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1,692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3"/>
              <w:spacing w:after="0" w:line="193" w:lineRule="exact"/>
              <w:rPr>
                <w:sz w:val="20"/>
                <w:szCs w:val="20"/>
                <w:color w:val="auto"/>
              </w:rPr>
            </w:pPr>
            <w:r>
              <w:rPr>
                <w:rFonts w:ascii="Arial" w:cs="Arial" w:eastAsia="Arial" w:hAnsi="Arial"/>
                <w:sz w:val="18"/>
                <w:szCs w:val="18"/>
                <w:b w:val="1"/>
                <w:bCs w:val="1"/>
                <w:color w:val="auto"/>
              </w:rPr>
              <w:t>1,594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1,694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2"/>
              <w:spacing w:after="0" w:line="193" w:lineRule="exact"/>
              <w:rPr>
                <w:sz w:val="20"/>
                <w:szCs w:val="20"/>
                <w:color w:val="auto"/>
              </w:rPr>
            </w:pPr>
            <w:r>
              <w:rPr>
                <w:rFonts w:ascii="Arial" w:cs="Arial" w:eastAsia="Arial" w:hAnsi="Arial"/>
                <w:sz w:val="18"/>
                <w:szCs w:val="18"/>
                <w:b w:val="1"/>
                <w:bCs w:val="1"/>
                <w:color w:val="auto"/>
              </w:rPr>
              <w:t>1,680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5"/>
              </w:rPr>
              <w:t>(53.5)%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1"/>
              </w:rPr>
              <w:t>(32.5)%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center"/>
              <w:ind w:left="393"/>
              <w:spacing w:after="0"/>
              <w:rPr>
                <w:sz w:val="20"/>
                <w:szCs w:val="20"/>
                <w:color w:val="auto"/>
              </w:rPr>
            </w:pPr>
            <w:r>
              <w:rPr>
                <w:rFonts w:ascii="Arial" w:cs="Arial" w:eastAsia="Arial" w:hAnsi="Arial"/>
                <w:sz w:val="18"/>
                <w:szCs w:val="18"/>
                <w:color w:val="auto"/>
                <w:w w:val="95"/>
              </w:rPr>
              <w:t>(49.4)%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392"/>
              <w:spacing w:after="0"/>
              <w:rPr>
                <w:sz w:val="20"/>
                <w:szCs w:val="20"/>
                <w:color w:val="auto"/>
              </w:rPr>
            </w:pPr>
            <w:r>
              <w:rPr>
                <w:rFonts w:ascii="Arial" w:cs="Arial" w:eastAsia="Arial" w:hAnsi="Arial"/>
                <w:sz w:val="18"/>
                <w:szCs w:val="18"/>
                <w:color w:val="auto"/>
                <w:w w:val="91"/>
              </w:rPr>
              <w:t>(29.1)%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80" w:type="dxa"/>
            <w:vAlign w:val="bottom"/>
            <w:gridSpan w:val="3"/>
          </w:tcPr>
          <w:p>
            <w:pPr>
              <w:spacing w:after="0" w:line="23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5"/>
              </w:rPr>
              <w:t>(53.6)%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1"/>
              </w:rPr>
              <w:t>(32.5)%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393"/>
              <w:spacing w:after="0"/>
              <w:rPr>
                <w:sz w:val="20"/>
                <w:szCs w:val="20"/>
                <w:color w:val="auto"/>
              </w:rPr>
            </w:pPr>
            <w:r>
              <w:rPr>
                <w:rFonts w:ascii="Arial" w:cs="Arial" w:eastAsia="Arial" w:hAnsi="Arial"/>
                <w:sz w:val="18"/>
                <w:szCs w:val="18"/>
                <w:color w:val="auto"/>
                <w:w w:val="95"/>
              </w:rPr>
              <w:t>(49.4)%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2"/>
              <w:spacing w:after="0"/>
              <w:rPr>
                <w:sz w:val="20"/>
                <w:szCs w:val="20"/>
                <w:color w:val="auto"/>
              </w:rPr>
            </w:pPr>
            <w:r>
              <w:rPr>
                <w:rFonts w:ascii="Arial" w:cs="Arial" w:eastAsia="Arial" w:hAnsi="Arial"/>
                <w:sz w:val="18"/>
                <w:szCs w:val="18"/>
                <w:color w:val="auto"/>
                <w:w w:val="91"/>
              </w:rPr>
              <w:t>(29.0)%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domestic unit sales (in thousands)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IHOP Restaurant Data</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gridSpan w:val="3"/>
          </w:tcPr>
          <w:p>
            <w:pPr>
              <w:spacing w:after="0" w:line="245" w:lineRule="exact"/>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2"/>
                <w:szCs w:val="22"/>
                <w:b w:val="1"/>
                <w:bCs w:val="1"/>
                <w:color w:val="auto"/>
                <w:vertAlign w:val="superscript"/>
              </w:rPr>
              <w:t>(a)</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Franchise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Area license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3"/>
            <w:shd w:val="clear" w:color="auto" w:fill="CCEEFF"/>
          </w:tcPr>
          <w:p>
            <w:pPr>
              <w:ind w:left="4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1,519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1,722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1,663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2"/>
                <w:szCs w:val="22"/>
                <w:b w:val="1"/>
                <w:bCs w:val="1"/>
                <w:color w:val="auto"/>
                <w:vertAlign w:val="superscript"/>
              </w:rPr>
              <w:t>(b)</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5"/>
              </w:rPr>
              <w:t>(64.3)%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1"/>
              </w:rPr>
              <w:t>(39.1)%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80" w:type="dxa"/>
            <w:vAlign w:val="bottom"/>
            <w:gridSpan w:val="3"/>
          </w:tcPr>
          <w:p>
            <w:pPr>
              <w:ind w:left="200"/>
              <w:spacing w:after="0" w:line="172" w:lineRule="exact"/>
              <w:rPr>
                <w:sz w:val="20"/>
                <w:szCs w:val="20"/>
                <w:color w:val="auto"/>
              </w:rPr>
            </w:pPr>
            <w:r>
              <w:rPr>
                <w:rFonts w:ascii="Arial" w:cs="Arial" w:eastAsia="Arial" w:hAnsi="Arial"/>
                <w:sz w:val="18"/>
                <w:szCs w:val="18"/>
                <w:color w:val="auto"/>
                <w:w w:val="91"/>
              </w:rPr>
              <w:t>Domestic same-restaurant sales percentage change, including area</w:t>
            </w: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120.1 %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center"/>
              <w:ind w:left="393"/>
              <w:spacing w:after="0"/>
              <w:rPr>
                <w:sz w:val="20"/>
                <w:szCs w:val="20"/>
                <w:color w:val="auto"/>
              </w:rPr>
            </w:pPr>
            <w:r>
              <w:rPr>
                <w:rFonts w:ascii="Arial" w:cs="Arial" w:eastAsia="Arial" w:hAnsi="Arial"/>
                <w:sz w:val="18"/>
                <w:szCs w:val="18"/>
                <w:color w:val="auto"/>
                <w:w w:val="95"/>
              </w:rPr>
              <w:t>(59.1)%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40.7 %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center"/>
              <w:ind w:left="392"/>
              <w:spacing w:after="0"/>
              <w:rPr>
                <w:sz w:val="20"/>
                <w:szCs w:val="20"/>
                <w:color w:val="auto"/>
              </w:rPr>
            </w:pPr>
            <w:r>
              <w:rPr>
                <w:rFonts w:ascii="Arial" w:cs="Arial" w:eastAsia="Arial" w:hAnsi="Arial"/>
                <w:sz w:val="18"/>
                <w:szCs w:val="18"/>
                <w:color w:val="auto"/>
                <w:w w:val="91"/>
              </w:rPr>
              <w:t>(35.6)%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license restaurants</w:t>
            </w:r>
            <w:r>
              <w:rPr>
                <w:rFonts w:ascii="Arial" w:cs="Arial" w:eastAsia="Arial" w:hAnsi="Arial"/>
                <w:sz w:val="22"/>
                <w:szCs w:val="22"/>
                <w:color w:val="auto"/>
                <w:vertAlign w:val="superscript"/>
              </w:rPr>
              <w:t>(d)</w:t>
            </w: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80" w:type="dxa"/>
            <w:vAlign w:val="bottom"/>
            <w:gridSpan w:val="3"/>
          </w:tcPr>
          <w:p>
            <w:pPr>
              <w:spacing w:after="0" w:line="233"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2"/>
                <w:szCs w:val="22"/>
                <w:b w:val="1"/>
                <w:bCs w:val="1"/>
                <w:color w:val="auto"/>
                <w:vertAlign w:val="superscript"/>
              </w:rPr>
              <w:t>(b)</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5"/>
              </w:rPr>
              <w:t>(64.4)%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1"/>
              </w:rPr>
              <w:t>(39.2)%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ind w:left="200"/>
              <w:spacing w:after="0" w:line="225"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2"/>
                <w:szCs w:val="22"/>
                <w:color w:val="auto"/>
                <w:vertAlign w:val="superscript"/>
              </w:rPr>
              <w:t>(d)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393"/>
              <w:spacing w:after="0"/>
              <w:rPr>
                <w:sz w:val="20"/>
                <w:szCs w:val="20"/>
                <w:color w:val="auto"/>
              </w:rPr>
            </w:pPr>
            <w:r>
              <w:rPr>
                <w:rFonts w:ascii="Arial" w:cs="Arial" w:eastAsia="Arial" w:hAnsi="Arial"/>
                <w:sz w:val="18"/>
                <w:szCs w:val="18"/>
                <w:color w:val="auto"/>
                <w:w w:val="95"/>
              </w:rPr>
              <w:t>(58.9)%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2"/>
              <w:spacing w:after="0"/>
              <w:rPr>
                <w:sz w:val="20"/>
                <w:szCs w:val="20"/>
                <w:color w:val="auto"/>
              </w:rPr>
            </w:pPr>
            <w:r>
              <w:rPr>
                <w:rFonts w:ascii="Arial" w:cs="Arial" w:eastAsia="Arial" w:hAnsi="Arial"/>
                <w:sz w:val="18"/>
                <w:szCs w:val="18"/>
                <w:color w:val="auto"/>
                <w:w w:val="91"/>
              </w:rPr>
              <w:t>(35.4)%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Average weekly unit sales (in thousands)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spacing w:after="0" w:line="225"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2"/>
                <w:szCs w:val="22"/>
                <w:b w:val="1"/>
                <w:bCs w:val="1"/>
                <w:color w:val="auto"/>
                <w:vertAlign w:val="superscript"/>
              </w:rPr>
              <w:t>(b)</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2"/>
                <w:szCs w:val="22"/>
                <w:color w:val="auto"/>
                <w:vertAlign w:val="superscript"/>
              </w:rPr>
              <w:t>(c)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5"/>
              </w:rPr>
              <w:t>(63.3)%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1"/>
              </w:rPr>
              <w:t>(38.1)%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hanging="270"/>
        <w:spacing w:after="0" w:line="256" w:lineRule="auto"/>
        <w:tabs>
          <w:tab w:leader="none" w:pos="4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4" w:name="page35"/>
    <w:bookmarkEnd w:id="34"/>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right="160" w:hanging="314"/>
        <w:spacing w:after="0" w:line="292" w:lineRule="auto"/>
        <w:tabs>
          <w:tab w:leader="none" w:pos="4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08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06"/>
        </w:trPr>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r>
      <w:tr>
        <w:trPr>
          <w:trHeight w:val="157"/>
        </w:trPr>
        <w:tc>
          <w:tcPr>
            <w:tcW w:w="4460" w:type="dxa"/>
            <w:vAlign w:val="bottom"/>
            <w:gridSpan w:val="3"/>
          </w:tcPr>
          <w:p>
            <w:pPr>
              <w:spacing w:after="0" w:line="157" w:lineRule="exact"/>
              <w:rPr>
                <w:sz w:val="20"/>
                <w:szCs w:val="20"/>
                <w:color w:val="auto"/>
              </w:rPr>
            </w:pPr>
            <w:r>
              <w:rPr>
                <w:rFonts w:ascii="Arial" w:cs="Arial" w:eastAsia="Arial" w:hAnsi="Arial"/>
                <w:sz w:val="16"/>
                <w:szCs w:val="16"/>
                <w:b w:val="1"/>
                <w:bCs w:val="1"/>
                <w:color w:val="auto"/>
              </w:rPr>
              <w:t>ported sales (in millions)</w:t>
            </w:r>
          </w:p>
        </w:tc>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520"/>
              <w:spacing w:after="0" w:line="157" w:lineRule="exact"/>
              <w:rPr>
                <w:sz w:val="20"/>
                <w:szCs w:val="20"/>
                <w:color w:val="auto"/>
              </w:rPr>
            </w:pPr>
            <w:r>
              <w:rPr>
                <w:rFonts w:ascii="Arial" w:cs="Arial" w:eastAsia="Arial" w:hAnsi="Arial"/>
                <w:sz w:val="14"/>
                <w:szCs w:val="14"/>
                <w:b w:val="1"/>
                <w:bCs w:val="1"/>
                <w:color w:val="auto"/>
                <w:w w:val="95"/>
              </w:rPr>
              <w:t>(Unaudited)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10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pplebee's domestic franchise restaurant sales</w:t>
            </w:r>
          </w:p>
        </w:tc>
        <w:tc>
          <w:tcPr>
            <w:tcW w:w="19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1,062$.8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1,390.2</w:t>
            </w:r>
          </w:p>
        </w:tc>
      </w:tr>
      <w:tr>
        <w:trPr>
          <w:trHeight w:val="207"/>
        </w:trPr>
        <w:tc>
          <w:tcPr>
            <w:tcW w:w="4460" w:type="dxa"/>
            <w:vAlign w:val="bottom"/>
            <w:gridSpan w:val="3"/>
          </w:tcPr>
          <w:p>
            <w:pPr>
              <w:spacing w:after="0"/>
              <w:rPr>
                <w:sz w:val="20"/>
                <w:szCs w:val="20"/>
                <w:color w:val="auto"/>
              </w:rPr>
            </w:pPr>
            <w:r>
              <w:rPr>
                <w:rFonts w:ascii="Arial" w:cs="Arial" w:eastAsia="Arial" w:hAnsi="Arial"/>
                <w:sz w:val="16"/>
                <w:szCs w:val="16"/>
                <w:color w:val="auto"/>
              </w:rPr>
              <w:t>pplebee's company-operated restaurants</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29"/>
        </w:trPr>
        <w:tc>
          <w:tcPr>
            <w:tcW w:w="4460" w:type="dxa"/>
            <w:vAlign w:val="bottom"/>
            <w:gridSpan w:val="3"/>
          </w:tcPr>
          <w:p>
            <w:pPr>
              <w:ind w:left="60"/>
              <w:spacing w:after="0"/>
              <w:rPr>
                <w:sz w:val="20"/>
                <w:szCs w:val="20"/>
                <w:color w:val="auto"/>
              </w:rPr>
            </w:pPr>
            <w:r>
              <w:rPr>
                <w:rFonts w:ascii="Arial" w:cs="Arial" w:eastAsia="Arial" w:hAnsi="Arial"/>
                <w:sz w:val="16"/>
                <w:szCs w:val="16"/>
                <w:color w:val="auto"/>
              </w:rPr>
              <w:t>OP franchise restaurant sales</w:t>
            </w:r>
          </w:p>
        </w:tc>
        <w:tc>
          <w:tcPr>
            <w:tcW w:w="1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966.9</w:t>
            </w:r>
          </w:p>
        </w:tc>
      </w:tr>
      <w:tr>
        <w:trPr>
          <w:trHeight w:val="211"/>
        </w:trPr>
        <w:tc>
          <w:tcPr>
            <w:tcW w:w="4460" w:type="dxa"/>
            <w:vAlign w:val="bottom"/>
            <w:gridSpan w:val="3"/>
          </w:tcPr>
          <w:p>
            <w:pPr>
              <w:ind w:left="60"/>
              <w:spacing w:after="0"/>
              <w:rPr>
                <w:sz w:val="20"/>
                <w:szCs w:val="20"/>
                <w:color w:val="auto"/>
              </w:rPr>
            </w:pPr>
            <w:r>
              <w:rPr>
                <w:rFonts w:ascii="Arial" w:cs="Arial" w:eastAsia="Arial" w:hAnsi="Arial"/>
                <w:sz w:val="16"/>
                <w:szCs w:val="16"/>
                <w:color w:val="auto"/>
              </w:rPr>
              <w:t>OP area license restaurant sales</w:t>
            </w:r>
          </w:p>
        </w:tc>
        <w:tc>
          <w:tcPr>
            <w:tcW w:w="1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33"/>
        </w:trPr>
        <w:tc>
          <w:tcPr>
            <w:tcW w:w="100" w:type="dxa"/>
            <w:vAlign w:val="bottom"/>
          </w:tcPr>
          <w:p>
            <w:pPr>
              <w:spacing w:after="0"/>
              <w:rPr>
                <w:sz w:val="19"/>
                <w:szCs w:val="19"/>
                <w:color w:val="auto"/>
              </w:rPr>
            </w:pPr>
          </w:p>
        </w:tc>
        <w:tc>
          <w:tcPr>
            <w:tcW w:w="43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9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1,913$.9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797$.3</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3,533$.0</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2,495.6</w:t>
            </w:r>
          </w:p>
        </w:tc>
      </w:tr>
      <w:tr>
        <w:trPr>
          <w:trHeight w:val="20"/>
        </w:trPr>
        <w:tc>
          <w:tcPr>
            <w:tcW w:w="10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-453390</wp:posOffset>
            </wp:positionV>
            <wp:extent cx="693293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2930" cy="142875"/>
                    </a:xfrm>
                    <a:prstGeom prst="rect">
                      <a:avLst/>
                    </a:prstGeom>
                    <a:noFill/>
                  </pic:spPr>
                </pic:pic>
              </a:graphicData>
            </a:graphic>
          </wp:anchor>
        </w:drawing>
      </w:r>
    </w:p>
    <w:p>
      <w:pPr>
        <w:spacing w:after="0" w:line="262" w:lineRule="exact"/>
        <w:rPr>
          <w:sz w:val="20"/>
          <w:szCs w:val="20"/>
          <w:color w:val="auto"/>
        </w:rPr>
      </w:pPr>
    </w:p>
    <w:p>
      <w:pPr>
        <w:ind w:left="420" w:right="320" w:hanging="314"/>
        <w:spacing w:after="0" w:line="251" w:lineRule="auto"/>
        <w:tabs>
          <w:tab w:leader="none" w:pos="3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jc w:val="both"/>
        <w:ind w:left="420" w:hanging="314"/>
        <w:spacing w:after="0" w:line="297" w:lineRule="auto"/>
        <w:tabs>
          <w:tab w:leader="none" w:pos="451"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estaurant Development Activity</w:t>
            </w:r>
          </w:p>
        </w:tc>
        <w:tc>
          <w:tcPr>
            <w:tcW w:w="1280" w:type="dxa"/>
            <w:vAlign w:val="bottom"/>
          </w:tcPr>
          <w:p>
            <w:pPr>
              <w:spacing w:after="0"/>
              <w:rPr>
                <w:sz w:val="19"/>
                <w:szCs w:val="19"/>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660" w:type="dxa"/>
            <w:vAlign w:val="bottom"/>
            <w:gridSpan w:val="4"/>
          </w:tcPr>
          <w:p>
            <w:pPr>
              <w:ind w:left="8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4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plebee's</w:t>
            </w:r>
          </w:p>
        </w:tc>
        <w:tc>
          <w:tcPr>
            <w:tcW w:w="12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640"/>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mmary - beginning of period:</w:t>
            </w:r>
          </w:p>
        </w:tc>
        <w:tc>
          <w:tcPr>
            <w:tcW w:w="1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420" w:type="dxa"/>
            <w:vAlign w:val="bottom"/>
            <w:gridSpan w:val="2"/>
            <w:shd w:val="clear" w:color="auto" w:fill="CCEEFF"/>
          </w:tcPr>
          <w:p>
            <w:pPr>
              <w:jc w:val="right"/>
              <w:ind w:right="3480"/>
              <w:spacing w:after="0"/>
              <w:rPr>
                <w:sz w:val="20"/>
                <w:szCs w:val="20"/>
                <w:color w:val="auto"/>
              </w:rPr>
            </w:pPr>
            <w:r>
              <w:rPr>
                <w:rFonts w:ascii="Arial" w:cs="Arial" w:eastAsia="Arial" w:hAnsi="Arial"/>
                <w:sz w:val="18"/>
                <w:szCs w:val="18"/>
                <w:color w:val="auto"/>
              </w:rPr>
              <w:t>Franchise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420" w:type="dxa"/>
            <w:vAlign w:val="bottom"/>
            <w:gridSpan w:val="2"/>
          </w:tcPr>
          <w:p>
            <w:pPr>
              <w:jc w:val="right"/>
              <w:ind w:right="3480"/>
              <w:spacing w:after="0"/>
              <w:rPr>
                <w:sz w:val="20"/>
                <w:szCs w:val="20"/>
                <w:color w:val="auto"/>
              </w:rPr>
            </w:pPr>
            <w:r>
              <w:rPr>
                <w:rFonts w:ascii="Arial" w:cs="Arial" w:eastAsia="Arial" w:hAnsi="Arial"/>
                <w:sz w:val="18"/>
                <w:szCs w:val="18"/>
                <w:color w:val="auto"/>
              </w:rPr>
              <w:t>Company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ginning of period</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anchise restaurants opened:</w:t>
            </w:r>
          </w:p>
        </w:tc>
        <w:tc>
          <w:tcPr>
            <w:tcW w:w="1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franchise restaurants opened</w:t>
            </w:r>
          </w:p>
        </w:tc>
        <w:tc>
          <w:tcPr>
            <w:tcW w:w="12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20" w:type="dxa"/>
            <w:vAlign w:val="bottom"/>
            <w:gridSpan w:val="3"/>
          </w:tcPr>
          <w:p>
            <w:pPr>
              <w:spacing w:after="0"/>
              <w:rPr>
                <w:sz w:val="20"/>
                <w:szCs w:val="20"/>
                <w:color w:val="auto"/>
              </w:rPr>
            </w:pPr>
            <w:r>
              <w:rPr>
                <w:rFonts w:ascii="Arial" w:cs="Arial" w:eastAsia="Arial" w:hAnsi="Arial"/>
                <w:sz w:val="18"/>
                <w:szCs w:val="18"/>
                <w:color w:val="auto"/>
              </w:rPr>
              <w:t>anchise restaurants permanently closed:</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franchise restaurants permanently closed</w:t>
            </w:r>
          </w:p>
        </w:tc>
        <w:tc>
          <w:tcPr>
            <w:tcW w:w="12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520" w:type="dxa"/>
            <w:vAlign w:val="bottom"/>
            <w:gridSpan w:val="3"/>
          </w:tcPr>
          <w:p>
            <w:pPr>
              <w:ind w:left="20"/>
              <w:spacing w:after="0" w:line="192" w:lineRule="exact"/>
              <w:rPr>
                <w:sz w:val="20"/>
                <w:szCs w:val="20"/>
                <w:color w:val="auto"/>
              </w:rPr>
            </w:pPr>
            <w:r>
              <w:rPr>
                <w:rFonts w:ascii="Arial" w:cs="Arial" w:eastAsia="Arial" w:hAnsi="Arial"/>
                <w:sz w:val="18"/>
                <w:szCs w:val="18"/>
                <w:b w:val="1"/>
                <w:bCs w:val="1"/>
                <w:color w:val="auto"/>
              </w:rPr>
              <w:t>t franchise restaurant reduction</w:t>
            </w:r>
          </w:p>
        </w:tc>
        <w:tc>
          <w:tcPr>
            <w:tcW w:w="1280" w:type="dxa"/>
            <w:vAlign w:val="bottom"/>
          </w:tcPr>
          <w:p>
            <w:pPr>
              <w:spacing w:after="0"/>
              <w:rPr>
                <w:sz w:val="16"/>
                <w:szCs w:val="16"/>
                <w:color w:val="auto"/>
              </w:rPr>
            </w:pPr>
          </w:p>
        </w:tc>
        <w:tc>
          <w:tcPr>
            <w:tcW w:w="1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39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mmary - end of period:</w:t>
            </w:r>
          </w:p>
        </w:tc>
        <w:tc>
          <w:tcPr>
            <w:tcW w:w="12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420" w:type="dxa"/>
            <w:vAlign w:val="bottom"/>
            <w:gridSpan w:val="2"/>
            <w:shd w:val="clear" w:color="auto" w:fill="CCEEFF"/>
          </w:tcPr>
          <w:p>
            <w:pPr>
              <w:jc w:val="right"/>
              <w:ind w:right="3480"/>
              <w:spacing w:after="0"/>
              <w:rPr>
                <w:sz w:val="20"/>
                <w:szCs w:val="20"/>
                <w:color w:val="auto"/>
              </w:rPr>
            </w:pPr>
            <w:r>
              <w:rPr>
                <w:rFonts w:ascii="Arial" w:cs="Arial" w:eastAsia="Arial" w:hAnsi="Arial"/>
                <w:sz w:val="18"/>
                <w:szCs w:val="18"/>
                <w:color w:val="auto"/>
              </w:rPr>
              <w:t>Franchise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420" w:type="dxa"/>
            <w:vAlign w:val="bottom"/>
            <w:gridSpan w:val="2"/>
          </w:tcPr>
          <w:p>
            <w:pPr>
              <w:jc w:val="right"/>
              <w:ind w:right="3480"/>
              <w:spacing w:after="0"/>
              <w:rPr>
                <w:sz w:val="20"/>
                <w:szCs w:val="20"/>
                <w:color w:val="auto"/>
              </w:rPr>
            </w:pPr>
            <w:r>
              <w:rPr>
                <w:rFonts w:ascii="Arial" w:cs="Arial" w:eastAsia="Arial" w:hAnsi="Arial"/>
                <w:sz w:val="18"/>
                <w:szCs w:val="18"/>
                <w:color w:val="auto"/>
              </w:rPr>
              <w:t>Company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tal Applebee's restaurants, end of period</w:t>
            </w:r>
          </w:p>
        </w:tc>
        <w:tc>
          <w:tcPr>
            <w:tcW w:w="128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w:t>
            </w:r>
          </w:p>
        </w:tc>
        <w:tc>
          <w:tcPr>
            <w:tcW w:w="12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1,749</w:t>
            </w:r>
          </w:p>
        </w:tc>
        <w:tc>
          <w:tcPr>
            <w:tcW w:w="12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w:t>
            </w:r>
          </w:p>
        </w:tc>
        <w:tc>
          <w:tcPr>
            <w:tcW w:w="1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420" w:type="dxa"/>
            <w:vAlign w:val="bottom"/>
            <w:gridSpan w:val="2"/>
          </w:tcPr>
          <w:p>
            <w:pPr>
              <w:jc w:val="right"/>
              <w:ind w:right="3460"/>
              <w:spacing w:after="0"/>
              <w:rPr>
                <w:sz w:val="20"/>
                <w:szCs w:val="20"/>
                <w:color w:val="auto"/>
              </w:rPr>
            </w:pPr>
            <w:r>
              <w:rPr>
                <w:rFonts w:ascii="Arial" w:cs="Arial" w:eastAsia="Arial" w:hAnsi="Arial"/>
                <w:sz w:val="16"/>
                <w:szCs w:val="16"/>
                <w:color w:val="auto"/>
              </w:rPr>
              <w:t>Domestic</w:t>
            </w:r>
          </w:p>
        </w:tc>
        <w:tc>
          <w:tcPr>
            <w:tcW w:w="2600" w:type="dxa"/>
            <w:vAlign w:val="bottom"/>
            <w:gridSpan w:val="2"/>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7"/>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0" w:type="dxa"/>
            <w:vAlign w:val="bottom"/>
            <w:gridSpan w:val="2"/>
          </w:tcPr>
          <w:p>
            <w:pPr>
              <w:jc w:val="right"/>
              <w:ind w:right="12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-1101725</wp:posOffset>
            </wp:positionV>
            <wp:extent cx="6932930"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2930" cy="16827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5" w:name="page36"/>
    <w:bookmarkEnd w:id="35"/>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staurant Development Activity</w:t>
            </w:r>
          </w:p>
        </w:tc>
        <w:tc>
          <w:tcPr>
            <w:tcW w:w="282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4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04"/>
        </w:trPr>
        <w:tc>
          <w:tcPr>
            <w:tcW w:w="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4"/>
              </w:rPr>
              <w:t>OP</w:t>
            </w:r>
          </w:p>
        </w:tc>
        <w:tc>
          <w:tcPr>
            <w:tcW w:w="5540" w:type="dxa"/>
            <w:vAlign w:val="bottom"/>
            <w:vMerge w:val="restart"/>
          </w:tcPr>
          <w:p>
            <w:pPr>
              <w:spacing w:after="0"/>
              <w:rPr>
                <w:sz w:val="17"/>
                <w:szCs w:val="17"/>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3"/>
        </w:trPr>
        <w:tc>
          <w:tcPr>
            <w:tcW w:w="260" w:type="dxa"/>
            <w:vAlign w:val="bottom"/>
            <w:tcBorders>
              <w:bottom w:val="single" w:sz="8" w:color="auto"/>
            </w:tcBorders>
            <w:gridSpan w:val="2"/>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mmary - beginning of period:</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Area license</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tal IHOP restaurants, beginning of period</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1,772</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anchise/area license restaurants opened:</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0" w:type="dxa"/>
            <w:vAlign w:val="bottom"/>
            <w:gridSpan w:val="3"/>
            <w:vMerge w:val="continue"/>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Domestic area license</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franchise/area license restaurants opened</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5800" w:type="dxa"/>
            <w:vAlign w:val="bottom"/>
            <w:gridSpan w:val="3"/>
          </w:tcPr>
          <w:p>
            <w:pPr>
              <w:spacing w:after="0"/>
              <w:rPr>
                <w:sz w:val="20"/>
                <w:szCs w:val="20"/>
                <w:color w:val="auto"/>
              </w:rPr>
            </w:pPr>
            <w:r>
              <w:rPr>
                <w:rFonts w:ascii="Arial" w:cs="Arial" w:eastAsia="Arial" w:hAnsi="Arial"/>
                <w:sz w:val="18"/>
                <w:szCs w:val="18"/>
                <w:color w:val="auto"/>
              </w:rPr>
              <w:t>anchise/area license restaurants permanently closed: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Domestic area license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franchise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 area license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9"/>
                <w:szCs w:val="19"/>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franchise/area license restaurants permanently closed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9"/>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t franchise/area license restaurant reduction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franchised by the Company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00" w:type="dxa"/>
            <w:vAlign w:val="bottom"/>
            <w:gridSpan w:val="3"/>
          </w:tcPr>
          <w:p>
            <w:pPr>
              <w:spacing w:after="0"/>
              <w:rPr>
                <w:sz w:val="20"/>
                <w:szCs w:val="20"/>
                <w:color w:val="auto"/>
              </w:rPr>
            </w:pPr>
            <w:r>
              <w:rPr>
                <w:rFonts w:ascii="Arial" w:cs="Arial" w:eastAsia="Arial" w:hAnsi="Arial"/>
                <w:sz w:val="18"/>
                <w:szCs w:val="18"/>
                <w:color w:val="auto"/>
              </w:rPr>
              <w:t>anchise restaurants reacquired by the Company</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0" w:type="dxa"/>
            <w:vAlign w:val="bottom"/>
          </w:tcPr>
          <w:p>
            <w:pPr>
              <w:ind w:left="20"/>
              <w:spacing w:after="0"/>
              <w:rPr>
                <w:sz w:val="20"/>
                <w:szCs w:val="20"/>
                <w:color w:val="auto"/>
              </w:rPr>
            </w:pPr>
            <w:r>
              <w:rPr>
                <w:rFonts w:ascii="Arial" w:cs="Arial" w:eastAsia="Arial" w:hAnsi="Arial"/>
                <w:sz w:val="18"/>
                <w:szCs w:val="18"/>
                <w:b w:val="1"/>
                <w:bCs w:val="1"/>
                <w:color w:val="auto"/>
                <w:w w:val="99"/>
              </w:rPr>
              <w:t>t</w:t>
            </w:r>
          </w:p>
        </w:tc>
        <w:tc>
          <w:tcPr>
            <w:tcW w:w="5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reduction in franchise/area license restaurants</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mmary - end of period:</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gridSpan w:val="3"/>
            <w:vMerge w:val="continue"/>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Area license</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tal IHOP restaurants, end of period</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Domestic</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13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100" w:firstLine="318"/>
        <w:spacing w:after="0" w:line="252" w:lineRule="auto"/>
        <w:rPr>
          <w:sz w:val="20"/>
          <w:szCs w:val="20"/>
          <w:color w:val="auto"/>
        </w:rPr>
      </w:pPr>
      <w:r>
        <w:rPr>
          <w:rFonts w:ascii="Arial" w:cs="Arial" w:eastAsia="Arial" w:hAnsi="Arial"/>
          <w:sz w:val="18"/>
          <w:szCs w:val="18"/>
          <w:color w:val="auto"/>
        </w:rPr>
        <w:t>The restaurant counts and activity presented above do not include two domestic Applebee's ghost kitchens (small kitchens with no store-front presence, used to fill off-premise orders), one international Applebee's ghost kitchen and three international IHOP ghost kitchens. The Applebee's franchise restaurant count at the beginning of the six-month period ended June 30, 2021 was adjusted downward by two restaurants, representing two ghost kitchens that had been included in the total reported count as of December 31, 2020.</w:t>
      </w:r>
    </w:p>
    <w:p>
      <w:pPr>
        <w:spacing w:after="0" w:line="217" w:lineRule="exact"/>
        <w:rPr>
          <w:sz w:val="20"/>
          <w:szCs w:val="20"/>
          <w:color w:val="auto"/>
        </w:rPr>
      </w:pPr>
    </w:p>
    <w:p>
      <w:pPr>
        <w:ind w:left="100" w:right="60" w:firstLine="318"/>
        <w:spacing w:after="0" w:line="277" w:lineRule="auto"/>
        <w:rPr>
          <w:sz w:val="20"/>
          <w:szCs w:val="20"/>
          <w:color w:val="auto"/>
        </w:rPr>
      </w:pPr>
      <w:r>
        <w:rPr>
          <w:rFonts w:ascii="Arial" w:cs="Arial" w:eastAsia="Arial" w:hAnsi="Arial"/>
          <w:sz w:val="17"/>
          <w:szCs w:val="17"/>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198" w:lineRule="exact"/>
        <w:rPr>
          <w:sz w:val="20"/>
          <w:szCs w:val="20"/>
          <w:color w:val="auto"/>
        </w:rPr>
      </w:pPr>
    </w:p>
    <w:p>
      <w:pPr>
        <w:ind w:left="100" w:right="200" w:firstLine="318"/>
        <w:spacing w:after="0" w:line="252" w:lineRule="auto"/>
        <w:rPr>
          <w:sz w:val="20"/>
          <w:szCs w:val="20"/>
          <w:color w:val="auto"/>
        </w:rPr>
      </w:pPr>
      <w:r>
        <w:rPr>
          <w:rFonts w:ascii="Arial" w:cs="Arial" w:eastAsia="Arial" w:hAnsi="Arial"/>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220" w:top="121" w:right="39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Six Months ended June 30, 2021 and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26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Favorable</w:t>
            </w:r>
          </w:p>
        </w:tc>
        <w:tc>
          <w:tcPr>
            <w:tcW w:w="30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108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Favorable</w:t>
            </w:r>
          </w:p>
        </w:tc>
      </w:tr>
      <w:tr>
        <w:trPr>
          <w:trHeight w:val="26"/>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jc w:val="center"/>
              <w:ind w:right="260"/>
              <w:spacing w:after="0" w:line="27" w:lineRule="exact"/>
              <w:rPr>
                <w:sz w:val="20"/>
                <w:szCs w:val="20"/>
                <w:color w:val="auto"/>
              </w:rPr>
            </w:pPr>
            <w:r>
              <w:rPr>
                <w:rFonts w:ascii="Arial" w:cs="Arial" w:eastAsia="Arial" w:hAnsi="Arial"/>
                <w:sz w:val="3"/>
                <w:szCs w:val="3"/>
                <w:b w:val="1"/>
                <w:bCs w:val="1"/>
                <w:color w:val="auto"/>
              </w:rPr>
              <w:t>(Unfavorable)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jc w:val="center"/>
              <w:ind w:right="65"/>
              <w:spacing w:after="0" w:line="27" w:lineRule="exact"/>
              <w:rPr>
                <w:sz w:val="20"/>
                <w:szCs w:val="20"/>
                <w:color w:val="auto"/>
              </w:rPr>
            </w:pPr>
            <w:r>
              <w:rPr>
                <w:rFonts w:ascii="Arial" w:cs="Arial" w:eastAsia="Arial" w:hAnsi="Arial"/>
                <w:sz w:val="3"/>
                <w:szCs w:val="3"/>
                <w:b w:val="1"/>
                <w:bCs w:val="1"/>
                <w:color w:val="auto"/>
              </w:rPr>
              <w:t>(Unfavorable)</w:t>
            </w: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Variance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Variance</w:t>
            </w:r>
          </w:p>
        </w:tc>
      </w:tr>
      <w:tr>
        <w:trPr>
          <w:trHeight w:val="201"/>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1"/>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166.9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5"/>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6"/>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5"/>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9"/>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233.6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437.8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112.9 %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38.3 %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32"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Total revenue for the three and six months ended June 30, 2021 increased significantly compared with the same periods of the prior year. As discussed under “</w:t>
      </w:r>
      <w:r>
        <w:rPr>
          <w:rFonts w:ascii="Arial" w:cs="Arial" w:eastAsia="Arial" w:hAnsi="Arial"/>
          <w:sz w:val="15"/>
          <w:szCs w:val="15"/>
          <w:i w:val="1"/>
          <w:iCs w:val="1"/>
          <w:color w:val="auto"/>
        </w:rPr>
        <w:t>Events Impacting the Comparability of Financial Information</w:t>
      </w:r>
      <w:r>
        <w:rPr>
          <w:rFonts w:ascii="Arial" w:cs="Arial" w:eastAsia="Arial" w:hAnsi="Arial"/>
          <w:sz w:val="15"/>
          <w:szCs w:val="15"/>
          <w:color w:val="auto"/>
        </w:rPr>
        <w:t>,” the operating capacity of our restaurants during the respective 2020 periods was severely restricted after the first week of March 2020 as federal, state, local and international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During the respective 2021 periods, many governmental authorities had relaxed or eliminated restrictions on restaurant operations in response to declines in the number of COVID-19 infections, the availability of vaccines and an increase of the number of vaccinated individuals within their respective jurisdictions. This had a favorable impact on same-restaurant sales and customer traffic in our franchise and company restaurant operations as well as a favorable impact on rental revenue based on a percentage of franchisees' retail sales.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220" w:type="dxa"/>
            <w:vAlign w:val="bottom"/>
          </w:tcPr>
          <w:p>
            <w:pPr>
              <w:spacing w:after="0"/>
              <w:rPr>
                <w:sz w:val="18"/>
                <w:szCs w:val="18"/>
                <w:color w:val="auto"/>
              </w:rPr>
            </w:pPr>
          </w:p>
        </w:tc>
        <w:tc>
          <w:tcPr>
            <w:tcW w:w="25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Favorable</w:t>
            </w:r>
          </w:p>
        </w:tc>
        <w:tc>
          <w:tcPr>
            <w:tcW w:w="30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300"/>
              <w:spacing w:after="0" w:line="93" w:lineRule="exact"/>
              <w:rPr>
                <w:sz w:val="20"/>
                <w:szCs w:val="20"/>
                <w:color w:val="auto"/>
              </w:rPr>
            </w:pPr>
            <w:r>
              <w:rPr>
                <w:rFonts w:ascii="Arial" w:cs="Arial" w:eastAsia="Arial" w:hAnsi="Arial"/>
                <w:sz w:val="10"/>
                <w:szCs w:val="10"/>
                <w:b w:val="1"/>
                <w:bCs w:val="1"/>
                <w:color w:val="auto"/>
              </w:rPr>
              <w:t>(Unfavorable)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center"/>
              <w:ind w:right="61"/>
              <w:spacing w:after="0" w:line="93" w:lineRule="exact"/>
              <w:rPr>
                <w:sz w:val="20"/>
                <w:szCs w:val="20"/>
                <w:color w:val="auto"/>
              </w:rPr>
            </w:pPr>
            <w:r>
              <w:rPr>
                <w:rFonts w:ascii="Arial" w:cs="Arial" w:eastAsia="Arial" w:hAnsi="Arial"/>
                <w:sz w:val="10"/>
                <w:szCs w:val="10"/>
                <w:b w:val="1"/>
                <w:bCs w:val="1"/>
                <w:color w:val="auto"/>
              </w:rPr>
              <w:t>(Unfavorable)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Variance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87.7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Rental operations</w:t>
            </w:r>
          </w:p>
        </w:tc>
        <w:tc>
          <w:tcPr>
            <w:tcW w:w="22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restaurant operations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Financing operations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1"/>
              </w:rPr>
              <w:t>(0.2)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2"/>
          </w:tcPr>
          <w:p>
            <w:pPr>
              <w:spacing w:after="0" w:line="198" w:lineRule="exact"/>
              <w:rPr>
                <w:sz w:val="20"/>
                <w:szCs w:val="20"/>
                <w:color w:val="auto"/>
              </w:rPr>
            </w:pPr>
            <w:r>
              <w:rPr>
                <w:rFonts w:ascii="Arial" w:cs="Arial" w:eastAsia="Arial" w:hAnsi="Arial"/>
                <w:sz w:val="18"/>
                <w:szCs w:val="18"/>
                <w:color w:val="auto"/>
              </w:rPr>
              <w:t>Change vs. prior 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228.3 %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60.8 %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auto"/>
        </w:rPr>
        <w:t>Total gross profit for the three and six months ended June 30, 2021 increased compared with the same periods of the prior year, primarily due to the increased revenue from franchise, company-operated restaurant and rental operations as well as lower bad debt expense in franchise operations. Favorable changes to the aging status of certain franchisee receivables resulted in a downward revision of estimated reserve requirements.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Franchise</w:t>
            </w:r>
          </w:p>
        </w:tc>
        <w:tc>
          <w:tcPr>
            <w:tcW w:w="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Favorable</w:t>
            </w:r>
          </w:p>
        </w:tc>
        <w:tc>
          <w:tcPr>
            <w:tcW w:w="6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6"/>
                <w:szCs w:val="16"/>
                <w:b w:val="1"/>
                <w:bCs w:val="1"/>
                <w:color w:val="auto"/>
              </w:rPr>
              <w:t>Six months ended June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Favorab</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tcPr>
          <w:p>
            <w:pPr>
              <w:ind w:left="160"/>
              <w:spacing w:after="0" w:line="106" w:lineRule="exact"/>
              <w:rPr>
                <w:sz w:val="20"/>
                <w:szCs w:val="20"/>
                <w:color w:val="auto"/>
              </w:rPr>
            </w:pPr>
            <w:r>
              <w:rPr>
                <w:rFonts w:ascii="Arial" w:cs="Arial" w:eastAsia="Arial" w:hAnsi="Arial"/>
                <w:sz w:val="12"/>
                <w:szCs w:val="12"/>
                <w:b w:val="1"/>
                <w:bCs w:val="1"/>
                <w:color w:val="auto"/>
              </w:rPr>
              <w:t>(Unfavorable)</w:t>
            </w: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(Unfavorable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80" w:type="dxa"/>
            <w:vAlign w:val="bottom"/>
            <w:gridSpan w:val="4"/>
          </w:tcPr>
          <w:p>
            <w:pPr>
              <w:spacing w:after="0" w:line="152" w:lineRule="exact"/>
              <w:rPr>
                <w:sz w:val="20"/>
                <w:szCs w:val="20"/>
                <w:color w:val="auto"/>
              </w:rPr>
            </w:pPr>
            <w:r>
              <w:rPr>
                <w:rFonts w:ascii="Arial" w:cs="Arial" w:eastAsia="Arial" w:hAnsi="Arial"/>
                <w:sz w:val="17"/>
                <w:szCs w:val="17"/>
                <w:b w:val="1"/>
                <w:bCs w:val="1"/>
                <w:color w:val="auto"/>
              </w:rPr>
              <w:t>Operations</w:t>
            </w:r>
          </w:p>
        </w:tc>
        <w:tc>
          <w:tcPr>
            <w:tcW w:w="560" w:type="dxa"/>
            <w:vAlign w:val="bottom"/>
          </w:tcPr>
          <w:p>
            <w:pPr>
              <w:spacing w:after="0"/>
              <w:rPr>
                <w:sz w:val="13"/>
                <w:szCs w:val="13"/>
                <w:color w:val="auto"/>
              </w:rPr>
            </w:pPr>
          </w:p>
        </w:tc>
        <w:tc>
          <w:tcPr>
            <w:tcW w:w="74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jc w:val="right"/>
              <w:ind w:right="72"/>
              <w:spacing w:after="0" w:line="152"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ind w:left="300"/>
              <w:spacing w:after="0" w:line="152" w:lineRule="exact"/>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3"/>
                <w:szCs w:val="13"/>
                <w:color w:val="auto"/>
              </w:rPr>
            </w:pPr>
          </w:p>
        </w:tc>
        <w:tc>
          <w:tcPr>
            <w:tcW w:w="920" w:type="dxa"/>
            <w:vAlign w:val="bottom"/>
          </w:tcPr>
          <w:p>
            <w:pPr>
              <w:jc w:val="right"/>
              <w:ind w:right="273"/>
              <w:spacing w:after="0" w:line="152"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ind w:right="112"/>
              <w:spacing w:after="0" w:line="152" w:lineRule="exact"/>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320"/>
              <w:spacing w:after="0" w:line="152" w:lineRule="exact"/>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w w:val="91"/>
              </w:rPr>
              <w:t>(In millions, except number of restaurants)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3"/>
          </w:tcPr>
          <w:p>
            <w:pPr>
              <w:spacing w:after="0" w:line="175" w:lineRule="exact"/>
              <w:rPr>
                <w:sz w:val="20"/>
                <w:szCs w:val="20"/>
                <w:color w:val="auto"/>
              </w:rPr>
            </w:pPr>
            <w:r>
              <w:rPr>
                <w:rFonts w:ascii="Arial" w:cs="Arial" w:eastAsia="Arial" w:hAnsi="Arial"/>
                <w:sz w:val="18"/>
                <w:szCs w:val="18"/>
                <w:color w:val="auto"/>
              </w:rPr>
              <w:t>Effective</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80" w:type="dxa"/>
            <w:vAlign w:val="bottom"/>
            <w:gridSpan w:val="4"/>
          </w:tcPr>
          <w:p>
            <w:pPr>
              <w:spacing w:after="0" w:line="172" w:lineRule="exact"/>
              <w:rPr>
                <w:sz w:val="20"/>
                <w:szCs w:val="20"/>
                <w:color w:val="auto"/>
              </w:rPr>
            </w:pPr>
            <w:r>
              <w:rPr>
                <w:rFonts w:ascii="Arial" w:cs="Arial" w:eastAsia="Arial" w:hAnsi="Arial"/>
                <w:sz w:val="18"/>
                <w:szCs w:val="18"/>
                <w:color w:val="auto"/>
              </w:rPr>
              <w:t>Franchise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Restaurants:</w:t>
            </w:r>
            <w:r>
              <w:rPr>
                <w:rFonts w:ascii="Arial" w:cs="Arial" w:eastAsia="Arial" w:hAnsi="Arial"/>
                <w:sz w:val="10"/>
                <w:szCs w:val="10"/>
                <w:color w:val="auto"/>
              </w:rPr>
              <w:t>(1)</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5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1,623</w:t>
            </w: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1,527</w:t>
            </w: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1,625</w:t>
            </w:r>
          </w:p>
        </w:tc>
        <w:tc>
          <w:tcPr>
            <w:tcW w:w="2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1,612</w:t>
            </w:r>
          </w:p>
        </w:tc>
        <w:tc>
          <w:tcPr>
            <w:tcW w:w="3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CCEEFF"/>
              <w:bottom w:val="single" w:sz="8" w:color="CCEEFF"/>
            </w:tcBorders>
            <w:gridSpan w:val="4"/>
            <w:vMerge w:val="restart"/>
          </w:tcPr>
          <w:p>
            <w:pPr>
              <w:ind w:left="240"/>
              <w:spacing w:after="0"/>
              <w:rPr>
                <w:sz w:val="20"/>
                <w:szCs w:val="20"/>
                <w:color w:val="auto"/>
              </w:rPr>
            </w:pPr>
            <w:r>
              <w:rPr>
                <w:rFonts w:ascii="Arial" w:cs="Arial" w:eastAsia="Arial" w:hAnsi="Arial"/>
                <w:sz w:val="18"/>
                <w:szCs w:val="18"/>
                <w:color w:val="auto"/>
              </w:rPr>
              <w:t>IHOP</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3"/>
              <w:spacing w:after="0" w:line="198" w:lineRule="exact"/>
              <w:rPr>
                <w:sz w:val="20"/>
                <w:szCs w:val="20"/>
                <w:color w:val="auto"/>
              </w:rPr>
            </w:pPr>
            <w:r>
              <w:rPr>
                <w:rFonts w:ascii="Arial" w:cs="Arial" w:eastAsia="Arial" w:hAnsi="Arial"/>
                <w:sz w:val="18"/>
                <w:szCs w:val="18"/>
                <w:color w:val="auto"/>
              </w:rPr>
              <w:t>1,723</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rPr>
              <w:t>1,519</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line="198" w:lineRule="exact"/>
              <w:rPr>
                <w:sz w:val="20"/>
                <w:szCs w:val="20"/>
                <w:color w:val="auto"/>
              </w:rPr>
            </w:pPr>
            <w:r>
              <w:rPr>
                <w:rFonts w:ascii="Arial" w:cs="Arial" w:eastAsia="Arial" w:hAnsi="Arial"/>
                <w:sz w:val="18"/>
                <w:szCs w:val="18"/>
                <w:color w:val="auto"/>
              </w:rPr>
              <w:t>1,722</w:t>
            </w: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rPr>
              <w:t>1,663</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8"/>
                <w:szCs w:val="18"/>
                <w:color w:val="auto"/>
              </w:rPr>
              <w:t>Franchise</w:t>
            </w: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Applebee’s</w:t>
            </w: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19.9</w:t>
            </w:r>
          </w:p>
        </w:tc>
        <w:tc>
          <w:tcPr>
            <w:tcW w:w="86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57.7</w:t>
            </w:r>
          </w:p>
        </w:tc>
        <w:tc>
          <w:tcPr>
            <w:tcW w:w="8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franchise fees</w:t>
            </w:r>
          </w:p>
        </w:tc>
        <w:tc>
          <w:tcPr>
            <w:tcW w:w="5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3"/>
          </w:tcPr>
          <w:p>
            <w:pPr>
              <w:ind w:left="200"/>
              <w:spacing w:after="0" w:line="173" w:lineRule="exact"/>
              <w:rPr>
                <w:sz w:val="20"/>
                <w:szCs w:val="20"/>
                <w:color w:val="auto"/>
              </w:rPr>
            </w:pPr>
            <w:r>
              <w:rPr>
                <w:rFonts w:ascii="Arial" w:cs="Arial" w:eastAsia="Arial" w:hAnsi="Arial"/>
                <w:sz w:val="18"/>
                <w:szCs w:val="18"/>
                <w:color w:val="auto"/>
              </w:rPr>
              <w:t>IHOP</w:t>
            </w:r>
          </w:p>
        </w:tc>
        <w:tc>
          <w:tcPr>
            <w:tcW w:w="560" w:type="dxa"/>
            <w:vAlign w:val="bottom"/>
          </w:tcPr>
          <w:p>
            <w:pPr>
              <w:spacing w:after="0"/>
              <w:rPr>
                <w:sz w:val="15"/>
                <w:szCs w:val="15"/>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auto"/>
              </w:rPr>
              <w:t>64.4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gridSpan w:val="4"/>
          </w:tcPr>
          <w:p>
            <w:pPr>
              <w:ind w:left="200"/>
              <w:spacing w:after="0"/>
              <w:rPr>
                <w:sz w:val="20"/>
                <w:szCs w:val="20"/>
                <w:color w:val="auto"/>
              </w:rPr>
            </w:pPr>
            <w:r>
              <w:rPr>
                <w:rFonts w:ascii="Arial" w:cs="Arial" w:eastAsia="Arial" w:hAnsi="Arial"/>
                <w:sz w:val="18"/>
                <w:szCs w:val="18"/>
                <w:color w:val="auto"/>
              </w:rPr>
              <w:t>franchise fees</w:t>
            </w:r>
          </w:p>
        </w:tc>
        <w:tc>
          <w:tcPr>
            <w:tcW w:w="5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Advertising</w:t>
            </w:r>
          </w:p>
        </w:tc>
        <w:tc>
          <w:tcPr>
            <w:tcW w:w="5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spacing w:after="0" w:line="154" w:lineRule="exact"/>
              <w:rPr>
                <w:sz w:val="20"/>
                <w:szCs w:val="20"/>
                <w:color w:val="auto"/>
              </w:rPr>
            </w:pPr>
            <w:r>
              <w:rPr>
                <w:rFonts w:ascii="Arial" w:cs="Arial" w:eastAsia="Arial" w:hAnsi="Arial"/>
                <w:sz w:val="17"/>
                <w:szCs w:val="17"/>
                <w:color w:val="auto"/>
              </w:rPr>
              <w:t>Total franchise</w:t>
            </w:r>
          </w:p>
        </w:tc>
        <w:tc>
          <w:tcPr>
            <w:tcW w:w="560" w:type="dxa"/>
            <w:vAlign w:val="bottom"/>
          </w:tcPr>
          <w:p>
            <w:pPr>
              <w:spacing w:after="0"/>
              <w:rPr>
                <w:sz w:val="13"/>
                <w:szCs w:val="13"/>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8"/>
                <w:szCs w:val="18"/>
                <w:color w:val="auto"/>
              </w:rPr>
              <w:t>167.0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67.9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307.9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auto"/>
              </w:rPr>
              <w:t>212.9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spacing w:after="0" w:line="154" w:lineRule="exact"/>
              <w:rPr>
                <w:sz w:val="20"/>
                <w:szCs w:val="20"/>
                <w:color w:val="auto"/>
              </w:rPr>
            </w:pPr>
            <w:r>
              <w:rPr>
                <w:rFonts w:ascii="Arial" w:cs="Arial" w:eastAsia="Arial" w:hAnsi="Arial"/>
                <w:sz w:val="17"/>
                <w:szCs w:val="17"/>
                <w:color w:val="auto"/>
              </w:rPr>
              <w:t>Franchise</w:t>
            </w: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IHOP</w:t>
            </w:r>
          </w:p>
        </w:tc>
        <w:tc>
          <w:tcPr>
            <w:tcW w:w="56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200"/>
              <w:spacing w:after="0" w:line="174" w:lineRule="exact"/>
              <w:rPr>
                <w:sz w:val="20"/>
                <w:szCs w:val="20"/>
                <w:color w:val="auto"/>
              </w:rPr>
            </w:pPr>
            <w:r>
              <w:rPr>
                <w:rFonts w:ascii="Arial" w:cs="Arial" w:eastAsia="Arial" w:hAnsi="Arial"/>
                <w:sz w:val="18"/>
                <w:szCs w:val="18"/>
                <w:color w:val="auto"/>
              </w:rPr>
              <w:t>Advertising</w:t>
            </w:r>
          </w:p>
        </w:tc>
        <w:tc>
          <w:tcPr>
            <w:tcW w:w="5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90.8</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spacing w:after="0" w:line="154" w:lineRule="exact"/>
              <w:rPr>
                <w:sz w:val="20"/>
                <w:szCs w:val="20"/>
                <w:color w:val="auto"/>
              </w:rPr>
            </w:pPr>
            <w:r>
              <w:rPr>
                <w:rFonts w:ascii="Arial" w:cs="Arial" w:eastAsia="Arial" w:hAnsi="Arial"/>
                <w:sz w:val="17"/>
                <w:szCs w:val="17"/>
                <w:color w:val="auto"/>
              </w:rPr>
              <w:t>Total franchise</w:t>
            </w:r>
          </w:p>
        </w:tc>
        <w:tc>
          <w:tcPr>
            <w:tcW w:w="560" w:type="dxa"/>
            <w:vAlign w:val="bottom"/>
          </w:tcPr>
          <w:p>
            <w:pPr>
              <w:spacing w:after="0"/>
              <w:rPr>
                <w:sz w:val="13"/>
                <w:szCs w:val="13"/>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8"/>
                <w:szCs w:val="18"/>
                <w:color w:val="auto"/>
              </w:rPr>
              <w:t>79.3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auto"/>
              </w:rPr>
              <w:t>106.5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tcPr>
          <w:p>
            <w:pPr>
              <w:spacing w:after="0" w:line="154" w:lineRule="exact"/>
              <w:rPr>
                <w:sz w:val="20"/>
                <w:szCs w:val="20"/>
                <w:color w:val="auto"/>
              </w:rPr>
            </w:pPr>
            <w:r>
              <w:rPr>
                <w:rFonts w:ascii="Arial" w:cs="Arial" w:eastAsia="Arial" w:hAnsi="Arial"/>
                <w:sz w:val="17"/>
                <w:szCs w:val="17"/>
                <w:color w:val="auto"/>
              </w:rPr>
              <w:t>Franchise Gross</w:t>
            </w: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color w:val="auto"/>
              </w:rPr>
              <w:t>Profit:</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Applebee’s</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IHOP</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44.5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82.9</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53.4</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color w:val="auto"/>
              </w:rPr>
              <w:t>Total franchise</w:t>
            </w: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30.8</w:t>
            </w:r>
          </w:p>
        </w:tc>
        <w:tc>
          <w:tcPr>
            <w:tcW w:w="86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163.7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106.4</w:t>
            </w:r>
          </w:p>
        </w:tc>
        <w:tc>
          <w:tcPr>
            <w:tcW w:w="8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gross profit</w:t>
            </w:r>
          </w:p>
        </w:tc>
        <w:tc>
          <w:tcPr>
            <w:tcW w:w="5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CCEEFF"/>
              <w:bottom w:val="single" w:sz="8" w:color="CCEEFF"/>
            </w:tcBorders>
            <w:gridSpan w:val="3"/>
            <w:vMerge w:val="restart"/>
          </w:tcPr>
          <w:p>
            <w:pPr>
              <w:spacing w:after="0" w:line="159" w:lineRule="exact"/>
              <w:rPr>
                <w:sz w:val="20"/>
                <w:szCs w:val="20"/>
                <w:color w:val="auto"/>
              </w:rPr>
            </w:pPr>
            <w:r>
              <w:rPr>
                <w:rFonts w:ascii="Arial" w:cs="Arial" w:eastAsia="Arial" w:hAnsi="Arial"/>
                <w:sz w:val="18"/>
                <w:szCs w:val="18"/>
                <w:color w:val="auto"/>
                <w:w w:val="97"/>
              </w:rPr>
              <w:t>Gross profit as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8"/>
                <w:szCs w:val="18"/>
                <w:color w:val="auto"/>
              </w:rPr>
              <w:t>52.5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45.4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53.2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auto"/>
              </w:rPr>
              <w:t>50.0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80" w:type="dxa"/>
            <w:vAlign w:val="bottom"/>
            <w:gridSpan w:val="4"/>
          </w:tcPr>
          <w:p>
            <w:pPr>
              <w:spacing w:after="0" w:line="199" w:lineRule="exact"/>
              <w:rPr>
                <w:sz w:val="20"/>
                <w:szCs w:val="20"/>
                <w:color w:val="auto"/>
              </w:rPr>
            </w:pPr>
            <w:r>
              <w:rPr>
                <w:rFonts w:ascii="Arial" w:cs="Arial" w:eastAsia="Arial" w:hAnsi="Arial"/>
                <w:sz w:val="18"/>
                <w:szCs w:val="18"/>
                <w:color w:val="auto"/>
              </w:rPr>
              <w:t xml:space="preserve">of revenue </w:t>
            </w:r>
            <w:r>
              <w:rPr>
                <w:rFonts w:ascii="Arial" w:cs="Arial" w:eastAsia="Arial" w:hAnsi="Arial"/>
                <w:sz w:val="22"/>
                <w:szCs w:val="22"/>
                <w:color w:val="auto"/>
                <w:vertAlign w:val="superscript"/>
              </w:rPr>
              <w:t>(2)</w:t>
            </w: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60" w:type="dxa"/>
            <w:vAlign w:val="bottom"/>
            <w:gridSpan w:val="3"/>
            <w:vMerge w:val="restart"/>
          </w:tcPr>
          <w:p>
            <w:pPr>
              <w:spacing w:after="0" w:line="179" w:lineRule="exact"/>
              <w:rPr>
                <w:sz w:val="20"/>
                <w:szCs w:val="20"/>
                <w:color w:val="auto"/>
              </w:rPr>
            </w:pPr>
            <w:r>
              <w:rPr>
                <w:rFonts w:ascii="Arial" w:cs="Arial" w:eastAsia="Arial" w:hAnsi="Arial"/>
                <w:sz w:val="18"/>
                <w:szCs w:val="18"/>
                <w:color w:val="auto"/>
                <w:w w:val="97"/>
              </w:rPr>
              <w:t>Gross profit as %</w:t>
            </w: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8"/>
                <w:szCs w:val="18"/>
                <w:color w:val="auto"/>
              </w:rPr>
              <w:t>92.7</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79.4</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restart"/>
          </w:tcPr>
          <w:p>
            <w:pPr>
              <w:jc w:val="right"/>
              <w:ind w:right="253"/>
              <w:spacing w:after="0"/>
              <w:rPr>
                <w:sz w:val="20"/>
                <w:szCs w:val="20"/>
                <w:color w:val="auto"/>
              </w:rPr>
            </w:pPr>
            <w:r>
              <w:rPr>
                <w:rFonts w:ascii="Arial" w:cs="Arial" w:eastAsia="Arial" w:hAnsi="Arial"/>
                <w:sz w:val="18"/>
                <w:szCs w:val="18"/>
                <w:color w:val="auto"/>
              </w:rPr>
              <w:t>93.7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auto"/>
              </w:rPr>
              <w:t>87.1</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80" w:type="dxa"/>
            <w:vAlign w:val="bottom"/>
            <w:gridSpan w:val="4"/>
          </w:tcPr>
          <w:p>
            <w:pPr>
              <w:spacing w:after="0" w:line="199" w:lineRule="exact"/>
              <w:rPr>
                <w:sz w:val="20"/>
                <w:szCs w:val="20"/>
                <w:color w:val="auto"/>
              </w:rPr>
            </w:pPr>
            <w:r>
              <w:rPr>
                <w:rFonts w:ascii="Arial" w:cs="Arial" w:eastAsia="Arial" w:hAnsi="Arial"/>
                <w:sz w:val="18"/>
                <w:szCs w:val="18"/>
                <w:color w:val="auto"/>
                <w:w w:val="95"/>
              </w:rPr>
              <w:t xml:space="preserve">of franchise fees </w:t>
            </w:r>
            <w:r>
              <w:rPr>
                <w:rFonts w:ascii="Arial" w:cs="Arial" w:eastAsia="Arial" w:hAnsi="Arial"/>
                <w:sz w:val="22"/>
                <w:szCs w:val="22"/>
                <w:color w:val="auto"/>
                <w:w w:val="95"/>
                <w:vertAlign w:val="superscript"/>
              </w:rPr>
              <w:t>(2)(3)</w:t>
            </w: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2" w:lineRule="exact"/>
        <w:rPr>
          <w:sz w:val="20"/>
          <w:szCs w:val="20"/>
          <w:color w:val="auto"/>
        </w:rPr>
      </w:pPr>
    </w:p>
    <w:p>
      <w:pPr>
        <w:ind w:left="160" w:right="220" w:hanging="154"/>
        <w:spacing w:after="0" w:line="252" w:lineRule="auto"/>
        <w:tabs>
          <w:tab w:leader="none" w:pos="131"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Effective Franchise Restaurants are the weighted average number of franchise and area license restaurants open in each fiscal period, adjusted to account for restaurants open for only a portion of the period.</w:t>
      </w:r>
    </w:p>
    <w:p>
      <w:pPr>
        <w:ind w:left="140" w:hanging="134"/>
        <w:spacing w:after="0" w:line="207" w:lineRule="auto"/>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ind w:left="160" w:right="380" w:hanging="154"/>
        <w:spacing w:after="0" w:line="235" w:lineRule="auto"/>
        <w:tabs>
          <w:tab w:leader="none" w:pos="143"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From time to time, advertising fee revenue may be different from advertising expenses in a given accounting period. Over the long term, advertising activity should not generate gross profit or loss.</w:t>
      </w:r>
    </w:p>
    <w:p>
      <w:pPr>
        <w:spacing w:after="0" w:line="200" w:lineRule="exact"/>
        <w:rPr>
          <w:sz w:val="20"/>
          <w:szCs w:val="20"/>
          <w:color w:val="auto"/>
        </w:rPr>
      </w:pPr>
    </w:p>
    <w:p>
      <w:pPr>
        <w:spacing w:after="0" w:line="263" w:lineRule="exact"/>
        <w:rPr>
          <w:sz w:val="20"/>
          <w:szCs w:val="20"/>
          <w:color w:val="auto"/>
        </w:rPr>
      </w:pPr>
    </w:p>
    <w:p>
      <w:pPr>
        <w:ind w:right="800" w:firstLine="318"/>
        <w:spacing w:after="0" w:line="330" w:lineRule="auto"/>
        <w:rPr>
          <w:sz w:val="20"/>
          <w:szCs w:val="20"/>
          <w:color w:val="auto"/>
        </w:rPr>
      </w:pPr>
      <w:r>
        <w:rPr>
          <w:rFonts w:ascii="Arial" w:cs="Arial" w:eastAsia="Arial" w:hAnsi="Arial"/>
          <w:sz w:val="15"/>
          <w:szCs w:val="15"/>
          <w:color w:val="auto"/>
        </w:rPr>
        <w:t>Applebee’s franchise fee revenue for the three months ended June 30, 2021 increased 120.6% compared to the same period of the prior year. Approximately $21.5 million of the increase was due to the 102.1% increase in domestic franchise same-restaurant sales, $1.9 million was due to the reopening of restaurants temporarily closed during the prior year period and $0.7 million due to an increase in international revenues.</w:t>
      </w:r>
    </w:p>
    <w:p>
      <w:pPr>
        <w:spacing w:after="0" w:line="163"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Applebee’s franchise fee revenue for the six months ended June 30, 2021 increased 43.0% compared to the same period of the prior year. Approximately $22.8 million of the increase was due to the 46.1% increase in domestic franchise same-restaurant sales, $1.9 million was due to the reopening of restaurants temporarily closed during the prior year period, approximately $1.7 million was due to improved collectability and a higher effective royalty rate, and $0.6 million was due to an increase in other franchise fees. These favorable items were partially offset by a $1.2 million decrease in royalty revenue due to permanent restaurant closures and a $1.0 million increase in delivery incentive credits that reduce royalty revenue.</w:t>
      </w:r>
    </w:p>
    <w:p>
      <w:pPr>
        <w:spacing w:after="0" w:line="177"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decrease in Applebee's franchise expenses for the three months ended June 30, 2021 compared with the same period of the prior year primarily was due to a decrease in bad debt expense. Bad debt expense for the three months ended June 30, 2021 was a credit of $0.1 million as compared to bad debt expense of $2.7 million during the three months ended June 30, 2020.</w:t>
      </w:r>
    </w:p>
    <w:p>
      <w:pPr>
        <w:spacing w:after="0" w:line="215"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decrease in Applebee's franchise expenses for the six months ended June 30, 2021 compared with the same period of the prior year primarily was due to a decrease in bad debt expense. Bad debt expense for the six months ended June 30, 2021 was a credit of $0.1 million as compared to bad debt expense of $2.9 million during the six months ended June 30, 2020.</w:t>
      </w:r>
    </w:p>
    <w:p>
      <w:pPr>
        <w:sectPr>
          <w:pgSz w:w="11900" w:h="16838" w:orient="portrait"/>
          <w:cols w:equalWidth="0" w:num="1">
            <w:col w:w="11340"/>
          </w:cols>
          <w:pgMar w:left="320" w:top="121" w:right="239" w:bottom="9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962"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firstLine="318"/>
        <w:spacing w:after="0" w:line="318" w:lineRule="auto"/>
        <w:rPr>
          <w:sz w:val="20"/>
          <w:szCs w:val="20"/>
          <w:color w:val="auto"/>
        </w:rPr>
      </w:pPr>
      <w:r>
        <w:rPr>
          <w:rFonts w:ascii="Arial" w:cs="Arial" w:eastAsia="Arial" w:hAnsi="Arial"/>
          <w:sz w:val="15"/>
          <w:szCs w:val="15"/>
          <w:color w:val="auto"/>
        </w:rPr>
        <w:t>IHOP franchise fee revenue for the three months ended June 30, 2021 increased 168.6% compared to the same period of the prior year, primarily due to higher royalty and pancake and waffle dry mix revenues resulting from a 118.2% increase in domestic franchise same-restaurant sales, a $0.4 million increase in domestic termination and other franchise fees, an increase of $1.6 million in international termination fees and an increase of $0.7 million in international royalty revenues. These favorable changes were partially offset by a decrease of $0.1 million due to restaurant closures.</w:t>
      </w:r>
    </w:p>
    <w:p>
      <w:pPr>
        <w:spacing w:after="0" w:line="172"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IHOP franchise fee revenue for the six months ended June 30, 2021 increased 43.2% compared to the same period of the prior year, primarily due to higher royalty and pancake and waffle dry mix revenues resulting from a 46.1% increase in domestic franchise same-restaurant sales, a $2.2 million increase in domestic termination and other franchise fees and a $1.6 million increase in international termination fees. These favorable changes were partially offset by a decrease of $0.7 million due to restaurant closures.</w:t>
      </w:r>
    </w:p>
    <w:p>
      <w:pPr>
        <w:spacing w:after="0" w:line="217" w:lineRule="exact"/>
        <w:rPr>
          <w:sz w:val="20"/>
          <w:szCs w:val="20"/>
          <w:color w:val="auto"/>
        </w:rPr>
      </w:pPr>
    </w:p>
    <w:p>
      <w:pPr>
        <w:ind w:right="320" w:firstLine="318"/>
        <w:spacing w:after="0" w:line="277" w:lineRule="auto"/>
        <w:rPr>
          <w:sz w:val="20"/>
          <w:szCs w:val="20"/>
          <w:color w:val="auto"/>
        </w:rPr>
      </w:pPr>
      <w:r>
        <w:rPr>
          <w:rFonts w:ascii="Arial" w:cs="Arial" w:eastAsia="Arial" w:hAnsi="Arial"/>
          <w:sz w:val="17"/>
          <w:szCs w:val="17"/>
          <w:color w:val="auto"/>
        </w:rPr>
        <w:t>IHOP franchise expenses for the three months ended June 30, 2021 increased from the same period of the prior year primarily due to an increase in purchases of pancake and waffle dry mix, partially offset by a $2.3 million decrease in bad debt expense. IHOP bad debt expense was less than $0.1 million for the three months ended June 30, 2021 as compared to bad debt expense of $2.3 million in the prior year period.</w:t>
      </w:r>
    </w:p>
    <w:p>
      <w:pPr>
        <w:spacing w:after="0" w:line="1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IHOP franchise expenses for the six months ended June 30, 2021 declined from the same period of the prior year primarily due to a $4.6 million decrease in bad debt expense partially offset by an increase in purchases of pancake and waffle dry mix. IHOP reduced its allowance for bad debts by $2.1 million during the six months ended June 30, 2021 compared to bad debt expense of $2.5 million in the prior year period.</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Advertising revenue and expense by brand for the three and six months ended June 30, 2021 and 2020 were as follows:</w:t>
      </w:r>
    </w:p>
    <w:p>
      <w:pPr>
        <w:spacing w:after="0" w:line="28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4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Increase</w:t>
            </w:r>
          </w:p>
        </w:tc>
        <w:tc>
          <w:tcPr>
            <w:tcW w:w="5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Increase</w:t>
            </w: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340"/>
              <w:spacing w:after="0" w:line="175" w:lineRule="exact"/>
              <w:rPr>
                <w:sz w:val="20"/>
                <w:szCs w:val="20"/>
                <w:color w:val="auto"/>
              </w:rPr>
            </w:pPr>
            <w:r>
              <w:rPr>
                <w:rFonts w:ascii="Arial" w:cs="Arial" w:eastAsia="Arial" w:hAnsi="Arial"/>
                <w:sz w:val="18"/>
                <w:szCs w:val="18"/>
                <w:color w:val="auto"/>
              </w:rPr>
              <w:t>Advertising Revenues and</w:t>
            </w: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Applebee’s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26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IHOP</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4"/>
        </w:trPr>
        <w:tc>
          <w:tcPr>
            <w:tcW w:w="266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w w:val="98"/>
              </w:rPr>
              <w:t>Total advertising revenues and</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Applebee's advertising revenue and expense for the three months ended June 30, 2021 increased compared to the same period of the prior year. Approximately $23.2 million of the increase was due to the 102.1% increase in domestic franchise same-restaurant sales, $2.1 million was due to the reopening of restaurants temporarily closed during the prior year period and $2.0 million of the increase was due to improved collectability from franchisees. IHOP's advertising revenue and expense for the three months ended June 30, 2021 increased 156.0% compared to the same period of the prior year, primarily due to the 118.2% increase in domestic franchise same-restaurant sales and the reopening of restaurants temporarily closed during the prior year period.</w:t>
      </w:r>
    </w:p>
    <w:p>
      <w:pPr>
        <w:spacing w:after="0" w:line="177"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Applebee's advertising revenue and expense for the six months ended June 30, 2021 increased 52.0% compared to the same period of the prior year. Approximately $24.5 million of the increase was due to the 43.0% increase in domestic franchise same-restaurant sales, $4.1 million of the increase was due to improved collectability from franchisees and $2.1 million was due to the reopening of restaurants temporarily closed during the prior year period. Partially offsetting the increases was a $1.3 million decrease in advertising revenue due to permanent restaurant closures. IHOP's advertising revenue and expense for the six months ended June 30, 2021 increased 38.5% compared to the same period of the prior year, primarily due to the 46.1% increase in domestic franchise same-restaurant sales, partially offset by the impact of permanent restaurant closures over the past 12 months.</w:t>
      </w:r>
    </w:p>
    <w:p>
      <w:pPr>
        <w:spacing w:after="0" w:line="17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Rental</w:t>
      </w:r>
    </w:p>
    <w:tbl>
      <w:tblPr>
        <w:tblLayout w:type="fixed"/>
        <w:tblInd w:w="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gridSpan w:val="5"/>
            <w:vMerge w:val="restart"/>
          </w:tcPr>
          <w:p>
            <w:pPr>
              <w:jc w:val="right"/>
              <w:ind w:right="173"/>
              <w:spacing w:after="0" w:line="166" w:lineRule="exact"/>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Favorable</w:t>
            </w:r>
          </w:p>
        </w:tc>
        <w:tc>
          <w:tcPr>
            <w:tcW w:w="660" w:type="dxa"/>
            <w:vAlign w:val="bottom"/>
          </w:tcPr>
          <w:p>
            <w:pPr>
              <w:spacing w:after="0" w:line="20" w:lineRule="exact"/>
              <w:rPr>
                <w:sz w:val="1"/>
                <w:szCs w:val="1"/>
                <w:color w:val="auto"/>
              </w:rPr>
            </w:pPr>
          </w:p>
        </w:tc>
        <w:tc>
          <w:tcPr>
            <w:tcW w:w="2500" w:type="dxa"/>
            <w:vAlign w:val="bottom"/>
            <w:gridSpan w:val="5"/>
            <w:vMerge w:val="restart"/>
          </w:tcPr>
          <w:p>
            <w:pPr>
              <w:jc w:val="right"/>
              <w:ind w:right="253"/>
              <w:spacing w:after="0" w:line="166" w:lineRule="exact"/>
              <w:rPr>
                <w:sz w:val="20"/>
                <w:szCs w:val="20"/>
                <w:color w:val="auto"/>
              </w:rPr>
            </w:pPr>
            <w:r>
              <w:rPr>
                <w:rFonts w:ascii="Arial" w:cs="Arial" w:eastAsia="Arial" w:hAnsi="Arial"/>
                <w:sz w:val="16"/>
                <w:szCs w:val="16"/>
                <w:b w:val="1"/>
                <w:bCs w:val="1"/>
                <w:color w:val="auto"/>
              </w:rPr>
              <w:t>Six months ended June 30,</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Favorab</w:t>
            </w: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Operations</w:t>
            </w:r>
          </w:p>
        </w:tc>
        <w:tc>
          <w:tcPr>
            <w:tcW w:w="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250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ind w:left="160"/>
              <w:spacing w:after="0" w:line="27" w:lineRule="exact"/>
              <w:rPr>
                <w:sz w:val="20"/>
                <w:szCs w:val="20"/>
                <w:color w:val="auto"/>
              </w:rPr>
            </w:pPr>
            <w:r>
              <w:rPr>
                <w:rFonts w:ascii="Arial" w:cs="Arial" w:eastAsia="Arial" w:hAnsi="Arial"/>
                <w:sz w:val="3"/>
                <w:szCs w:val="3"/>
                <w:b w:val="1"/>
                <w:bCs w:val="1"/>
                <w:color w:val="auto"/>
              </w:rPr>
              <w:t>(Unfavorable)</w:t>
            </w: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tcPr>
          <w:p>
            <w:pPr>
              <w:jc w:val="right"/>
              <w:spacing w:after="0" w:line="27" w:lineRule="exact"/>
              <w:rPr>
                <w:sz w:val="20"/>
                <w:szCs w:val="20"/>
                <w:color w:val="auto"/>
              </w:rPr>
            </w:pPr>
            <w:r>
              <w:rPr>
                <w:rFonts w:ascii="Arial" w:cs="Arial" w:eastAsia="Arial" w:hAnsi="Arial"/>
                <w:sz w:val="3"/>
                <w:szCs w:val="3"/>
                <w:b w:val="1"/>
                <w:bCs w:val="1"/>
                <w:color w:val="auto"/>
              </w:rPr>
              <w:t>(Unfavorable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Variance</w:t>
            </w: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color w:val="auto"/>
              </w:rPr>
              <w:t>Rental</w:t>
            </w: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8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53.5</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52.7</w:t>
            </w:r>
          </w:p>
        </w:tc>
        <w:tc>
          <w:tcPr>
            <w:tcW w:w="86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spacing w:after="0" w:line="173" w:lineRule="exact"/>
              <w:rPr>
                <w:sz w:val="20"/>
                <w:szCs w:val="20"/>
                <w:color w:val="auto"/>
              </w:rPr>
            </w:pPr>
            <w:r>
              <w:rPr>
                <w:rFonts w:ascii="Arial" w:cs="Arial" w:eastAsia="Arial" w:hAnsi="Arial"/>
                <w:sz w:val="18"/>
                <w:szCs w:val="18"/>
                <w:color w:val="auto"/>
              </w:rPr>
              <w:t>Rental</w:t>
            </w:r>
          </w:p>
        </w:tc>
        <w:tc>
          <w:tcPr>
            <w:tcW w:w="640" w:type="dxa"/>
            <w:vAlign w:val="bottom"/>
          </w:tcPr>
          <w:p>
            <w:pPr>
              <w:spacing w:after="0"/>
              <w:rPr>
                <w:sz w:val="15"/>
                <w:szCs w:val="15"/>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expenses</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color w:val="auto"/>
              </w:rPr>
              <w:t>Rental</w:t>
            </w: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5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color w:val="auto"/>
              </w:rPr>
              <w:t>operations gross</w:t>
            </w: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8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8.9</w:t>
            </w:r>
          </w:p>
        </w:tc>
        <w:tc>
          <w:tcPr>
            <w:tcW w:w="86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color w:val="auto"/>
              </w:rPr>
              <w:t>profit</w:t>
            </w:r>
          </w:p>
        </w:tc>
        <w:tc>
          <w:tcPr>
            <w:tcW w:w="6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0" w:type="dxa"/>
            <w:vAlign w:val="bottom"/>
            <w:tcBorders>
              <w:top w:val="single" w:sz="8" w:color="CCEEFF"/>
              <w:bottom w:val="single" w:sz="8" w:color="CCEEFF"/>
            </w:tcBorders>
            <w:gridSpan w:val="3"/>
            <w:vMerge w:val="restart"/>
          </w:tcPr>
          <w:p>
            <w:pPr>
              <w:spacing w:after="0" w:line="159" w:lineRule="exact"/>
              <w:rPr>
                <w:sz w:val="20"/>
                <w:szCs w:val="20"/>
                <w:color w:val="auto"/>
              </w:rPr>
            </w:pPr>
            <w:r>
              <w:rPr>
                <w:rFonts w:ascii="Arial" w:cs="Arial" w:eastAsia="Arial" w:hAnsi="Arial"/>
                <w:sz w:val="18"/>
                <w:szCs w:val="18"/>
                <w:color w:val="auto"/>
              </w:rPr>
              <w:t>Gross profit as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8"/>
                <w:szCs w:val="18"/>
                <w:color w:val="auto"/>
              </w:rPr>
              <w:t>24.7</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8"/>
                <w:szCs w:val="18"/>
                <w:color w:val="auto"/>
              </w:rPr>
              <w:t>10.4</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8"/>
                <w:szCs w:val="18"/>
                <w:color w:val="auto"/>
              </w:rPr>
              <w:t>22.3</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8"/>
                <w:szCs w:val="18"/>
                <w:color w:val="auto"/>
              </w:rPr>
              <w:t>17.0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20" w:type="dxa"/>
            <w:vAlign w:val="bottom"/>
            <w:gridSpan w:val="4"/>
          </w:tcPr>
          <w:p>
            <w:pPr>
              <w:spacing w:after="0" w:line="199" w:lineRule="exact"/>
              <w:rPr>
                <w:sz w:val="20"/>
                <w:szCs w:val="20"/>
                <w:color w:val="auto"/>
              </w:rPr>
            </w:pPr>
            <w:r>
              <w:rPr>
                <w:rFonts w:ascii="Arial" w:cs="Arial" w:eastAsia="Arial" w:hAnsi="Arial"/>
                <w:sz w:val="18"/>
                <w:szCs w:val="18"/>
                <w:color w:val="auto"/>
              </w:rPr>
              <w:t xml:space="preserve">% of revenue </w:t>
            </w:r>
            <w:r>
              <w:rPr>
                <w:rFonts w:ascii="Arial" w:cs="Arial" w:eastAsia="Arial" w:hAnsi="Arial"/>
                <w:sz w:val="22"/>
                <w:szCs w:val="22"/>
                <w:color w:val="auto"/>
                <w:vertAlign w:val="superscript"/>
              </w:rPr>
              <w:t>(1)</w:t>
            </w: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48" w:lineRule="exact"/>
        <w:rPr>
          <w:sz w:val="20"/>
          <w:szCs w:val="20"/>
          <w:color w:val="auto"/>
        </w:rPr>
      </w:pPr>
    </w:p>
    <w:p>
      <w:pPr>
        <w:ind w:left="140" w:hanging="134"/>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Percentages calculated on actual amounts, not rounded amounts presented above.</w:t>
      </w:r>
    </w:p>
    <w:p>
      <w:pPr>
        <w:spacing w:after="0" w:line="277"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finance leases.</w:t>
      </w:r>
    </w:p>
    <w:p>
      <w:pPr>
        <w:spacing w:after="0" w:line="18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Rental segment revenue for the three months ended June 30, 2021 increased as compared to the same period of the prior year, primarily due to a $2.6 million increase in rental income based on a percentage of franchisees' retail sales and a $1.9 decline in level rent adjustments, partially offset by a $0.6 million decrease due to restaurant closures and lease buy-outs and a progressive decline of $0.3 million in interest income as direct financing leases are repaid. Rental segment expenses for the three months ended June 30, 2021 decreased compared to the same period of the prior year due to a $0.5 million decrease in rental expenses, primarily due to restaurant closures, lease buy-outs and expirations, a $0.4 million decrease in depreciation expense and a $0.3 million decrease in interest expense as finance lease obligations are repaid, partially offset by a $0.5 million increase in rent paid based on a percentage of franchisees' retail sales.</w:t>
      </w:r>
    </w:p>
    <w:p>
      <w:pPr>
        <w:spacing w:after="0" w:line="225"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Rental segment revenue for the six months ended June 30, 2021 increased as compared to the same period of the prior year, primarily due to a $1.6 million increase in rental income based on a percentage of franchisees' retail sales and a $1.4 decline in level rent adjustments, partially offset by a $1.7 million decrease due to restaurant closures and lease buy-outs and a progressive decline of $0.7 million in interest income as direct financing leases are repaid. Rental segment expenses for the six months ended June 30, 2021 decreased compared to the same period of the prior year due to a $1.4 million decrease in rental expenses, primarily due to restaurant closures and lease buy-outs, a $0.7 million decrease in depreciation expense and a $0.5 million decrease in interest expense as finance lease obligations are repaid, partially offset by a $0.4 million increase in rent paid based on a percentage of franchisees' retail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171"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3460" w:type="dxa"/>
            <w:vAlign w:val="bottom"/>
            <w:gridSpan w:val="3"/>
          </w:tcPr>
          <w:p>
            <w:pPr>
              <w:jc w:val="right"/>
              <w:ind w:right="481"/>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6"/>
                <w:szCs w:val="16"/>
                <w:color w:val="auto"/>
              </w:rPr>
            </w:pP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Favorable</w:t>
            </w:r>
          </w:p>
        </w:tc>
        <w:tc>
          <w:tcPr>
            <w:tcW w:w="3420" w:type="dxa"/>
            <w:vAlign w:val="bottom"/>
            <w:gridSpan w:val="3"/>
          </w:tcPr>
          <w:p>
            <w:pPr>
              <w:jc w:val="right"/>
              <w:ind w:right="581"/>
              <w:spacing w:after="0"/>
              <w:rPr>
                <w:sz w:val="20"/>
                <w:szCs w:val="20"/>
                <w:color w:val="auto"/>
              </w:rPr>
            </w:pPr>
            <w:r>
              <w:rPr>
                <w:rFonts w:ascii="Arial" w:cs="Arial" w:eastAsia="Arial" w:hAnsi="Arial"/>
                <w:sz w:val="16"/>
                <w:szCs w:val="16"/>
                <w:b w:val="1"/>
                <w:bCs w:val="1"/>
                <w:color w:val="auto"/>
              </w:rPr>
              <w:t>Six months ended June 30,</w:t>
            </w:r>
          </w:p>
        </w:tc>
        <w:tc>
          <w:tcPr>
            <w:tcW w:w="80" w:type="dxa"/>
            <w:vAlign w:val="bottom"/>
          </w:tcPr>
          <w:p>
            <w:pPr>
              <w:spacing w:after="0"/>
              <w:rPr>
                <w:sz w:val="16"/>
                <w:szCs w:val="16"/>
                <w:color w:val="auto"/>
              </w:rPr>
            </w:pPr>
          </w:p>
        </w:tc>
        <w:tc>
          <w:tcPr>
            <w:tcW w:w="1020" w:type="dxa"/>
            <w:vAlign w:val="bottom"/>
          </w:tcPr>
          <w:p>
            <w:pPr>
              <w:ind w:left="480"/>
              <w:spacing w:after="0"/>
              <w:rPr>
                <w:sz w:val="20"/>
                <w:szCs w:val="20"/>
                <w:color w:val="auto"/>
              </w:rPr>
            </w:pPr>
            <w:r>
              <w:rPr>
                <w:rFonts w:ascii="Arial" w:cs="Arial" w:eastAsia="Arial" w:hAnsi="Arial"/>
                <w:sz w:val="14"/>
                <w:szCs w:val="14"/>
                <w:b w:val="1"/>
                <w:bCs w:val="1"/>
                <w:color w:val="auto"/>
                <w:w w:val="89"/>
              </w:rPr>
              <w:t>Favorabl</w:t>
            </w:r>
          </w:p>
        </w:tc>
      </w:tr>
      <w:tr>
        <w:trPr>
          <w:trHeight w:val="53"/>
        </w:trPr>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tcPr>
          <w:p>
            <w:pPr>
              <w:jc w:val="center"/>
              <w:ind w:right="100"/>
              <w:spacing w:after="0" w:line="53" w:lineRule="exact"/>
              <w:rPr>
                <w:sz w:val="20"/>
                <w:szCs w:val="20"/>
                <w:color w:val="auto"/>
              </w:rPr>
            </w:pPr>
            <w:r>
              <w:rPr>
                <w:rFonts w:ascii="Arial" w:cs="Arial" w:eastAsia="Arial" w:hAnsi="Arial"/>
                <w:sz w:val="6"/>
                <w:szCs w:val="6"/>
                <w:b w:val="1"/>
                <w:bCs w:val="1"/>
                <w:color w:val="auto"/>
              </w:rPr>
              <w:t>(Unfavorable)</w:t>
            </w: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ind w:left="200"/>
              <w:spacing w:after="0" w:line="53" w:lineRule="exact"/>
              <w:rPr>
                <w:sz w:val="20"/>
                <w:szCs w:val="20"/>
                <w:color w:val="auto"/>
              </w:rPr>
            </w:pPr>
            <w:r>
              <w:rPr>
                <w:rFonts w:ascii="Arial" w:cs="Arial" w:eastAsia="Arial" w:hAnsi="Arial"/>
                <w:sz w:val="6"/>
                <w:szCs w:val="6"/>
                <w:b w:val="1"/>
                <w:bCs w:val="1"/>
                <w:color w:val="auto"/>
              </w:rPr>
              <w:t>(Unfavorable</w:t>
            </w:r>
          </w:p>
        </w:tc>
      </w:tr>
      <w:tr>
        <w:trPr>
          <w:trHeight w:val="204"/>
        </w:trPr>
        <w:tc>
          <w:tcPr>
            <w:tcW w:w="16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Variance</w:t>
            </w:r>
          </w:p>
        </w:tc>
      </w:tr>
    </w:tbl>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Effective</w:t>
            </w:r>
          </w:p>
        </w:tc>
        <w:tc>
          <w:tcPr>
            <w:tcW w:w="6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0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Restaurants</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3"/>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gridSpan w:val="3"/>
          </w:tcPr>
          <w:p>
            <w:pPr>
              <w:jc w:val="right"/>
              <w:ind w:right="92"/>
              <w:spacing w:after="0" w:line="158"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Applebee's</w:t>
            </w: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Company restaurant</w:t>
            </w:r>
          </w:p>
        </w:tc>
        <w:tc>
          <w:tcPr>
            <w:tcW w:w="6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74.2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48.1</w:t>
            </w: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sales </w:t>
            </w:r>
            <w:r>
              <w:rPr>
                <w:rFonts w:ascii="Arial" w:cs="Arial" w:eastAsia="Arial" w:hAnsi="Arial"/>
                <w:sz w:val="22"/>
                <w:szCs w:val="22"/>
                <w:color w:val="auto"/>
                <w:vertAlign w:val="superscript"/>
              </w:rPr>
              <w:t>(1)</w:t>
            </w:r>
          </w:p>
        </w:tc>
        <w:tc>
          <w:tcPr>
            <w:tcW w:w="6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340"/>
              <w:spacing w:after="0" w:line="173" w:lineRule="exact"/>
              <w:rPr>
                <w:sz w:val="20"/>
                <w:szCs w:val="20"/>
                <w:color w:val="auto"/>
              </w:rPr>
            </w:pPr>
            <w:r>
              <w:rPr>
                <w:rFonts w:ascii="Arial" w:cs="Arial" w:eastAsia="Arial" w:hAnsi="Arial"/>
                <w:sz w:val="18"/>
                <w:szCs w:val="18"/>
                <w:color w:val="auto"/>
              </w:rPr>
              <w:t>Applebee's</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0" w:type="dxa"/>
            <w:vAlign w:val="bottom"/>
          </w:tcPr>
          <w:p>
            <w:pPr>
              <w:ind w:left="20"/>
              <w:spacing w:after="0" w:line="171" w:lineRule="exact"/>
              <w:rPr>
                <w:sz w:val="20"/>
                <w:szCs w:val="20"/>
                <w:color w:val="auto"/>
              </w:rPr>
            </w:pPr>
            <w:r>
              <w:rPr>
                <w:rFonts w:ascii="Arial" w:cs="Arial" w:eastAsia="Arial" w:hAnsi="Arial"/>
                <w:sz w:val="18"/>
                <w:szCs w:val="18"/>
                <w:color w:val="auto"/>
                <w:w w:val="95"/>
              </w:rPr>
              <w:t>Company restaurant</w:t>
            </w:r>
          </w:p>
        </w:tc>
        <w:tc>
          <w:tcPr>
            <w:tcW w:w="640" w:type="dxa"/>
            <w:vAlign w:val="bottom"/>
          </w:tcPr>
          <w:p>
            <w:pPr>
              <w:spacing w:after="0"/>
              <w:rPr>
                <w:sz w:val="14"/>
                <w:szCs w:val="14"/>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16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2"/>
                <w:szCs w:val="22"/>
                <w:color w:val="auto"/>
                <w:vertAlign w:val="superscript"/>
              </w:rPr>
              <w:t>(1)</w:t>
            </w:r>
          </w:p>
        </w:tc>
        <w:tc>
          <w:tcPr>
            <w:tcW w:w="6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60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5"/>
              </w:rPr>
              <w:t>IHOP restaurant</w:t>
            </w:r>
          </w:p>
        </w:tc>
        <w:tc>
          <w:tcPr>
            <w:tcW w:w="6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2"/>
                <w:szCs w:val="22"/>
                <w:color w:val="auto"/>
                <w:vertAlign w:val="superscript"/>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600" w:type="dxa"/>
            <w:vAlign w:val="bottom"/>
          </w:tcPr>
          <w:p>
            <w:pPr>
              <w:ind w:left="340"/>
              <w:spacing w:after="0" w:line="154" w:lineRule="exact"/>
              <w:rPr>
                <w:sz w:val="20"/>
                <w:szCs w:val="20"/>
                <w:color w:val="auto"/>
              </w:rPr>
            </w:pPr>
            <w:r>
              <w:rPr>
                <w:rFonts w:ascii="Arial" w:cs="Arial" w:eastAsia="Arial" w:hAnsi="Arial"/>
                <w:sz w:val="17"/>
                <w:szCs w:val="17"/>
                <w:color w:val="auto"/>
              </w:rPr>
              <w:t>Company</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20"/>
              <w:spacing w:after="0" w:line="172" w:lineRule="exact"/>
              <w:rPr>
                <w:sz w:val="20"/>
                <w:szCs w:val="20"/>
                <w:color w:val="auto"/>
              </w:rPr>
            </w:pPr>
            <w:r>
              <w:rPr>
                <w:rFonts w:ascii="Arial" w:cs="Arial" w:eastAsia="Arial" w:hAnsi="Arial"/>
                <w:sz w:val="18"/>
                <w:szCs w:val="18"/>
                <w:color w:val="auto"/>
              </w:rPr>
              <w:t>restaurant gross</w:t>
            </w:r>
          </w:p>
        </w:tc>
        <w:tc>
          <w:tcPr>
            <w:tcW w:w="64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9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4"/>
                <w:szCs w:val="14"/>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ind w:right="92"/>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(3.4)</w:t>
            </w: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8"/>
        </w:trPr>
        <w:tc>
          <w:tcPr>
            <w:tcW w:w="1600" w:type="dxa"/>
            <w:vAlign w:val="bottom"/>
          </w:tcPr>
          <w:p>
            <w:pPr>
              <w:ind w:left="20"/>
              <w:spacing w:after="0" w:line="198" w:lineRule="exact"/>
              <w:rPr>
                <w:sz w:val="20"/>
                <w:szCs w:val="20"/>
                <w:color w:val="auto"/>
              </w:rPr>
            </w:pPr>
            <w:r>
              <w:rPr>
                <w:rFonts w:ascii="Arial" w:cs="Arial" w:eastAsia="Arial" w:hAnsi="Arial"/>
                <w:sz w:val="18"/>
                <w:szCs w:val="18"/>
                <w:color w:val="auto"/>
              </w:rPr>
              <w:t>profit</w:t>
            </w:r>
          </w:p>
        </w:tc>
        <w:tc>
          <w:tcPr>
            <w:tcW w:w="6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0" w:type="dxa"/>
            <w:vAlign w:val="bottom"/>
            <w:shd w:val="clear" w:color="auto" w:fill="CCEEFF"/>
          </w:tcPr>
          <w:p>
            <w:pPr>
              <w:ind w:left="340"/>
              <w:spacing w:after="0" w:line="139" w:lineRule="exact"/>
              <w:rPr>
                <w:sz w:val="20"/>
                <w:szCs w:val="20"/>
                <w:color w:val="auto"/>
              </w:rPr>
            </w:pPr>
            <w:r>
              <w:rPr>
                <w:rFonts w:ascii="Arial" w:cs="Arial" w:eastAsia="Arial" w:hAnsi="Arial"/>
                <w:sz w:val="15"/>
                <w:szCs w:val="15"/>
                <w:color w:val="auto"/>
              </w:rPr>
              <w:t>Gross profit as</w:t>
            </w:r>
          </w:p>
        </w:tc>
        <w:tc>
          <w:tcPr>
            <w:tcW w:w="6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(19.9)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9.3</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60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 xml:space="preserve">% of revenue </w:t>
            </w:r>
            <w:r>
              <w:rPr>
                <w:rFonts w:ascii="Arial" w:cs="Arial" w:eastAsia="Arial" w:hAnsi="Arial"/>
                <w:sz w:val="22"/>
                <w:szCs w:val="22"/>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52" w:lineRule="exact"/>
        <w:rPr>
          <w:sz w:val="20"/>
          <w:szCs w:val="20"/>
          <w:color w:val="auto"/>
        </w:rPr>
      </w:pPr>
    </w:p>
    <w:p>
      <w:pPr>
        <w:ind w:left="140" w:hanging="134"/>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Related to 69 Applebee's company-operated restaurants.</w:t>
      </w:r>
    </w:p>
    <w:p>
      <w:pPr>
        <w:spacing w:after="0" w:line="51" w:lineRule="exact"/>
        <w:rPr>
          <w:rFonts w:ascii="Arial" w:cs="Arial" w:eastAsia="Arial" w:hAnsi="Arial"/>
          <w:sz w:val="9"/>
          <w:szCs w:val="9"/>
          <w:color w:val="auto"/>
        </w:rPr>
      </w:pPr>
    </w:p>
    <w:p>
      <w:pPr>
        <w:ind w:left="140" w:hanging="134"/>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Costs associated with IHOP restaurants in the process of being refranchised.</w:t>
      </w:r>
    </w:p>
    <w:p>
      <w:pPr>
        <w:spacing w:after="0" w:line="51" w:lineRule="exact"/>
        <w:rPr>
          <w:rFonts w:ascii="Arial" w:cs="Arial" w:eastAsia="Arial" w:hAnsi="Arial"/>
          <w:sz w:val="9"/>
          <w:szCs w:val="9"/>
          <w:color w:val="auto"/>
        </w:rPr>
      </w:pPr>
    </w:p>
    <w:p>
      <w:pPr>
        <w:ind w:left="140" w:hanging="134"/>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Calculated for Applebee's company-operated restaurants only. Percentages calculated on actual amounts, not rounded amounts presented above.</w:t>
      </w:r>
    </w:p>
    <w:p>
      <w:pPr>
        <w:sectPr>
          <w:pgSz w:w="11900" w:h="16838" w:orient="portrait"/>
          <w:cols w:equalWidth="0" w:num="1">
            <w:col w:w="11340"/>
          </w:cols>
          <w:pgMar w:left="32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firstLine="238"/>
        <w:spacing w:after="0" w:line="330" w:lineRule="auto"/>
        <w:rPr>
          <w:sz w:val="20"/>
          <w:szCs w:val="20"/>
          <w:color w:val="auto"/>
        </w:rPr>
      </w:pPr>
      <w:r>
        <w:rPr>
          <w:rFonts w:ascii="Arial" w:cs="Arial" w:eastAsia="Arial" w:hAnsi="Arial"/>
          <w:sz w:val="15"/>
          <w:szCs w:val="15"/>
          <w:color w:val="auto"/>
        </w:rPr>
        <w:t>Applebee's company same-restaurant sales for the three months ended June 30, 2021 increased 105.9% compared to the same period of 2020, the significant majority of which was due to an increase in customer traffic. Applebee's company same-restaurant sales for the six months ended June 30, 2021 increased 55.7% compared to the same period of 2020, primarily due to an increase in customer traffic as well as an increase in average check.</w:t>
      </w:r>
    </w:p>
    <w:p>
      <w:pPr>
        <w:spacing w:after="0" w:line="163" w:lineRule="exact"/>
        <w:rPr>
          <w:sz w:val="20"/>
          <w:szCs w:val="20"/>
          <w:color w:val="auto"/>
        </w:rPr>
      </w:pPr>
    </w:p>
    <w:p>
      <w:pPr>
        <w:ind w:right="60" w:firstLine="238"/>
        <w:spacing w:after="0" w:line="309" w:lineRule="auto"/>
        <w:rPr>
          <w:sz w:val="20"/>
          <w:szCs w:val="20"/>
          <w:color w:val="auto"/>
        </w:rPr>
      </w:pPr>
      <w:r>
        <w:rPr>
          <w:rFonts w:ascii="Arial" w:cs="Arial" w:eastAsia="Arial" w:hAnsi="Arial"/>
          <w:sz w:val="15"/>
          <w:szCs w:val="15"/>
          <w:color w:val="auto"/>
        </w:rPr>
        <w:t>The increase in customer traffic primarily was due to the favorable change in operating capacity of the restaurants during the three and six months ended June 30, 2021 compared to the same periods of 2020. All 69 of the Applebee's company-operated restaurants are located in South Carolina or North Carolina. Since the second week of January 2021, the 27 restaurants in South Carolina have operated without capacity limitations, while the 42 restaurants in North Carolina operated at 50% capacity until June 1, 2021, from which point those 42 restaurants were also able to operate without capacity limitations. In comparison, all 69 restaurants operated without restriction for the first 10 weeks of the 2020 but essentially were limited only to off-premise sales from the middle of March until the middle of May 2020, at which time all 69 restaurants were allowed to operate at 50% capacity.</w:t>
      </w:r>
    </w:p>
    <w:p>
      <w:pPr>
        <w:spacing w:after="0" w:line="178" w:lineRule="exact"/>
        <w:rPr>
          <w:sz w:val="20"/>
          <w:szCs w:val="20"/>
          <w:color w:val="auto"/>
        </w:rPr>
      </w:pPr>
    </w:p>
    <w:p>
      <w:pPr>
        <w:ind w:right="40" w:firstLine="238"/>
        <w:spacing w:after="0" w:line="255" w:lineRule="auto"/>
        <w:rPr>
          <w:sz w:val="20"/>
          <w:szCs w:val="20"/>
          <w:color w:val="auto"/>
        </w:rPr>
      </w:pPr>
      <w:r>
        <w:rPr>
          <w:rFonts w:ascii="Arial" w:cs="Arial" w:eastAsia="Arial" w:hAnsi="Arial"/>
          <w:sz w:val="18"/>
          <w:szCs w:val="18"/>
          <w:color w:val="auto"/>
        </w:rPr>
        <w:t>The increase in average check for the six months ended June 30, 2021 was due to favorable product mix and daypart shifts. We believe the distribution of additional government stimulus checks that began in March 2021 favorably impacted both customer traffic and average check during the three and six months ended June 30, 2021.</w:t>
      </w:r>
    </w:p>
    <w:p>
      <w:pPr>
        <w:spacing w:after="0" w:line="215" w:lineRule="exact"/>
        <w:rPr>
          <w:sz w:val="20"/>
          <w:szCs w:val="20"/>
          <w:color w:val="auto"/>
        </w:rPr>
      </w:pPr>
    </w:p>
    <w:p>
      <w:pPr>
        <w:ind w:firstLine="238"/>
        <w:spacing w:after="0" w:line="264" w:lineRule="auto"/>
        <w:rPr>
          <w:sz w:val="20"/>
          <w:szCs w:val="20"/>
          <w:color w:val="auto"/>
        </w:rPr>
      </w:pPr>
      <w:r>
        <w:rPr>
          <w:rFonts w:ascii="Arial" w:cs="Arial" w:eastAsia="Arial" w:hAnsi="Arial"/>
          <w:sz w:val="18"/>
          <w:szCs w:val="18"/>
          <w:color w:val="auto"/>
        </w:rPr>
        <w:t>Gross profit and gross profit as a percentage of revenue for the three and six months ended June 30, 2021 improved compared the same periods of the prior year, which were adversely impacted by the COVID-19-related operating constraints described above.</w:t>
      </w:r>
    </w:p>
    <w:p>
      <w:pPr>
        <w:spacing w:after="0" w:line="207" w:lineRule="exact"/>
        <w:rPr>
          <w:sz w:val="20"/>
          <w:szCs w:val="20"/>
          <w:color w:val="auto"/>
        </w:rPr>
      </w:pPr>
    </w:p>
    <w:p>
      <w:pPr>
        <w:ind w:right="200" w:firstLine="238"/>
        <w:spacing w:after="0" w:line="255" w:lineRule="auto"/>
        <w:rPr>
          <w:sz w:val="20"/>
          <w:szCs w:val="20"/>
          <w:color w:val="auto"/>
        </w:rPr>
      </w:pPr>
      <w:r>
        <w:rPr>
          <w:rFonts w:ascii="Arial" w:cs="Arial" w:eastAsia="Arial" w:hAnsi="Arial"/>
          <w:sz w:val="18"/>
          <w:szCs w:val="18"/>
          <w:color w:val="auto"/>
        </w:rPr>
        <w:t>Company segment restaurant expenses for the three and six months ended June 30, 2021 and 2020 also include costs associated with reacquired IHOP restaurants in the process of being refranchised. None of the reacquired IHOP restaurants were open during the three months and six months ended June 30, 2021 and 2020 and recorded no restaurant revenues in either of those periods.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50"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8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Financing revenue and gross profit for the six months ended June 30, 2021 declined compared to the same periods of the prior year, primarily because of progressive decline in interest income as note balances are repaid.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G&amp;A Expenses</w:t>
            </w:r>
          </w:p>
        </w:tc>
        <w:tc>
          <w:tcPr>
            <w:tcW w:w="2840" w:type="dxa"/>
            <w:vAlign w:val="bottom"/>
            <w:gridSpan w:val="6"/>
            <w:vMerge w:val="restart"/>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60" w:type="dxa"/>
            <w:vAlign w:val="bottom"/>
            <w:tcBorders>
              <w:top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2840" w:type="dxa"/>
            <w:vAlign w:val="bottom"/>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gridSpan w:val="2"/>
          </w:tcPr>
          <w:p>
            <w:pPr>
              <w:spacing w:after="0"/>
              <w:rPr>
                <w:sz w:val="20"/>
                <w:szCs w:val="20"/>
                <w:color w:val="auto"/>
              </w:rPr>
            </w:pPr>
            <w:r>
              <w:rPr>
                <w:rFonts w:ascii="Arial" w:cs="Arial" w:eastAsia="Arial" w:hAnsi="Arial"/>
                <w:sz w:val="18"/>
                <w:szCs w:val="18"/>
                <w:color w:val="auto"/>
              </w:rPr>
              <w:t>Total G&amp;A expenses</w:t>
            </w: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G&amp;A expenses for the three months ended June 30, 2021 increased 27.2% compared to the same period of the prior year, primarily due to an increase in personnel-related costs. The increase in personnel-related costs primarily was due to higher costs of bonus and equity-based incentive compensation. Included in total G&amp;A expenses for the three months ended June 30, 2021 were $1.4 million of expenses related to company-operated restaurants, an increase of $0.5 million from the same period of the prior year.</w:t>
      </w:r>
    </w:p>
    <w:p>
      <w:pPr>
        <w:spacing w:after="0" w:line="217"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G&amp;A expenses for the six months ended June 30, 2021 increased 15.6% compared to the same period of the prior year, primarily due to an increase in personnel-related costs, partially offset by a decrease in travel costs. The increase in personnel-related costs primarily was due to higher costs of bonus and equity-based incentive compensation. Included in total G&amp;A expenses for the six months ended June 30, 2021 were $2.7 million of expenses related to company-operated restaurants, an increase of $0.5 million from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Impairment and Closure</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5"/>
                <w:szCs w:val="15"/>
                <w:b w:val="1"/>
                <w:bCs w:val="1"/>
                <w:color w:val="auto"/>
                <w:w w:val="99"/>
              </w:rPr>
              <w:t>Charges</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gridSpan w:val="5"/>
          </w:tcPr>
          <w:p>
            <w:pPr>
              <w:ind w:left="80"/>
              <w:spacing w:after="0" w:line="133" w:lineRule="exact"/>
              <w:rPr>
                <w:sz w:val="20"/>
                <w:szCs w:val="20"/>
                <w:color w:val="auto"/>
              </w:rPr>
            </w:pPr>
            <w:r>
              <w:rPr>
                <w:rFonts w:ascii="Arial" w:cs="Arial" w:eastAsia="Arial" w:hAnsi="Arial"/>
                <w:sz w:val="15"/>
                <w:szCs w:val="15"/>
                <w:b w:val="1"/>
                <w:bCs w:val="1"/>
                <w:color w:val="auto"/>
              </w:rPr>
              <w:t>Three months ended June 30,</w:t>
            </w:r>
          </w:p>
        </w:tc>
        <w:tc>
          <w:tcPr>
            <w:tcW w:w="440" w:type="dxa"/>
            <w:vAlign w:val="bottom"/>
          </w:tcPr>
          <w:p>
            <w:pPr>
              <w:spacing w:after="0"/>
              <w:rPr>
                <w:sz w:val="11"/>
                <w:szCs w:val="11"/>
                <w:color w:val="auto"/>
              </w:rPr>
            </w:pPr>
          </w:p>
        </w:tc>
        <w:tc>
          <w:tcPr>
            <w:tcW w:w="112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Favorable</w:t>
            </w:r>
          </w:p>
        </w:tc>
        <w:tc>
          <w:tcPr>
            <w:tcW w:w="520" w:type="dxa"/>
            <w:vAlign w:val="bottom"/>
          </w:tcPr>
          <w:p>
            <w:pPr>
              <w:spacing w:after="0"/>
              <w:rPr>
                <w:sz w:val="11"/>
                <w:szCs w:val="11"/>
                <w:color w:val="auto"/>
              </w:rPr>
            </w:pPr>
          </w:p>
        </w:tc>
        <w:tc>
          <w:tcPr>
            <w:tcW w:w="2340" w:type="dxa"/>
            <w:vAlign w:val="bottom"/>
            <w:gridSpan w:val="5"/>
          </w:tcPr>
          <w:p>
            <w:pPr>
              <w:ind w:left="120"/>
              <w:spacing w:after="0" w:line="133" w:lineRule="exact"/>
              <w:rPr>
                <w:sz w:val="20"/>
                <w:szCs w:val="20"/>
                <w:color w:val="auto"/>
              </w:rPr>
            </w:pPr>
            <w:r>
              <w:rPr>
                <w:rFonts w:ascii="Arial" w:cs="Arial" w:eastAsia="Arial" w:hAnsi="Arial"/>
                <w:sz w:val="15"/>
                <w:szCs w:val="15"/>
                <w:b w:val="1"/>
                <w:bCs w:val="1"/>
                <w:color w:val="auto"/>
              </w:rPr>
              <w:t>Six months ended June 30,</w:t>
            </w:r>
          </w:p>
        </w:tc>
        <w:tc>
          <w:tcPr>
            <w:tcW w:w="4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(Unfavorable)</w:t>
            </w: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restart"/>
          </w:tcPr>
          <w:p>
            <w:pPr>
              <w:jc w:val="right"/>
              <w:spacing w:after="0" w:line="113"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Variance</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Closure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320" w:type="dxa"/>
            <w:vAlign w:val="bottom"/>
            <w:gridSpan w:val="4"/>
          </w:tcPr>
          <w:p>
            <w:pPr>
              <w:ind w:left="320"/>
              <w:spacing w:after="0" w:line="173" w:lineRule="exact"/>
              <w:rPr>
                <w:sz w:val="20"/>
                <w:szCs w:val="20"/>
                <w:color w:val="auto"/>
              </w:rPr>
            </w:pPr>
            <w:r>
              <w:rPr>
                <w:rFonts w:ascii="Arial" w:cs="Arial" w:eastAsia="Arial" w:hAnsi="Arial"/>
                <w:sz w:val="18"/>
                <w:szCs w:val="18"/>
                <w:color w:val="auto"/>
                <w:w w:val="99"/>
              </w:rPr>
              <w:t>Long-lived tangible asset</w:t>
            </w:r>
          </w:p>
        </w:tc>
        <w:tc>
          <w:tcPr>
            <w:tcW w:w="5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2420" w:type="dxa"/>
            <w:vAlign w:val="bottom"/>
            <w:gridSpan w:val="5"/>
          </w:tcPr>
          <w:p>
            <w:pPr>
              <w:ind w:left="100"/>
              <w:spacing w:after="0"/>
              <w:rPr>
                <w:sz w:val="20"/>
                <w:szCs w:val="20"/>
                <w:color w:val="auto"/>
              </w:rPr>
            </w:pPr>
            <w:r>
              <w:rPr>
                <w:rFonts w:ascii="Arial" w:cs="Arial" w:eastAsia="Arial" w:hAnsi="Arial"/>
                <w:sz w:val="18"/>
                <w:szCs w:val="18"/>
                <w:color w:val="auto"/>
              </w:rPr>
              <w:t>impairment</w:t>
            </w:r>
          </w:p>
        </w:tc>
        <w:tc>
          <w:tcPr>
            <w:tcW w:w="5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320" w:type="dxa"/>
            <w:vAlign w:val="bottom"/>
            <w:gridSpan w:val="4"/>
          </w:tcPr>
          <w:p>
            <w:pPr>
              <w:ind w:left="320"/>
              <w:spacing w:after="0"/>
              <w:rPr>
                <w:sz w:val="20"/>
                <w:szCs w:val="20"/>
                <w:color w:val="auto"/>
              </w:rPr>
            </w:pPr>
            <w:r>
              <w:rPr>
                <w:rFonts w:ascii="Arial" w:cs="Arial" w:eastAsia="Arial" w:hAnsi="Arial"/>
                <w:sz w:val="18"/>
                <w:szCs w:val="18"/>
                <w:color w:val="auto"/>
              </w:rPr>
              <w:t>Tradename impairment</w:t>
            </w:r>
          </w:p>
        </w:tc>
        <w:tc>
          <w:tcPr>
            <w:tcW w:w="5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4"/>
        </w:trPr>
        <w:tc>
          <w:tcPr>
            <w:tcW w:w="100" w:type="dxa"/>
            <w:vAlign w:val="bottom"/>
            <w:shd w:val="clear" w:color="auto" w:fill="CCEEFF"/>
          </w:tcPr>
          <w:p>
            <w:pPr>
              <w:spacing w:after="0"/>
              <w:rPr>
                <w:sz w:val="15"/>
                <w:szCs w:val="15"/>
                <w:color w:val="auto"/>
              </w:rPr>
            </w:pPr>
          </w:p>
        </w:tc>
        <w:tc>
          <w:tcPr>
            <w:tcW w:w="2320" w:type="dxa"/>
            <w:vAlign w:val="bottom"/>
            <w:gridSpan w:val="4"/>
            <w:shd w:val="clear" w:color="auto" w:fill="CCEEFF"/>
          </w:tcPr>
          <w:p>
            <w:pPr>
              <w:ind w:left="320"/>
              <w:spacing w:after="0" w:line="174" w:lineRule="exact"/>
              <w:rPr>
                <w:sz w:val="20"/>
                <w:szCs w:val="20"/>
                <w:color w:val="auto"/>
              </w:rPr>
            </w:pPr>
            <w:r>
              <w:rPr>
                <w:rFonts w:ascii="Arial" w:cs="Arial" w:eastAsia="Arial" w:hAnsi="Arial"/>
                <w:sz w:val="18"/>
                <w:szCs w:val="18"/>
                <w:color w:val="auto"/>
                <w:w w:val="98"/>
              </w:rPr>
              <w:t>Impairment of reacquired</w:t>
            </w:r>
          </w:p>
        </w:tc>
        <w:tc>
          <w:tcPr>
            <w:tcW w:w="5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4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franchise rights</w:t>
            </w:r>
          </w:p>
        </w:tc>
        <w:tc>
          <w:tcPr>
            <w:tcW w:w="5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320" w:type="dxa"/>
            <w:vAlign w:val="bottom"/>
            <w:gridSpan w:val="4"/>
          </w:tcPr>
          <w:p>
            <w:pPr>
              <w:ind w:left="320"/>
              <w:spacing w:after="0" w:line="154" w:lineRule="exact"/>
              <w:rPr>
                <w:sz w:val="20"/>
                <w:szCs w:val="20"/>
                <w:color w:val="auto"/>
              </w:rPr>
            </w:pPr>
            <w:r>
              <w:rPr>
                <w:rFonts w:ascii="Arial" w:cs="Arial" w:eastAsia="Arial" w:hAnsi="Arial"/>
                <w:sz w:val="17"/>
                <w:szCs w:val="17"/>
                <w:color w:val="auto"/>
              </w:rPr>
              <w:t>Total impairment and</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3"/>
                <w:szCs w:val="13"/>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3"/>
                <w:szCs w:val="13"/>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420" w:type="dxa"/>
            <w:vAlign w:val="bottom"/>
            <w:gridSpan w:val="5"/>
          </w:tcPr>
          <w:p>
            <w:pPr>
              <w:ind w:left="100"/>
              <w:spacing w:after="0" w:line="198" w:lineRule="exact"/>
              <w:rPr>
                <w:sz w:val="20"/>
                <w:szCs w:val="20"/>
                <w:color w:val="auto"/>
              </w:rPr>
            </w:pPr>
            <w:r>
              <w:rPr>
                <w:rFonts w:ascii="Arial" w:cs="Arial" w:eastAsia="Arial" w:hAnsi="Arial"/>
                <w:sz w:val="18"/>
                <w:szCs w:val="18"/>
                <w:color w:val="auto"/>
              </w:rPr>
              <w:t>closure charges</w:t>
            </w:r>
          </w:p>
        </w:tc>
        <w:tc>
          <w:tcPr>
            <w:tcW w:w="5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320" w:firstLine="318"/>
        <w:spacing w:after="0" w:line="239" w:lineRule="auto"/>
        <w:rPr>
          <w:sz w:val="20"/>
          <w:szCs w:val="20"/>
          <w:color w:val="auto"/>
        </w:rPr>
      </w:pPr>
      <w:r>
        <w:rPr>
          <w:rFonts w:ascii="Arial" w:cs="Arial" w:eastAsia="Arial" w:hAnsi="Arial"/>
          <w:sz w:val="18"/>
          <w:szCs w:val="18"/>
          <w:color w:val="auto"/>
        </w:rPr>
        <w:t>The closure charges for the three months ended June 30, 2021 related to the establishment of or revision to closure reserves for approximately 30 IHOP restaurants. The closure charges for the six months ended June 30, 2021 related to the establishment of or revision to closure reserves for approximately 50 IHOP restaurants.</w:t>
      </w:r>
    </w:p>
    <w:p>
      <w:pPr>
        <w:spacing w:after="0" w:line="216"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Long-lived tangible asset impairment charges for the three months ended June 30, 2021 related to three IHOP franchisee-operated restaurants for which the carrying amount exceeded the undiscounted cash flows. Long-lived tangible asset impairment charges for the six months ended June 30, 2021 related to four IHOP franchisee-operated restaurants for which the carrying amount exceeded the undiscounted cash flows. The charges in both periods primarily related to the impairment of operating lease right-of-use assets that had been recorded in 2019 upon adoption of new lease accounting guidance codified in Accounting Standards Codification Topic 842.</w:t>
      </w:r>
    </w:p>
    <w:p>
      <w:pPr>
        <w:spacing w:after="0" w:line="220"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217"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We determined that an interim quantitative test of goodwill and indefinite-lived intangible assets for impairment should be performed as of May 24, 2020 based on circumstances that had arisen from the COVID-19 epidemic. In determining fair value, we utilized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pacing w:after="0" w:line="217" w:lineRule="exact"/>
        <w:rPr>
          <w:sz w:val="20"/>
          <w:szCs w:val="20"/>
          <w:color w:val="auto"/>
        </w:rPr>
      </w:pPr>
    </w:p>
    <w:p>
      <w:pPr>
        <w:ind w:right="220" w:firstLine="318"/>
        <w:spacing w:after="0" w:line="305" w:lineRule="auto"/>
        <w:rPr>
          <w:sz w:val="20"/>
          <w:szCs w:val="20"/>
          <w:color w:val="auto"/>
        </w:rPr>
      </w:pPr>
      <w:r>
        <w:rPr>
          <w:rFonts w:ascii="Arial" w:cs="Arial" w:eastAsia="Arial" w:hAnsi="Arial"/>
          <w:sz w:val="15"/>
          <w:szCs w:val="15"/>
          <w:color w:val="auto"/>
        </w:rPr>
        <w:t>In performing the quantitative test for impairment of goodwill, we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 In performing the impairment review of the tradename, we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181"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Applebee's goodwill of $92.2 million and an impairment of Applebee's tradename of $11.0 million during the three and six months ended June 30, 2020.</w:t>
      </w:r>
    </w:p>
    <w:p>
      <w:pPr>
        <w:spacing w:after="0" w:line="207"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majority of the impairment was due to an increase in the assessed risk premium incorporated in the discount rate. These assets are at risk of additional impairment in the future in the event of sustained downward movement in the Company's stock price, downward revisions of long-term performance assumptions or increases in the assumed long-term discount rate.</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firstLine="318"/>
        <w:spacing w:after="0" w:line="309" w:lineRule="auto"/>
        <w:rPr>
          <w:sz w:val="20"/>
          <w:szCs w:val="20"/>
          <w:color w:val="auto"/>
        </w:rPr>
      </w:pPr>
      <w:r>
        <w:rPr>
          <w:rFonts w:ascii="Arial" w:cs="Arial" w:eastAsia="Arial" w:hAnsi="Arial"/>
          <w:sz w:val="15"/>
          <w:szCs w:val="15"/>
          <w:color w:val="auto"/>
        </w:rPr>
        <w:t>During the three and six months ended June 30, 2020, we recognized a long-lived asset impairment totaling $17.2 million related to 46 Applebee's company-operated restaurants and 33 IHOP franchisee-operated restaurants for which the carrying amount exceeded the undiscounted cash flows. The impairment recorded represented the difference between the carrying value and the estimated fair value. Approximately $9.4 million of the total impairment related to operating lease right-of-use assets that had been recorded in 2019 upon adoption of new accounting guidance for leases codified in Accounting Standards Topic 842, while $7.8 million related to impairments of land, building, leasehold improvements and finance leases. The impairments by individual property varied in amount, ranging from the largest individual impairment of $1.3 million to less than $5,000.</w:t>
      </w:r>
    </w:p>
    <w:p>
      <w:pPr>
        <w:spacing w:after="0" w:line="178"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An impairment of $3.3 million was recognized during the three and six months ended June 30, 2020 related to the reacquired franchise rights intangible asset recorded in the purchase price allocation of the December 2018 acquisition of 69 Applebee's restaurants from a former franchisee.</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Other Income and</w:t>
      </w:r>
    </w:p>
    <w:tbl>
      <w:tblPr>
        <w:tblLayout w:type="fixed"/>
        <w:tblInd w:w="320" w:type="dxa"/>
        <w:tblCellMar>
          <w:top w:w="0" w:type="dxa"/>
          <w:left w:w="0" w:type="dxa"/>
          <w:bottom w:w="0" w:type="dxa"/>
          <w:right w:w="0" w:type="dxa"/>
        </w:tblCellMar>
      </w:tblPr>
      <w:tr>
        <w:trPr>
          <w:trHeight w:val="40"/>
        </w:trPr>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80" w:type="dxa"/>
            <w:vAlign w:val="bottom"/>
            <w:gridSpan w:val="5"/>
            <w:vMerge w:val="restart"/>
          </w:tcPr>
          <w:p>
            <w:pPr>
              <w:ind w:left="100"/>
              <w:spacing w:after="0" w:line="159" w:lineRule="exact"/>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3"/>
                <w:szCs w:val="3"/>
                <w:color w:val="auto"/>
              </w:rPr>
            </w:pPr>
          </w:p>
        </w:tc>
        <w:tc>
          <w:tcPr>
            <w:tcW w:w="960" w:type="dxa"/>
            <w:vAlign w:val="bottom"/>
            <w:gridSpan w:val="2"/>
            <w:vMerge w:val="restart"/>
          </w:tcPr>
          <w:p>
            <w:pPr>
              <w:ind w:left="60"/>
              <w:spacing w:after="0" w:line="159" w:lineRule="exact"/>
              <w:rPr>
                <w:sz w:val="20"/>
                <w:szCs w:val="20"/>
                <w:color w:val="auto"/>
              </w:rPr>
            </w:pPr>
            <w:r>
              <w:rPr>
                <w:rFonts w:ascii="Arial" w:cs="Arial" w:eastAsia="Arial" w:hAnsi="Arial"/>
                <w:sz w:val="14"/>
                <w:szCs w:val="14"/>
                <w:b w:val="1"/>
                <w:bCs w:val="1"/>
                <w:color w:val="auto"/>
              </w:rPr>
              <w:t>Favorable</w:t>
            </w:r>
          </w:p>
        </w:tc>
        <w:tc>
          <w:tcPr>
            <w:tcW w:w="540" w:type="dxa"/>
            <w:vAlign w:val="bottom"/>
          </w:tcPr>
          <w:p>
            <w:pPr>
              <w:spacing w:after="0"/>
              <w:rPr>
                <w:sz w:val="3"/>
                <w:szCs w:val="3"/>
                <w:color w:val="auto"/>
              </w:rPr>
            </w:pPr>
          </w:p>
        </w:tc>
        <w:tc>
          <w:tcPr>
            <w:tcW w:w="2220" w:type="dxa"/>
            <w:vAlign w:val="bottom"/>
            <w:gridSpan w:val="3"/>
            <w:vMerge w:val="restart"/>
          </w:tcPr>
          <w:p>
            <w:pPr>
              <w:jc w:val="right"/>
              <w:ind w:right="233"/>
              <w:spacing w:after="0" w:line="159" w:lineRule="exact"/>
              <w:rPr>
                <w:sz w:val="20"/>
                <w:szCs w:val="20"/>
                <w:color w:val="auto"/>
              </w:rPr>
            </w:pPr>
            <w:r>
              <w:rPr>
                <w:rFonts w:ascii="Arial" w:cs="Arial" w:eastAsia="Arial" w:hAnsi="Arial"/>
                <w:sz w:val="16"/>
                <w:szCs w:val="16"/>
                <w:b w:val="1"/>
                <w:bCs w:val="1"/>
                <w:color w:val="auto"/>
                <w:w w:val="91"/>
              </w:rPr>
              <w:t>Six months ended June 30,</w:t>
            </w:r>
          </w:p>
        </w:tc>
        <w:tc>
          <w:tcPr>
            <w:tcW w:w="580" w:type="dxa"/>
            <w:vAlign w:val="bottom"/>
          </w:tcPr>
          <w:p>
            <w:pPr>
              <w:spacing w:after="0"/>
              <w:rPr>
                <w:sz w:val="3"/>
                <w:szCs w:val="3"/>
                <w:color w:val="auto"/>
              </w:rPr>
            </w:pPr>
          </w:p>
        </w:tc>
        <w:tc>
          <w:tcPr>
            <w:tcW w:w="740" w:type="dxa"/>
            <w:vAlign w:val="bottom"/>
            <w:vMerge w:val="restart"/>
          </w:tcPr>
          <w:p>
            <w:pPr>
              <w:jc w:val="right"/>
              <w:spacing w:after="0" w:line="159" w:lineRule="exact"/>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line="20" w:lineRule="exact"/>
              <w:rPr>
                <w:sz w:val="1"/>
                <w:szCs w:val="1"/>
                <w:color w:val="auto"/>
              </w:rPr>
            </w:pPr>
          </w:p>
        </w:tc>
      </w:tr>
      <w:tr>
        <w:trPr>
          <w:trHeight w:val="125"/>
        </w:trPr>
        <w:tc>
          <w:tcPr>
            <w:tcW w:w="180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Expense Items</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restart"/>
          </w:tcPr>
          <w:p>
            <w:pPr>
              <w:jc w:val="center"/>
              <w:ind w:right="100"/>
              <w:spacing w:after="0" w:line="93" w:lineRule="exact"/>
              <w:rPr>
                <w:sz w:val="20"/>
                <w:szCs w:val="20"/>
                <w:color w:val="auto"/>
              </w:rPr>
            </w:pPr>
            <w:r>
              <w:rPr>
                <w:rFonts w:ascii="Arial" w:cs="Arial" w:eastAsia="Arial" w:hAnsi="Arial"/>
                <w:sz w:val="10"/>
                <w:szCs w:val="10"/>
                <w:b w:val="1"/>
                <w:bCs w:val="1"/>
                <w:color w:val="auto"/>
              </w:rPr>
              <w:t>(Unfavorable)</w:t>
            </w: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gridSpan w:val="2"/>
            <w:vMerge w:val="restart"/>
          </w:tcPr>
          <w:p>
            <w:pPr>
              <w:jc w:val="right"/>
              <w:ind w:right="35"/>
              <w:spacing w:after="0" w:line="93" w:lineRule="exact"/>
              <w:rPr>
                <w:sz w:val="20"/>
                <w:szCs w:val="20"/>
                <w:color w:val="auto"/>
              </w:rPr>
            </w:pPr>
            <w:r>
              <w:rPr>
                <w:rFonts w:ascii="Arial" w:cs="Arial" w:eastAsia="Arial" w:hAnsi="Arial"/>
                <w:sz w:val="10"/>
                <w:szCs w:val="10"/>
                <w:b w:val="1"/>
                <w:bCs w:val="1"/>
                <w:color w:val="auto"/>
              </w:rPr>
              <w:t>(Unfavorable)</w:t>
            </w:r>
          </w:p>
        </w:tc>
        <w:tc>
          <w:tcPr>
            <w:tcW w:w="0" w:type="dxa"/>
            <w:vAlign w:val="bottom"/>
          </w:tcPr>
          <w:p>
            <w:pPr>
              <w:spacing w:after="0"/>
              <w:rPr>
                <w:sz w:val="1"/>
                <w:szCs w:val="1"/>
                <w:color w:val="auto"/>
              </w:rPr>
            </w:pPr>
          </w:p>
        </w:tc>
      </w:tr>
      <w:tr>
        <w:trPr>
          <w:trHeight w:val="46"/>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vMerge w:val="restart"/>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4"/>
                <w:szCs w:val="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1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Variance</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CCEEFF"/>
          </w:tcPr>
          <w:p>
            <w:pPr>
              <w:spacing w:after="0"/>
              <w:rPr>
                <w:sz w:val="19"/>
                <w:szCs w:val="19"/>
                <w:color w:val="auto"/>
              </w:rPr>
            </w:pPr>
          </w:p>
        </w:tc>
        <w:tc>
          <w:tcPr>
            <w:tcW w:w="24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32.2</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2440" w:type="dxa"/>
            <w:vAlign w:val="bottom"/>
            <w:gridSpan w:val="4"/>
          </w:tcPr>
          <w:p>
            <w:pPr>
              <w:ind w:left="320"/>
              <w:spacing w:after="0" w:line="173" w:lineRule="exact"/>
              <w:rPr>
                <w:sz w:val="20"/>
                <w:szCs w:val="20"/>
                <w:color w:val="auto"/>
              </w:rPr>
            </w:pPr>
            <w:r>
              <w:rPr>
                <w:rFonts w:ascii="Arial" w:cs="Arial" w:eastAsia="Arial" w:hAnsi="Arial"/>
                <w:sz w:val="18"/>
                <w:szCs w:val="18"/>
                <w:color w:val="auto"/>
              </w:rPr>
              <w:t>Amortization of intangible</w:t>
            </w:r>
          </w:p>
        </w:tc>
        <w:tc>
          <w:tcPr>
            <w:tcW w:w="5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2540" w:type="dxa"/>
            <w:vAlign w:val="bottom"/>
            <w:gridSpan w:val="5"/>
          </w:tcPr>
          <w:p>
            <w:pPr>
              <w:ind w:left="100"/>
              <w:spacing w:after="0"/>
              <w:rPr>
                <w:sz w:val="20"/>
                <w:szCs w:val="20"/>
                <w:color w:val="auto"/>
              </w:rPr>
            </w:pPr>
            <w:r>
              <w:rPr>
                <w:rFonts w:ascii="Arial" w:cs="Arial" w:eastAsia="Arial" w:hAnsi="Arial"/>
                <w:sz w:val="18"/>
                <w:szCs w:val="18"/>
                <w:color w:val="auto"/>
              </w:rPr>
              <w:t>assets</w:t>
            </w:r>
          </w:p>
        </w:tc>
        <w:tc>
          <w:tcPr>
            <w:tcW w:w="5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0" w:type="dxa"/>
            <w:vAlign w:val="bottom"/>
            <w:shd w:val="clear" w:color="auto" w:fill="CCEEFF"/>
          </w:tcPr>
          <w:p>
            <w:pPr>
              <w:spacing w:after="0"/>
              <w:rPr>
                <w:sz w:val="15"/>
                <w:szCs w:val="15"/>
                <w:color w:val="auto"/>
              </w:rPr>
            </w:pPr>
          </w:p>
        </w:tc>
        <w:tc>
          <w:tcPr>
            <w:tcW w:w="2440" w:type="dxa"/>
            <w:vAlign w:val="bottom"/>
            <w:gridSpan w:val="4"/>
            <w:shd w:val="clear" w:color="auto" w:fill="CCEEFF"/>
          </w:tcPr>
          <w:p>
            <w:pPr>
              <w:ind w:left="320"/>
              <w:spacing w:after="0" w:line="174" w:lineRule="exact"/>
              <w:rPr>
                <w:sz w:val="20"/>
                <w:szCs w:val="20"/>
                <w:color w:val="auto"/>
              </w:rPr>
            </w:pPr>
            <w:r>
              <w:rPr>
                <w:rFonts w:ascii="Arial" w:cs="Arial" w:eastAsia="Arial" w:hAnsi="Arial"/>
                <w:sz w:val="18"/>
                <w:szCs w:val="18"/>
                <w:color w:val="auto"/>
              </w:rPr>
              <w:t>(Gain) loss on disposition</w:t>
            </w:r>
          </w:p>
        </w:tc>
        <w:tc>
          <w:tcPr>
            <w:tcW w:w="5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25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of assets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37.7</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Interest expense, net</w:t>
      </w:r>
    </w:p>
    <w:p>
      <w:pPr>
        <w:spacing w:after="0" w:line="24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 xml:space="preserve">We had no borrowings outstanding under our Credit Facility during the three months ended June 30, 2021, whereas we had $220 million outstanding during the entire three months ended June 30, 2020. Accordingly, interest expense, net was lower for the 2021 period than the 2020 period. Interest expense, net for the six months ended June 30, 2021 was slightly lower than the same period of the prior year, as borrowings under our Credit Facility were outstanding for fewer days in the 2021 period than the 2020 period. We borrowed $220.0 million during the third week of March 2020 and that amount remained outstanding until it was repaid the first week of March 2021.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 xml:space="preserve"> for additional discussion related to our Credit Facility.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Loss on disposition of assets</w:t>
      </w:r>
    </w:p>
    <w:p>
      <w:pPr>
        <w:spacing w:after="0" w:line="230" w:lineRule="exact"/>
        <w:rPr>
          <w:sz w:val="20"/>
          <w:szCs w:val="20"/>
          <w:color w:val="auto"/>
        </w:rPr>
      </w:pPr>
    </w:p>
    <w:p>
      <w:pPr>
        <w:ind w:right="880" w:firstLine="318"/>
        <w:spacing w:after="0" w:line="328" w:lineRule="auto"/>
        <w:rPr>
          <w:sz w:val="20"/>
          <w:szCs w:val="20"/>
          <w:color w:val="auto"/>
        </w:rPr>
      </w:pPr>
      <w:r>
        <w:rPr>
          <w:rFonts w:ascii="Arial" w:cs="Arial" w:eastAsia="Arial" w:hAnsi="Arial"/>
          <w:sz w:val="15"/>
          <w:szCs w:val="15"/>
          <w:color w:val="auto"/>
        </w:rPr>
        <w:t>There were no individually significant losses or gains on disposition of assets during the three and six months ended June 30, 2021. The loss on disposition of assets for the three and six months ended June 30, 2020 primarily related to termination of 13 IHOP restaurant leases.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18"/>
                <w:szCs w:val="18"/>
                <w:color w:val="auto"/>
              </w:rPr>
            </w:pPr>
          </w:p>
        </w:tc>
        <w:tc>
          <w:tcPr>
            <w:tcW w:w="2500" w:type="dxa"/>
            <w:vAlign w:val="bottom"/>
            <w:gridSpan w:val="3"/>
            <w:vMerge w:val="restart"/>
          </w:tcPr>
          <w:p>
            <w:pPr>
              <w:jc w:val="right"/>
              <w:ind w:right="294"/>
              <w:spacing w:after="0"/>
              <w:rPr>
                <w:sz w:val="20"/>
                <w:szCs w:val="20"/>
                <w:color w:val="auto"/>
              </w:rPr>
            </w:pPr>
            <w:r>
              <w:rPr>
                <w:rFonts w:ascii="Arial" w:cs="Arial" w:eastAsia="Arial" w:hAnsi="Arial"/>
                <w:sz w:val="16"/>
                <w:szCs w:val="16"/>
                <w:b w:val="1"/>
                <w:bCs w:val="1"/>
                <w:color w:val="auto"/>
                <w:w w:val="92"/>
              </w:rPr>
              <w:t>Three months ended June 30,</w:t>
            </w:r>
          </w:p>
        </w:tc>
        <w:tc>
          <w:tcPr>
            <w:tcW w:w="280" w:type="dxa"/>
            <w:vAlign w:val="bottom"/>
          </w:tcPr>
          <w:p>
            <w:pPr>
              <w:spacing w:after="0"/>
              <w:rPr>
                <w:sz w:val="18"/>
                <w:szCs w:val="18"/>
                <w:color w:val="auto"/>
              </w:rPr>
            </w:pPr>
          </w:p>
        </w:tc>
        <w:tc>
          <w:tcPr>
            <w:tcW w:w="12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3"/>
              </w:rPr>
              <w:t>Favorable</w:t>
            </w:r>
          </w:p>
        </w:tc>
        <w:tc>
          <w:tcPr>
            <w:tcW w:w="300" w:type="dxa"/>
            <w:vAlign w:val="bottom"/>
          </w:tcPr>
          <w:p>
            <w:pPr>
              <w:spacing w:after="0"/>
              <w:rPr>
                <w:sz w:val="18"/>
                <w:szCs w:val="18"/>
                <w:color w:val="auto"/>
              </w:rPr>
            </w:pPr>
          </w:p>
        </w:tc>
        <w:tc>
          <w:tcPr>
            <w:tcW w:w="2240" w:type="dxa"/>
            <w:vAlign w:val="bottom"/>
            <w:gridSpan w:val="3"/>
            <w:vMerge w:val="restart"/>
          </w:tcPr>
          <w:p>
            <w:pPr>
              <w:jc w:val="right"/>
              <w:ind w:right="294"/>
              <w:spacing w:after="0"/>
              <w:rPr>
                <w:sz w:val="20"/>
                <w:szCs w:val="20"/>
                <w:color w:val="auto"/>
              </w:rPr>
            </w:pPr>
            <w:r>
              <w:rPr>
                <w:rFonts w:ascii="Arial" w:cs="Arial" w:eastAsia="Arial" w:hAnsi="Arial"/>
                <w:sz w:val="16"/>
                <w:szCs w:val="16"/>
                <w:b w:val="1"/>
                <w:bCs w:val="1"/>
                <w:color w:val="auto"/>
                <w:w w:val="89"/>
              </w:rPr>
              <w:t>Six months ended June 30,</w:t>
            </w:r>
          </w:p>
        </w:tc>
        <w:tc>
          <w:tcPr>
            <w:tcW w:w="280" w:type="dxa"/>
            <w:vAlign w:val="bottom"/>
          </w:tcPr>
          <w:p>
            <w:pPr>
              <w:spacing w:after="0"/>
              <w:rPr>
                <w:sz w:val="18"/>
                <w:szCs w:val="18"/>
                <w:color w:val="auto"/>
              </w:rPr>
            </w:pPr>
          </w:p>
        </w:tc>
        <w:tc>
          <w:tcPr>
            <w:tcW w:w="1160" w:type="dxa"/>
            <w:vAlign w:val="bottom"/>
            <w:vMerge w:val="restart"/>
          </w:tcPr>
          <w:p>
            <w:pPr>
              <w:jc w:val="center"/>
              <w:ind w:right="10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jc w:val="center"/>
              <w:ind w:right="228"/>
              <w:spacing w:after="0" w:line="53" w:lineRule="exact"/>
              <w:rPr>
                <w:sz w:val="20"/>
                <w:szCs w:val="20"/>
                <w:color w:val="auto"/>
              </w:rPr>
            </w:pPr>
            <w:r>
              <w:rPr>
                <w:rFonts w:ascii="Arial" w:cs="Arial" w:eastAsia="Arial" w:hAnsi="Arial"/>
                <w:sz w:val="6"/>
                <w:szCs w:val="6"/>
                <w:b w:val="1"/>
                <w:bCs w:val="1"/>
                <w:color w:val="auto"/>
              </w:rPr>
              <w:t>(Unfavorable)</w:t>
            </w: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jc w:val="center"/>
              <w:ind w:right="107"/>
              <w:spacing w:after="0" w:line="53" w:lineRule="exact"/>
              <w:rPr>
                <w:sz w:val="20"/>
                <w:szCs w:val="20"/>
                <w:color w:val="auto"/>
              </w:rPr>
            </w:pPr>
            <w:r>
              <w:rPr>
                <w:rFonts w:ascii="Arial" w:cs="Arial" w:eastAsia="Arial" w:hAnsi="Arial"/>
                <w:sz w:val="6"/>
                <w:szCs w:val="6"/>
                <w:b w:val="1"/>
                <w:bCs w:val="1"/>
                <w:color w:val="auto"/>
              </w:rPr>
              <w:t>(Unfavorable)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Variance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185.4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7"/>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9.3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540"/>
              <w:spacing w:after="0"/>
              <w:rPr>
                <w:sz w:val="20"/>
                <w:szCs w:val="20"/>
                <w:color w:val="auto"/>
              </w:rPr>
            </w:pPr>
            <w:r>
              <w:rPr>
                <w:rFonts w:ascii="Arial" w:cs="Arial" w:eastAsia="Arial" w:hAnsi="Arial"/>
                <w:sz w:val="18"/>
                <w:szCs w:val="18"/>
                <w:color w:val="auto"/>
              </w:rPr>
              <w:t>(21.3)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5"/>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87"/>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340" w:firstLine="358"/>
        <w:spacing w:after="0" w:line="277" w:lineRule="auto"/>
        <w:rPr>
          <w:sz w:val="20"/>
          <w:szCs w:val="20"/>
          <w:color w:val="auto"/>
        </w:rPr>
      </w:pPr>
      <w:r>
        <w:rPr>
          <w:rFonts w:ascii="Arial" w:cs="Arial" w:eastAsia="Arial" w:hAnsi="Arial"/>
          <w:sz w:val="17"/>
          <w:szCs w:val="17"/>
          <w:color w:val="auto"/>
        </w:rPr>
        <w:t xml:space="preserve">Our income tax provision or benefit will vary from period to period in our normal course of business for two reasons: a change in income (loss) before income taxes and a change in the effective tax rate. Changes in our income (loss) before income taxes were addressed in the preceding sections of </w:t>
      </w:r>
      <w:r>
        <w:rPr>
          <w:rFonts w:ascii="Arial" w:cs="Arial" w:eastAsia="Arial" w:hAnsi="Arial"/>
          <w:sz w:val="17"/>
          <w:szCs w:val="17"/>
          <w:i w:val="1"/>
          <w:iCs w:val="1"/>
          <w:color w:val="auto"/>
        </w:rPr>
        <w:t>“Consolidated Results of Operations - Comparison of the Three and Six Months Ended June 30, 2021 and 2020.”</w:t>
      </w:r>
    </w:p>
    <w:p>
      <w:pPr>
        <w:spacing w:after="0" w:line="145" w:lineRule="exact"/>
        <w:rPr>
          <w:sz w:val="20"/>
          <w:szCs w:val="20"/>
          <w:color w:val="auto"/>
        </w:rPr>
      </w:pPr>
    </w:p>
    <w:p>
      <w:pPr>
        <w:ind w:right="140" w:firstLine="358"/>
        <w:spacing w:after="0" w:line="237" w:lineRule="auto"/>
        <w:rPr>
          <w:sz w:val="20"/>
          <w:szCs w:val="20"/>
          <w:color w:val="auto"/>
        </w:rPr>
      </w:pPr>
      <w:r>
        <w:rPr>
          <w:rFonts w:ascii="Arial" w:cs="Arial" w:eastAsia="Arial" w:hAnsi="Arial"/>
          <w:sz w:val="18"/>
          <w:szCs w:val="18"/>
          <w:color w:val="auto"/>
        </w:rPr>
        <w:t>Our effective tax rate for the three and six months ended June 30, 2021 was significantly different than the rate of the prior comparable period and the statutory federal tax rate of 21% primarily due to the one-time recognition of excess tax benefits on stock-based compensation related to the departure of our previous chief executive officer in the first quarter of 2021 and the impairment of goodwill in the second quarter of 2020 which was not deductible for income tax purposes and therefore had no associated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80" w:firstLine="362"/>
        <w:spacing w:after="0" w:line="312" w:lineRule="auto"/>
        <w:rPr>
          <w:sz w:val="20"/>
          <w:szCs w:val="20"/>
          <w:color w:val="auto"/>
        </w:rPr>
      </w:pPr>
      <w:r>
        <w:rPr>
          <w:rFonts w:ascii="Arial" w:cs="Arial" w:eastAsia="Arial" w:hAnsi="Arial"/>
          <w:sz w:val="15"/>
          <w:szCs w:val="15"/>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77"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 Co-Issuers also established a new revolving financing facility, the 2019-1 Variable Funding Senior Notes, Class A-1 (the “Credit Facility”) that allows for drawings up to $225 million of variable funding notes and the issuance of letters of credit. The 2019 Class A-2 Notes and the Credit Facility are referred to collectively herein as the “New Notes.” 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w:t>
      </w:r>
    </w:p>
    <w:p>
      <w:pPr>
        <w:spacing w:after="0" w:line="207"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leverage ratio is not a maintenance covenant and exceeding the leverage ratio of 5.25x does not violate any covenant related to the New Notes. The complete definitions of all calculation elements of the leverage ratio are contained in the Base Indenture, dated as of September 30, 2014,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In general, the leverage ratio is our indebtedness (as defined in the Indenture) divided by adjusted EBITDA (as defined in the Indenture) for the four preceding quarterly periods.</w:t>
      </w:r>
    </w:p>
    <w:p>
      <w:pPr>
        <w:spacing w:after="0" w:line="18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As of June 30, 2021, our leverage ratio was 4.94x. As a result, quarterly principal payments on the 2019 Class A-2 Notes will no longer be required after the scheduled $3.25 million principal payment is made on September 7, 2021.</w:t>
      </w:r>
    </w:p>
    <w:p>
      <w:pPr>
        <w:spacing w:after="0" w:line="207"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Company may voluntarily repay the 2019 Class A-2 Notes at any time; however, if we repay the 2019 Class A-2 Notes prior to certain dates we would be required to pay make-whole premiums. As of June 30, 2021, the make-whole premium associated with voluntary prepayment of the Class A-2-I Notes was approximately $22 million; this amount declines each quarter to zero in June 2022. As of June 30, 2021, the make-whole premium associated with voluntary prepayment of the Class A-2-II Notes was approximately $57 million; this amount declines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We estimated the fair value of these derivatives to be immaterial as of June 30, 2021, based on the probability-weighted discounted cash flows associated with either event.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Covenants and Restrictions</w:t>
      </w:r>
    </w:p>
    <w:p>
      <w:pPr>
        <w:spacing w:after="0" w:line="13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 The New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New Notes are also subject to certain customary events of default, including events relating to non-payment of required interest, principal or other amounts due,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238"/>
        <w:spacing w:after="0" w:line="306" w:lineRule="auto"/>
        <w:rPr>
          <w:sz w:val="20"/>
          <w:szCs w:val="20"/>
          <w:color w:val="auto"/>
        </w:rPr>
      </w:pPr>
      <w:r>
        <w:rPr>
          <w:rFonts w:ascii="Arial" w:cs="Arial" w:eastAsia="Arial" w:hAnsi="Arial"/>
          <w:sz w:val="15"/>
          <w:szCs w:val="15"/>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3" w:lineRule="exact"/>
        <w:rPr>
          <w:sz w:val="20"/>
          <w:szCs w:val="20"/>
          <w:color w:val="auto"/>
        </w:rPr>
      </w:pPr>
    </w:p>
    <w:p>
      <w:pPr>
        <w:ind w:left="1280" w:hanging="32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5" w:lineRule="exact"/>
        <w:rPr>
          <w:rFonts w:ascii="Arial" w:cs="Arial" w:eastAsia="Arial" w:hAnsi="Arial"/>
          <w:sz w:val="18"/>
          <w:szCs w:val="18"/>
          <w:color w:val="auto"/>
        </w:rPr>
      </w:pPr>
    </w:p>
    <w:p>
      <w:pPr>
        <w:ind w:left="1280" w:hanging="320"/>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DSCR for the reporting period ended June 30, 2021 was approximately 4.6x.</w:t>
      </w:r>
    </w:p>
    <w:p>
      <w:pPr>
        <w:spacing w:after="0" w:line="244" w:lineRule="exact"/>
        <w:rPr>
          <w:sz w:val="20"/>
          <w:szCs w:val="20"/>
          <w:color w:val="auto"/>
        </w:rPr>
      </w:pPr>
    </w:p>
    <w:p>
      <w:pPr>
        <w:jc w:val="both"/>
        <w:ind w:right="40" w:firstLine="318"/>
        <w:spacing w:after="0" w:line="330" w:lineRule="auto"/>
        <w:rPr>
          <w:sz w:val="20"/>
          <w:szCs w:val="20"/>
          <w:color w:val="auto"/>
        </w:rPr>
      </w:pPr>
      <w:r>
        <w:rPr>
          <w:rFonts w:ascii="Arial" w:cs="Arial" w:eastAsia="Arial" w:hAnsi="Arial"/>
          <w:sz w:val="15"/>
          <w:szCs w:val="15"/>
          <w:color w:val="auto"/>
        </w:rPr>
        <w:t>During the second quarter of 2020, we voluntarily increased the interest reserve set aside for our securitized debt from the required $16.4 million to $32.8 million, which represented an estimated six months of interest and fees related to the 2019 Class A-2 Notes and the Credit Facility. In April 2021, we reduced the balance of the interest reserve to $16.4 million, the required three months of interest and fees related to the 2019 Class A-2 Notes and the Credit Facility.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Credit Facilities</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March 2020, the Co-Issuers drew down a total of $220.0 million from the Credit Facility. The $220.0 million borrowing was repaid on March 5, 2021. The current interest rate for borrowings under the Credit Facility is the three-month LIBOR rate plus 2.15% for 60% of the advances and the commercial paper funding rate of our conduit investor plus 2.15% for 40% of the advances. The weighted average interest rate on Credit Facility borrowings for the period outstanding during the six months ended June 30, 2021 was 2.4%; there were no Credit Facility borrowings outstanding during the three months ended June 30, 2021.</w:t>
      </w:r>
    </w:p>
    <w:p>
      <w:pPr>
        <w:spacing w:after="0" w:line="220"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At June 30, 2021, there were no outstanding borrowings under the Credit Facility. At June 30, 2021, $3.3 million was pledged against the Credit Facility for outstanding letters of credit, leaving $221.7 million available for borrowing. The letters of credit are used primarily to satisfy insurance-related collateral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 To maintain financial flexibility in light of the COVID-19 pandemic, we have not declared any dividends after the first quarter of 2020 and have suspended repurchasing our common stock. We will continue to evaluate our capital allocation strategy in consideration of, among other things, resurgence of COVID-19 infections due to variants of the virus and changes in the percentage of the population that is fully vaccinated, as well as overall industry conditions.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Dividends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Dividends declared and paid per share for the three and six months ended June 30, 2021 and 2020 were as follows:</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208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w w:val="89"/>
              </w:rPr>
              <w:t>Six months ended June 30,</w:t>
            </w:r>
          </w:p>
        </w:tc>
      </w:tr>
      <w:tr>
        <w:trPr>
          <w:trHeight w:val="206"/>
        </w:trPr>
        <w:tc>
          <w:tcPr>
            <w:tcW w:w="52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center"/>
              <w:ind w:left="436"/>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2020</w:t>
            </w:r>
          </w:p>
        </w:tc>
      </w:tr>
      <w:tr>
        <w:trPr>
          <w:trHeight w:val="221"/>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per common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Dividends paid per common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33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Repurchases</w:t>
      </w:r>
    </w:p>
    <w:p>
      <w:pPr>
        <w:spacing w:after="0" w:line="23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February 2019, the Company’s Board of Directors approved a stock repurchase program authorizing the Company to repurchase up to $200 million of the Company’s common stock (the “2019 Repurchase Program”) on an opportunistic basis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15"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 Company did not repurchase any shares during three and six months ended June 30, 2021. We did not repurchase any shares during the three months ended June 30, 2020 and repurchased 459,899 shares during the six months ended June 30, 2020. As of June 30, 2021, cumulative repurchases of stock total 1,697,597 shares at a cost of $129.8 million, with $70.2 million remaining for repurchase under the 2019 Repurchase Program.</w:t>
      </w:r>
    </w:p>
    <w:p>
      <w:pPr>
        <w:spacing w:after="0" w:line="163" w:lineRule="exact"/>
        <w:rPr>
          <w:sz w:val="20"/>
          <w:szCs w:val="20"/>
          <w:color w:val="auto"/>
        </w:rPr>
      </w:pPr>
    </w:p>
    <w:p>
      <w:pPr>
        <w:ind w:right="200" w:firstLine="318"/>
        <w:spacing w:after="0" w:line="239"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second quarter of 2021.</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summary, our cash flows for the six months ended June 30, 2021 and June 30, 2020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40" w:type="dxa"/>
            <w:vAlign w:val="bottom"/>
          </w:tcPr>
          <w:p>
            <w:pPr>
              <w:spacing w:after="0"/>
              <w:rPr>
                <w:sz w:val="18"/>
                <w:szCs w:val="18"/>
                <w:color w:val="auto"/>
              </w:rPr>
            </w:pPr>
          </w:p>
        </w:tc>
        <w:tc>
          <w:tcPr>
            <w:tcW w:w="3140" w:type="dxa"/>
            <w:vAlign w:val="bottom"/>
            <w:gridSpan w:val="6"/>
          </w:tcPr>
          <w:p>
            <w:pPr>
              <w:ind w:left="62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Variance</w:t>
            </w:r>
          </w:p>
        </w:tc>
      </w:tr>
      <w:tr>
        <w:trPr>
          <w:trHeight w:val="180"/>
        </w:trPr>
        <w:tc>
          <w:tcPr>
            <w:tcW w:w="6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r>
      <w:tr>
        <w:trPr>
          <w:trHeight w:val="219"/>
        </w:trPr>
        <w:tc>
          <w:tcPr>
            <w:tcW w:w="64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r>
      <w:tr>
        <w:trPr>
          <w:trHeight w:val="20"/>
        </w:trPr>
        <w:tc>
          <w:tcPr>
            <w:tcW w:w="6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Operating Activities</w:t>
      </w:r>
    </w:p>
    <w:p>
      <w:pPr>
        <w:spacing w:after="0" w:line="24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Cash provided by operating activities increased $116.5 million during the six months ended June 30, 2021 compared to the same period of the prior year. Our net income plus the non-cash reconciling items shown in our statements of cash flows (primarily closure and impairment charges, depreciation, deferred taxes and stock-based compensation) increased $41.5 million from 2020. This was primarily due to an increase in gross profit and the recognition of excess tax benefits on stock-based compensation, partially offset by an increase in G&amp;A expenses, each of which was discussed in preceding sections of the MD&amp;A. Net changes in working capital provided cash of $37.7 million during the six months ended June 30, 2021 compared to using cash of $37.4 million during the same period of the prior year, a favorable change of $75.1 million. The favorable change in working capital was primarily due to an increase in cash from trade receivables and the timing of marketing disbursements. As discussed under “</w:t>
      </w:r>
      <w:r>
        <w:rPr>
          <w:rFonts w:ascii="Arial" w:cs="Arial" w:eastAsia="Arial" w:hAnsi="Arial"/>
          <w:sz w:val="17"/>
          <w:szCs w:val="17"/>
          <w:i w:val="1"/>
          <w:iCs w:val="1"/>
          <w:color w:val="auto"/>
        </w:rPr>
        <w:t>Update on COVID-19 Pandemic Actions,</w:t>
      </w:r>
      <w:r>
        <w:rPr>
          <w:rFonts w:ascii="Arial" w:cs="Arial" w:eastAsia="Arial" w:hAnsi="Arial"/>
          <w:sz w:val="17"/>
          <w:szCs w:val="17"/>
          <w:color w:val="auto"/>
        </w:rPr>
        <w:t>” during the first six month ended June 30, 2020, we allowed our Applebee's and IHOP franchisees to defer approximately $58 million of payments for royalty, advertising and other fees, adversely impacting our net change in working capital for that period. During the six months ended June 30, 2021, we collected approximately $25 million in repayments of those deferrals.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Investing Activities</w:t>
      </w:r>
    </w:p>
    <w:p>
      <w:pPr>
        <w:spacing w:after="0" w:line="217"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Investing activities provided net cash of $6.3 million for the six months ended June 30, 2021. Principal receipts from notes, equipment contracts and other long-term receivables of $9.7 million and proceeds from asset sales of $0.9 million were partially offset by capital expenditures of $4.1 million. Investing activities provided net cash of $2.1 million for the six months ended June 30, 2020. The variance between the two periods primarily was due to a decrease in capital expenditures during the six months ended June 30, 2021 compared to the same period of the prior year.</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Financing Activities</w:t>
      </w:r>
    </w:p>
    <w:p>
      <w:pPr>
        <w:spacing w:after="0" w:line="217"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Financing activities used net cash of $220.4 million for the six months ended June 30, 2021. As discussed above under “</w:t>
      </w:r>
      <w:r>
        <w:rPr>
          <w:rFonts w:ascii="Arial" w:cs="Arial" w:eastAsia="Arial" w:hAnsi="Arial"/>
          <w:sz w:val="18"/>
          <w:szCs w:val="18"/>
          <w:i w:val="1"/>
          <w:iCs w:val="1"/>
          <w:color w:val="auto"/>
        </w:rPr>
        <w:t>Use of Credit Facilities</w:t>
      </w:r>
      <w:r>
        <w:rPr>
          <w:rFonts w:ascii="Arial" w:cs="Arial" w:eastAsia="Arial" w:hAnsi="Arial"/>
          <w:sz w:val="18"/>
          <w:szCs w:val="18"/>
          <w:color w:val="auto"/>
        </w:rPr>
        <w:t>,” we repaid $220.0 million borrowed from our Credit Facility. We also made payments totaling $11.7 million on long-term debt and capital lease obligations and paid $9.7 million for taxes withheld for vesting of restricted stock units. We had a net cash inflow of approximately $21.1 million related to equity compensation awards</w:t>
      </w:r>
      <w:r>
        <w:rPr>
          <w:rFonts w:ascii="Arial" w:cs="Arial" w:eastAsia="Arial" w:hAnsi="Arial"/>
          <w:sz w:val="14"/>
          <w:szCs w:val="14"/>
          <w:color w:val="auto"/>
        </w:rPr>
        <w:t>.</w:t>
      </w:r>
    </w:p>
    <w:p>
      <w:pPr>
        <w:spacing w:after="0" w:line="2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Financing activities provided net cash of $178.4 million for the six months ended June 30, 2020, primarily due to borrowing of $220.0 million from our Credit Facility to increase our financial flexibility in light of current market conditions and uncertainty due to the COVID-19 outbreak. We also had a net cash inflow of approximately $18.2 million related to equity</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compensation awards</w:t>
      </w:r>
      <w:r>
        <w:rPr>
          <w:rFonts w:ascii="Arial" w:cs="Arial" w:eastAsia="Arial" w:hAnsi="Arial"/>
          <w:sz w:val="14"/>
          <w:szCs w:val="14"/>
          <w:color w:val="auto"/>
        </w:rPr>
        <w:t>.</w:t>
      </w:r>
      <w:r>
        <w:rPr>
          <w:rFonts w:ascii="Arial" w:cs="Arial" w:eastAsia="Arial" w:hAnsi="Arial"/>
          <w:sz w:val="18"/>
          <w:szCs w:val="18"/>
          <w:color w:val="auto"/>
        </w:rPr>
        <w:t xml:space="preserve"> These financing inflows were partially offset by cash dividends paid on our common stock totaling $23.9 million, repurchases of our common stock totaling $29.9 million and repayments of finance lease obligations of $6.0 million.</w:t>
      </w: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total cash balances as of June 30, 2021 and December 31, 2020 were are follows:</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5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25"/>
        </w:trPr>
        <w:tc>
          <w:tcPr>
            <w:tcW w:w="5820" w:type="dxa"/>
            <w:vAlign w:val="bottom"/>
          </w:tcPr>
          <w:p>
            <w:pPr>
              <w:spacing w:after="0"/>
              <w:rPr>
                <w:sz w:val="20"/>
                <w:szCs w:val="20"/>
                <w:color w:val="auto"/>
              </w:rPr>
            </w:pPr>
            <w:r>
              <w:rPr>
                <w:rFonts w:ascii="Arial" w:cs="Arial" w:eastAsia="Arial" w:hAnsi="Arial"/>
                <w:sz w:val="18"/>
                <w:szCs w:val="18"/>
                <w:color w:val="auto"/>
              </w:rPr>
              <w:t>Restricted cash, current</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6"/>
        </w:trPr>
        <w:tc>
          <w:tcPr>
            <w:tcW w:w="582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19"/>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w:t>
            </w:r>
          </w:p>
        </w:tc>
      </w:tr>
      <w:tr>
        <w:trPr>
          <w:trHeight w:val="20"/>
        </w:trPr>
        <w:tc>
          <w:tcPr>
            <w:tcW w:w="5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Cash and cash equivalents include $76.2 million and $71.6 million of cash held for gift card programs and advertising funds as of June 30, 2021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respectively. The decrease in cash and cash equivalents between December 31, 2020 and June 30, 2021 was due to the repayment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$220.0 million discussed above under “</w:t>
      </w:r>
      <w:r>
        <w:rPr>
          <w:rFonts w:ascii="Arial" w:cs="Arial" w:eastAsia="Arial" w:hAnsi="Arial"/>
          <w:sz w:val="15"/>
          <w:szCs w:val="15"/>
          <w:i w:val="1"/>
          <w:iCs w:val="1"/>
          <w:color w:val="auto"/>
        </w:rPr>
        <w:t>Use of Credit Facilities</w:t>
      </w:r>
      <w:r>
        <w:rPr>
          <w:rFonts w:ascii="Arial" w:cs="Arial" w:eastAsia="Arial" w:hAnsi="Arial"/>
          <w:sz w:val="15"/>
          <w:szCs w:val="15"/>
          <w:color w:val="auto"/>
        </w:rPr>
        <w:t>,” offset by cash provided by operating activities during the six months ended June 30, 2021.</w:t>
      </w:r>
    </w:p>
    <w:p>
      <w:pPr>
        <w:spacing w:after="0" w:line="26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We believe that our unrestricted cash and cash equivalents on hand, cash flow from operations, and the $221.7 million of borrowing capacity available under our Credit Facility will provide us with adequate liquidity for the next twelve months.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72"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740" w:type="dxa"/>
            <w:vAlign w:val="bottom"/>
            <w:gridSpan w:val="6"/>
          </w:tcPr>
          <w:p>
            <w:pPr>
              <w:ind w:left="1080"/>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6"/>
        </w:trPr>
        <w:tc>
          <w:tcPr>
            <w:tcW w:w="54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Variance</w:t>
            </w:r>
          </w:p>
        </w:tc>
      </w:tr>
      <w:tr>
        <w:trPr>
          <w:trHeight w:val="180"/>
        </w:trPr>
        <w:tc>
          <w:tcPr>
            <w:tcW w:w="5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flows provided by (used in) operating activities</w:t>
            </w:r>
          </w:p>
        </w:tc>
        <w:tc>
          <w:tcPr>
            <w:tcW w:w="126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5"/>
        </w:trPr>
        <w:tc>
          <w:tcPr>
            <w:tcW w:w="5440" w:type="dxa"/>
            <w:vAlign w:val="bottom"/>
          </w:tcPr>
          <w:p>
            <w:pPr>
              <w:ind w:left="320"/>
              <w:spacing w:after="0"/>
              <w:rPr>
                <w:sz w:val="20"/>
                <w:szCs w:val="20"/>
                <w:color w:val="auto"/>
              </w:rPr>
            </w:pPr>
            <w:r>
              <w:rPr>
                <w:rFonts w:ascii="Arial" w:cs="Arial" w:eastAsia="Arial" w:hAnsi="Arial"/>
                <w:sz w:val="18"/>
                <w:szCs w:val="18"/>
                <w:color w:val="auto"/>
              </w:rPr>
              <w:t>Receipts from notes and equipment contracts receivable</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1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9"/>
        </w:trPr>
        <w:tc>
          <w:tcPr>
            <w:tcW w:w="5440" w:type="dxa"/>
            <w:vAlign w:val="bottom"/>
          </w:tcPr>
          <w:p>
            <w:pPr>
              <w:ind w:left="320"/>
              <w:spacing w:after="0"/>
              <w:rPr>
                <w:sz w:val="20"/>
                <w:szCs w:val="20"/>
                <w:color w:val="auto"/>
              </w:rPr>
            </w:pPr>
            <w:r>
              <w:rPr>
                <w:rFonts w:ascii="Arial" w:cs="Arial" w:eastAsia="Arial" w:hAnsi="Arial"/>
                <w:sz w:val="18"/>
                <w:szCs w:val="18"/>
                <w:b w:val="1"/>
                <w:bCs w:val="1"/>
                <w:color w:val="auto"/>
              </w:rPr>
              <w:t>Adjusted free cash flow</w:t>
            </w:r>
          </w:p>
        </w:tc>
        <w:tc>
          <w:tcPr>
            <w:tcW w:w="126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0"/>
        </w:trPr>
        <w:tc>
          <w:tcPr>
            <w:tcW w:w="5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have obligations for guarantees on certain franchisee lease agreements, as disclosed in Note 15 - Commitments and Contingencies, of Notes to Consolidated Financial Statements of Part I, Item 1 of this Form 10-Q. Other than such guarantees, we did not have any off-balance sheet arrangements, as defined in Item 303(a)(4) of SEC Regulation S-K as of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3"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As discussed above, in March 2021, we repaid $220 million of borrowings outstanding under our Credit Facility. Other than this transaction, there were no material changes to the contractual obligations table as disclosed in our Annual Report on Form 10-K for the year ended December 31, 2020.</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52"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2020. During the six months ended June 30, 2021, there were no significant changes in our critical accounting policies or in our critical accounting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3"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following change from the information contained in the Company’s Annual Report on Form 10-K for the year ended December 31, 2020 took place during the six months ended June 30,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only exposed to interest rate risk on borrowings we make under our Credit Facility, borrowings from which are subject to variable interest rates.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have no borrowings outstanding under the Credit Facility and currently are not exposed to 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3"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right="2300" w:firstLine="359"/>
        <w:spacing w:after="0" w:line="264"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0"/>
              </w:rPr>
              <w:t>Total number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14"/>
                <w:szCs w:val="14"/>
                <w:b w:val="1"/>
                <w:bCs w:val="1"/>
                <w:color w:val="auto"/>
                <w:w w:val="92"/>
              </w:rPr>
              <w:t>Approximate dollar value of</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 price</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shares purchased 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88"/>
              </w:rPr>
              <w:t>shares that may yet be</w:t>
            </w:r>
          </w:p>
        </w:tc>
        <w:tc>
          <w:tcPr>
            <w:tcW w:w="0" w:type="dxa"/>
            <w:vAlign w:val="bottom"/>
          </w:tcPr>
          <w:p>
            <w:pPr>
              <w:spacing w:after="0"/>
              <w:rPr>
                <w:sz w:val="1"/>
                <w:szCs w:val="1"/>
                <w:color w:val="auto"/>
              </w:rPr>
            </w:pPr>
          </w:p>
        </w:tc>
      </w:tr>
      <w:tr>
        <w:trPr>
          <w:trHeight w:val="133"/>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paid per</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9"/>
              </w:rPr>
              <w:t>purchased under the</w:t>
            </w:r>
          </w:p>
        </w:tc>
        <w:tc>
          <w:tcPr>
            <w:tcW w:w="0" w:type="dxa"/>
            <w:vAlign w:val="bottom"/>
          </w:tcPr>
          <w:p>
            <w:pPr>
              <w:spacing w:after="0"/>
              <w:rPr>
                <w:sz w:val="1"/>
                <w:szCs w:val="1"/>
                <w:color w:val="auto"/>
              </w:rPr>
            </w:pPr>
          </w:p>
        </w:tc>
      </w:tr>
      <w:tr>
        <w:trPr>
          <w:trHeight w:val="184"/>
        </w:trPr>
        <w:tc>
          <w:tcPr>
            <w:tcW w:w="450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 (a)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share</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(b)</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plans or programs (b)</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8"/>
                <w:szCs w:val="18"/>
                <w:color w:val="auto"/>
              </w:rPr>
              <w:t>April 5, 2021 - May 2, 2021</w:t>
            </w:r>
          </w:p>
        </w:tc>
        <w:tc>
          <w:tcPr>
            <w:tcW w:w="150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Arial" w:cs="Arial" w:eastAsia="Arial" w:hAnsi="Arial"/>
                <w:sz w:val="18"/>
                <w:szCs w:val="18"/>
                <w:color w:val="auto"/>
              </w:rPr>
              <w:t>May 3, 2021 - May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Arial" w:cs="Arial" w:eastAsia="Arial" w:hAnsi="Arial"/>
                <w:sz w:val="18"/>
                <w:szCs w:val="18"/>
                <w:color w:val="auto"/>
              </w:rPr>
              <w:t>May 31, 2021 - July 4,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70,200,000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right="120" w:hanging="234"/>
        <w:spacing w:after="0" w:line="270" w:lineRule="auto"/>
        <w:tabs>
          <w:tab w:leader="none" w:pos="157" w:val="left"/>
        </w:tabs>
        <w:numPr>
          <w:ilvl w:val="0"/>
          <w:numId w:val="23"/>
        </w:numPr>
        <w:rPr>
          <w:rFonts w:ascii="Arial" w:cs="Arial" w:eastAsia="Arial" w:hAnsi="Arial"/>
          <w:sz w:val="18"/>
          <w:szCs w:val="18"/>
          <w:color w:val="auto"/>
          <w:vertAlign w:val="superscript"/>
        </w:rPr>
      </w:pPr>
      <w:r>
        <w:rPr>
          <w:rFonts w:ascii="Arial" w:cs="Arial" w:eastAsia="Arial" w:hAnsi="Arial"/>
          <w:sz w:val="13"/>
          <w:szCs w:val="13"/>
          <w:color w:val="auto"/>
        </w:rPr>
        <w:t>These amounts represent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1" w:lineRule="exact"/>
        <w:rPr>
          <w:rFonts w:ascii="Arial" w:cs="Arial" w:eastAsia="Arial" w:hAnsi="Arial"/>
          <w:sz w:val="18"/>
          <w:szCs w:val="18"/>
          <w:color w:val="auto"/>
          <w:vertAlign w:val="superscript"/>
        </w:rPr>
      </w:pPr>
    </w:p>
    <w:p>
      <w:pPr>
        <w:jc w:val="both"/>
        <w:ind w:left="240" w:hanging="234"/>
        <w:spacing w:after="0" w:line="212" w:lineRule="auto"/>
        <w:tabs>
          <w:tab w:leader="none" w:pos="254" w:val="left"/>
        </w:tabs>
        <w:numPr>
          <w:ilvl w:val="0"/>
          <w:numId w:val="23"/>
        </w:numPr>
        <w:rPr>
          <w:rFonts w:ascii="Arial" w:cs="Arial" w:eastAsia="Arial" w:hAnsi="Arial"/>
          <w:sz w:val="23"/>
          <w:szCs w:val="23"/>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8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Item 6. Exhibits.</w:t>
            </w:r>
          </w:p>
        </w:tc>
        <w:tc>
          <w:tcPr>
            <w:tcW w:w="10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69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2">
              <w:r>
                <w:rPr>
                  <w:rFonts w:ascii="Arial" w:cs="Arial" w:eastAsia="Arial" w:hAnsi="Arial"/>
                  <w:sz w:val="18"/>
                  <w:szCs w:val="18"/>
                  <w:color w:val="0000FF"/>
                  <w:w w:val="87"/>
                </w:rPr>
                <w:t>Employment Agreement, dated May 10, 2021, by and between the Registrant and Vance Y. Chang</w:t>
              </w:r>
            </w:hyperlink>
          </w:p>
        </w:tc>
        <w:tc>
          <w:tcPr>
            <w:tcW w:w="2600" w:type="dxa"/>
            <w:vAlign w:val="bottom"/>
            <w:gridSpan w:val="5"/>
          </w:tcPr>
          <w:p>
            <w:pPr>
              <w:spacing w:after="0"/>
              <w:rPr>
                <w:sz w:val="24"/>
                <w:szCs w:val="24"/>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*†10.2</w:t>
            </w:r>
          </w:p>
        </w:tc>
        <w:tc>
          <w:tcPr>
            <w:tcW w:w="8900" w:type="dxa"/>
            <w:vAlign w:val="bottom"/>
            <w:tcBorders>
              <w:bottom w:val="single" w:sz="8" w:color="0000FF"/>
            </w:tcBorders>
            <w:gridSpan w:val="5"/>
          </w:tcPr>
          <w:p>
            <w:pPr>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Dine Brands Global, Inc. 2019 Stock Incentive Plan Restricted Stock Award Agreement - Employees - 4-year Ratable Vesting</w:t>
              </w:r>
            </w:hyperlink>
          </w:p>
        </w:tc>
        <w:tc>
          <w:tcPr>
            <w:tcW w:w="640" w:type="dxa"/>
            <w:vAlign w:val="bottom"/>
            <w:gridSpan w:val="2"/>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*31.1</w:t>
            </w:r>
          </w:p>
        </w:tc>
        <w:tc>
          <w:tcPr>
            <w:tcW w:w="8540" w:type="dxa"/>
            <w:vAlign w:val="bottom"/>
            <w:tcBorders>
              <w:bottom w:val="single" w:sz="8" w:color="0000FF"/>
            </w:tcBorders>
            <w:gridSpan w:val="4"/>
          </w:tcPr>
          <w:p>
            <w:pPr>
              <w:spacing w:after="0" w:line="205"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Certification of Chief Executive Officer pursuant to Rule 13a-14(a) of the Securities Exchange Act of 1934, as amended.</w:t>
              </w:r>
            </w:hyperlink>
          </w:p>
        </w:tc>
        <w:tc>
          <w:tcPr>
            <w:tcW w:w="1000" w:type="dxa"/>
            <w:vAlign w:val="bottom"/>
            <w:gridSpan w:val="3"/>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*31.2</w:t>
            </w:r>
          </w:p>
        </w:tc>
        <w:tc>
          <w:tcPr>
            <w:tcW w:w="8500" w:type="dxa"/>
            <w:vAlign w:val="bottom"/>
            <w:tcBorders>
              <w:bottom w:val="single" w:sz="8" w:color="0000FF"/>
            </w:tcBorders>
            <w:gridSpan w:val="3"/>
          </w:tcPr>
          <w:p>
            <w:pPr>
              <w:spacing w:after="0" w:line="205"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Certification of Chief Financial Officer pursuant to Rule 13a-14(a) of the Securities Exchange Act of 1934, as amended.</w:t>
              </w:r>
            </w:hyperlink>
          </w:p>
        </w:tc>
        <w:tc>
          <w:tcPr>
            <w:tcW w:w="1040" w:type="dxa"/>
            <w:vAlign w:val="bottom"/>
            <w:gridSpan w:val="4"/>
          </w:tcPr>
          <w:p>
            <w:pPr>
              <w:spacing w:after="0"/>
              <w:rPr>
                <w:sz w:val="17"/>
                <w:szCs w:val="17"/>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*32.1</w:t>
            </w:r>
          </w:p>
        </w:tc>
        <w:tc>
          <w:tcPr>
            <w:tcW w:w="9540" w:type="dxa"/>
            <w:vAlign w:val="bottom"/>
            <w:tcBorders>
              <w:bottom w:val="single" w:sz="8" w:color="0E32E1"/>
            </w:tcBorders>
            <w:gridSpan w:val="7"/>
          </w:tcPr>
          <w:p>
            <w:pPr>
              <w:spacing w:after="0" w:line="205" w:lineRule="exact"/>
              <w:rPr>
                <w:rFonts w:ascii="Arial" w:cs="Arial" w:eastAsia="Arial" w:hAnsi="Arial"/>
                <w:sz w:val="18"/>
                <w:szCs w:val="18"/>
                <w:color w:val="0E32E1"/>
                <w:w w:val="89"/>
              </w:rPr>
            </w:pPr>
            <w:hyperlink w:anchor="page83">
              <w:r>
                <w:rPr>
                  <w:rFonts w:ascii="Arial" w:cs="Arial" w:eastAsia="Arial" w:hAnsi="Arial"/>
                  <w:sz w:val="18"/>
                  <w:szCs w:val="18"/>
                  <w:color w:val="0E32E1"/>
                  <w:w w:val="89"/>
                </w:rPr>
                <w:t>Certification of Chief Executive Officer pursuant to 18 U.S.C. Section 1350, as adopted pursuant to Section 906 of the Sarbanes-Oxley</w:t>
              </w:r>
            </w:hyperlink>
          </w:p>
        </w:tc>
      </w:tr>
      <w:tr>
        <w:trPr>
          <w:trHeight w:val="152"/>
        </w:trPr>
        <w:tc>
          <w:tcPr>
            <w:tcW w:w="1380" w:type="dxa"/>
            <w:vAlign w:val="bottom"/>
          </w:tcPr>
          <w:p>
            <w:pPr>
              <w:spacing w:after="0"/>
              <w:rPr>
                <w:sz w:val="13"/>
                <w:szCs w:val="13"/>
                <w:color w:val="auto"/>
              </w:rPr>
            </w:pPr>
          </w:p>
        </w:tc>
        <w:tc>
          <w:tcPr>
            <w:tcW w:w="1060" w:type="dxa"/>
            <w:vAlign w:val="bottom"/>
            <w:tcBorders>
              <w:bottom w:val="single" w:sz="8" w:color="0E32E1"/>
            </w:tcBorders>
          </w:tcPr>
          <w:p>
            <w:pPr>
              <w:spacing w:after="0" w:line="152" w:lineRule="exact"/>
              <w:rPr>
                <w:rFonts w:ascii="Arial" w:cs="Arial" w:eastAsia="Arial" w:hAnsi="Arial"/>
                <w:sz w:val="17"/>
                <w:szCs w:val="17"/>
                <w:color w:val="0E32E1"/>
                <w:w w:val="99"/>
              </w:rPr>
            </w:pPr>
            <w:hyperlink w:anchor="page83">
              <w:r>
                <w:rPr>
                  <w:rFonts w:ascii="Arial" w:cs="Arial" w:eastAsia="Arial" w:hAnsi="Arial"/>
                  <w:sz w:val="17"/>
                  <w:szCs w:val="17"/>
                  <w:color w:val="0E32E1"/>
                  <w:w w:val="99"/>
                </w:rPr>
                <w:t>Act of 2002.**</w:t>
              </w:r>
            </w:hyperlink>
          </w:p>
        </w:tc>
        <w:tc>
          <w:tcPr>
            <w:tcW w:w="8480" w:type="dxa"/>
            <w:vAlign w:val="bottom"/>
            <w:gridSpan w:val="6"/>
          </w:tcPr>
          <w:p>
            <w:pPr>
              <w:spacing w:after="0"/>
              <w:rPr>
                <w:sz w:val="13"/>
                <w:szCs w:val="13"/>
                <w:color w:val="auto"/>
              </w:rPr>
            </w:pPr>
          </w:p>
        </w:tc>
      </w:tr>
      <w:tr>
        <w:trPr>
          <w:trHeight w:val="205"/>
        </w:trPr>
        <w:tc>
          <w:tcPr>
            <w:tcW w:w="1380" w:type="dxa"/>
            <w:vAlign w:val="bottom"/>
          </w:tcPr>
          <w:p>
            <w:pPr>
              <w:jc w:val="right"/>
              <w:ind w:right="212"/>
              <w:spacing w:after="0" w:line="205" w:lineRule="exact"/>
              <w:rPr>
                <w:sz w:val="20"/>
                <w:szCs w:val="20"/>
                <w:color w:val="auto"/>
              </w:rPr>
            </w:pPr>
            <w:r>
              <w:rPr>
                <w:rFonts w:ascii="Arial" w:cs="Arial" w:eastAsia="Arial" w:hAnsi="Arial"/>
                <w:sz w:val="18"/>
                <w:szCs w:val="18"/>
                <w:color w:val="auto"/>
              </w:rPr>
              <w:t>*32.2</w:t>
            </w:r>
          </w:p>
        </w:tc>
        <w:tc>
          <w:tcPr>
            <w:tcW w:w="9540" w:type="dxa"/>
            <w:vAlign w:val="bottom"/>
            <w:gridSpan w:val="7"/>
          </w:tcPr>
          <w:p>
            <w:pPr>
              <w:spacing w:after="0" w:line="205" w:lineRule="exact"/>
              <w:rPr>
                <w:rFonts w:ascii="Arial" w:cs="Arial" w:eastAsia="Arial" w:hAnsi="Arial"/>
                <w:sz w:val="18"/>
                <w:szCs w:val="18"/>
                <w:color w:val="0E32E1"/>
                <w:w w:val="89"/>
              </w:rPr>
            </w:pPr>
            <w:hyperlink w:anchor="page84">
              <w:r>
                <w:rPr>
                  <w:rFonts w:ascii="Arial" w:cs="Arial" w:eastAsia="Arial" w:hAnsi="Arial"/>
                  <w:sz w:val="18"/>
                  <w:szCs w:val="18"/>
                  <w:color w:val="0E32E1"/>
                  <w:w w:val="89"/>
                </w:rPr>
                <w:t>Certification of Chief Financial Officer pursuant to 18 U.S.C. Section 1350, as adopted pursuant to Section 906 of the Sarbanes-Oxley</w:t>
              </w:r>
            </w:hyperlink>
          </w:p>
        </w:tc>
      </w:tr>
      <w:tr>
        <w:trPr>
          <w:trHeight w:val="152"/>
        </w:trPr>
        <w:tc>
          <w:tcPr>
            <w:tcW w:w="138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rFonts w:ascii="Arial" w:cs="Arial" w:eastAsia="Arial" w:hAnsi="Arial"/>
                <w:sz w:val="17"/>
                <w:szCs w:val="17"/>
                <w:color w:val="0E32E1"/>
                <w:w w:val="99"/>
              </w:rPr>
            </w:pPr>
            <w:hyperlink w:anchor="page84">
              <w:r>
                <w:rPr>
                  <w:rFonts w:ascii="Arial" w:cs="Arial" w:eastAsia="Arial" w:hAnsi="Arial"/>
                  <w:sz w:val="17"/>
                  <w:szCs w:val="17"/>
                  <w:color w:val="0E32E1"/>
                  <w:w w:val="99"/>
                </w:rPr>
                <w:t>Act of 2002.**</w:t>
              </w:r>
            </w:hyperlink>
          </w:p>
        </w:tc>
        <w:tc>
          <w:tcPr>
            <w:tcW w:w="8440" w:type="dxa"/>
            <w:vAlign w:val="bottom"/>
            <w:tcBorders>
              <w:top w:val="single" w:sz="8" w:color="0E32E1"/>
            </w:tcBorders>
            <w:gridSpan w:val="5"/>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1380" w:type="dxa"/>
            <w:vAlign w:val="bottom"/>
          </w:tcPr>
          <w:p>
            <w:pPr>
              <w:jc w:val="right"/>
              <w:ind w:right="212"/>
              <w:spacing w:after="0" w:line="193" w:lineRule="exact"/>
              <w:rPr>
                <w:sz w:val="20"/>
                <w:szCs w:val="20"/>
                <w:color w:val="auto"/>
              </w:rPr>
            </w:pPr>
            <w:r>
              <w:rPr>
                <w:rFonts w:ascii="Arial" w:cs="Arial" w:eastAsia="Arial" w:hAnsi="Arial"/>
                <w:sz w:val="18"/>
                <w:szCs w:val="18"/>
                <w:color w:val="auto"/>
              </w:rPr>
              <w:t>101.INS</w:t>
            </w:r>
          </w:p>
        </w:tc>
        <w:tc>
          <w:tcPr>
            <w:tcW w:w="9540" w:type="dxa"/>
            <w:vAlign w:val="bottom"/>
            <w:gridSpan w:val="7"/>
          </w:tcPr>
          <w:p>
            <w:pPr>
              <w:spacing w:after="0" w:line="19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23"/>
        </w:trPr>
        <w:tc>
          <w:tcPr>
            <w:tcW w:w="1380" w:type="dxa"/>
            <w:vAlign w:val="bottom"/>
          </w:tcPr>
          <w:p>
            <w:pPr>
              <w:spacing w:after="0"/>
              <w:rPr>
                <w:sz w:val="19"/>
                <w:szCs w:val="19"/>
                <w:color w:val="auto"/>
              </w:rPr>
            </w:pPr>
          </w:p>
        </w:tc>
        <w:tc>
          <w:tcPr>
            <w:tcW w:w="9540" w:type="dxa"/>
            <w:vAlign w:val="bottom"/>
            <w:gridSpan w:val="7"/>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101.SCH</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Schema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101.CAL</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101.DEF</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101.LAB</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Label Linkbase Document.***</w:t>
            </w:r>
          </w:p>
        </w:tc>
      </w:tr>
      <w:tr>
        <w:trPr>
          <w:trHeight w:val="225"/>
        </w:trPr>
        <w:tc>
          <w:tcPr>
            <w:tcW w:w="1380" w:type="dxa"/>
            <w:vAlign w:val="bottom"/>
          </w:tcPr>
          <w:p>
            <w:pPr>
              <w:jc w:val="right"/>
              <w:ind w:right="212"/>
              <w:spacing w:after="0"/>
              <w:rPr>
                <w:sz w:val="20"/>
                <w:szCs w:val="20"/>
                <w:color w:val="auto"/>
              </w:rPr>
            </w:pPr>
            <w:r>
              <w:rPr>
                <w:rFonts w:ascii="Arial" w:cs="Arial" w:eastAsia="Arial" w:hAnsi="Arial"/>
                <w:sz w:val="18"/>
                <w:szCs w:val="18"/>
                <w:color w:val="auto"/>
              </w:rPr>
              <w:t>101.PRE</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2" w:lineRule="exact"/>
        <w:rPr>
          <w:sz w:val="20"/>
          <w:szCs w:val="20"/>
          <w:color w:val="auto"/>
        </w:rPr>
      </w:pPr>
    </w:p>
    <w:p>
      <w:pPr>
        <w:ind w:left="1380" w:hanging="623"/>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6" w:lineRule="exact"/>
        <w:rPr>
          <w:rFonts w:ascii="Arial" w:cs="Arial" w:eastAsia="Arial" w:hAnsi="Arial"/>
          <w:sz w:val="18"/>
          <w:szCs w:val="18"/>
          <w:color w:val="auto"/>
        </w:rPr>
      </w:pPr>
    </w:p>
    <w:p>
      <w:pPr>
        <w:ind w:left="480" w:right="140" w:hanging="474"/>
        <w:spacing w:after="0" w:line="245" w:lineRule="auto"/>
        <w:tabs>
          <w:tab w:leader="none" w:pos="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Arial" w:cs="Arial" w:eastAsia="Arial" w:hAnsi="Arial"/>
          <w:sz w:val="18"/>
          <w:szCs w:val="18"/>
          <w:color w:val="auto"/>
        </w:rPr>
      </w:pPr>
    </w:p>
    <w:p>
      <w:pPr>
        <w:ind w:left="480" w:hanging="474"/>
        <w:spacing w:after="0" w:line="260" w:lineRule="auto"/>
        <w:tabs>
          <w:tab w:leader="none" w:pos="361"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260" w:hanging="254"/>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Dine Brands Global, Inc.</w:t>
      </w:r>
    </w:p>
    <w:p>
      <w:pPr>
        <w:ind w:left="4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55"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5th day of August,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John W. Peyton</w:t>
      </w:r>
    </w:p>
    <w:p>
      <w:pPr>
        <w:jc w:val="center"/>
        <w:ind w:left="500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Executive Officer)</w:t>
      </w:r>
    </w:p>
    <w:p>
      <w:pPr>
        <w:spacing w:after="0" w:line="256" w:lineRule="exact"/>
        <w:rPr>
          <w:sz w:val="20"/>
          <w:szCs w:val="20"/>
          <w:color w:val="auto"/>
        </w:rPr>
      </w:pPr>
    </w:p>
    <w:p>
      <w:pPr>
        <w:ind w:left="820"/>
        <w:spacing w:after="0"/>
        <w:tabs>
          <w:tab w:leader="none" w:pos="5800" w:val="left"/>
          <w:tab w:leader="none" w:pos="7440" w:val="left"/>
        </w:tabs>
        <w:rPr>
          <w:sz w:val="20"/>
          <w:szCs w:val="20"/>
          <w:color w:val="auto"/>
        </w:rPr>
      </w:pPr>
      <w:r>
        <w:rPr>
          <w:rFonts w:ascii="Arial" w:cs="Arial" w:eastAsia="Arial" w:hAnsi="Arial"/>
          <w:sz w:val="18"/>
          <w:szCs w:val="18"/>
          <w:color w:val="auto"/>
        </w:rPr>
        <w:t>Dated: 5th day of August,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Vance Y. Chang</w:t>
      </w:r>
    </w:p>
    <w:p>
      <w:pPr>
        <w:jc w:val="center"/>
        <w:ind w:left="50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Financial Officer)</w:t>
      </w:r>
    </w:p>
    <w:p>
      <w:pPr>
        <w:spacing w:after="0" w:line="230" w:lineRule="exact"/>
        <w:rPr>
          <w:sz w:val="20"/>
          <w:szCs w:val="20"/>
          <w:color w:val="auto"/>
        </w:rPr>
      </w:pPr>
    </w:p>
    <w:p>
      <w:pPr>
        <w:ind w:left="820"/>
        <w:spacing w:after="0"/>
        <w:tabs>
          <w:tab w:leader="none" w:pos="5800" w:val="left"/>
          <w:tab w:leader="none" w:pos="7560" w:val="left"/>
        </w:tabs>
        <w:rPr>
          <w:sz w:val="20"/>
          <w:szCs w:val="20"/>
          <w:color w:val="auto"/>
        </w:rPr>
      </w:pPr>
      <w:r>
        <w:rPr>
          <w:rFonts w:ascii="Arial" w:cs="Arial" w:eastAsia="Arial" w:hAnsi="Arial"/>
          <w:sz w:val="18"/>
          <w:szCs w:val="18"/>
          <w:color w:val="auto"/>
        </w:rPr>
        <w:t>Dated: 5th day of August,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2574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8"/>
          <w:szCs w:val="18"/>
          <w:color w:val="auto"/>
        </w:rPr>
        <w:t>Allison Hall</w:t>
      </w:r>
    </w:p>
    <w:p>
      <w:pPr>
        <w:jc w:val="center"/>
        <w:ind w:left="5000"/>
        <w:spacing w:after="0" w:line="199" w:lineRule="auto"/>
        <w:rPr>
          <w:sz w:val="20"/>
          <w:szCs w:val="20"/>
          <w:color w:val="auto"/>
        </w:rPr>
      </w:pPr>
      <w:r>
        <w:rPr>
          <w:rFonts w:ascii="Arial" w:cs="Arial" w:eastAsia="Arial" w:hAnsi="Arial"/>
          <w:sz w:val="18"/>
          <w:szCs w:val="18"/>
          <w:i w:val="1"/>
          <w:iCs w:val="1"/>
          <w:color w:val="auto"/>
        </w:rPr>
        <w:t>Chief Accounting Officer</w:t>
      </w:r>
    </w:p>
    <w:p>
      <w:pPr>
        <w:spacing w:after="0" w:line="1" w:lineRule="exact"/>
        <w:rPr>
          <w:sz w:val="20"/>
          <w:szCs w:val="20"/>
          <w:color w:val="auto"/>
        </w:rPr>
      </w:pPr>
    </w:p>
    <w:p>
      <w:pPr>
        <w:jc w:val="center"/>
        <w:ind w:left="500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20"/>
          </w:cols>
          <w:pgMar w:left="320" w:top="122" w:right="859" w:bottom="1440" w:gutter="0" w:footer="0" w:header="0"/>
        </w:sectPr>
      </w:pPr>
    </w:p>
    <w:bookmarkStart w:id="51" w:name="page52"/>
    <w:bookmarkEnd w:id="51"/>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328" w:lineRule="exact"/>
        <w:rPr>
          <w:sz w:val="20"/>
          <w:szCs w:val="20"/>
          <w:color w:val="auto"/>
        </w:rPr>
      </w:pPr>
    </w:p>
    <w:p>
      <w:pPr>
        <w:ind w:right="1000" w:firstLine="636"/>
        <w:spacing w:after="0" w:line="285" w:lineRule="auto"/>
        <w:rPr>
          <w:sz w:val="20"/>
          <w:szCs w:val="20"/>
          <w:color w:val="auto"/>
        </w:rPr>
      </w:pPr>
      <w:r>
        <w:rPr>
          <w:rFonts w:ascii="Arial" w:cs="Arial" w:eastAsia="Arial" w:hAnsi="Arial"/>
          <w:sz w:val="21"/>
          <w:szCs w:val="21"/>
          <w:color w:val="auto"/>
        </w:rPr>
        <w:t>This Employment Agreement (“</w:t>
      </w:r>
      <w:r>
        <w:rPr>
          <w:rFonts w:ascii="Arial" w:cs="Arial" w:eastAsia="Arial" w:hAnsi="Arial"/>
          <w:sz w:val="21"/>
          <w:szCs w:val="21"/>
          <w:b w:val="1"/>
          <w:bCs w:val="1"/>
          <w:color w:val="auto"/>
        </w:rPr>
        <w:t>Agreement</w:t>
      </w:r>
      <w:r>
        <w:rPr>
          <w:rFonts w:ascii="Arial" w:cs="Arial" w:eastAsia="Arial" w:hAnsi="Arial"/>
          <w:sz w:val="21"/>
          <w:szCs w:val="21"/>
          <w:color w:val="auto"/>
        </w:rPr>
        <w:t>”) is made effective as of May 10, 2021 by and between Dine Brands Global, Inc., a Delaware corporation (the “</w:t>
      </w:r>
      <w:r>
        <w:rPr>
          <w:rFonts w:ascii="Arial" w:cs="Arial" w:eastAsia="Arial" w:hAnsi="Arial"/>
          <w:sz w:val="21"/>
          <w:szCs w:val="21"/>
          <w:b w:val="1"/>
          <w:bCs w:val="1"/>
          <w:color w:val="auto"/>
        </w:rPr>
        <w:t>Corporation</w:t>
      </w:r>
      <w:r>
        <w:rPr>
          <w:rFonts w:ascii="Arial" w:cs="Arial" w:eastAsia="Arial" w:hAnsi="Arial"/>
          <w:sz w:val="21"/>
          <w:szCs w:val="21"/>
          <w:color w:val="auto"/>
        </w:rPr>
        <w:t>”), and Vance Y. Chang (the “</w:t>
      </w:r>
      <w:r>
        <w:rPr>
          <w:rFonts w:ascii="Arial" w:cs="Arial" w:eastAsia="Arial" w:hAnsi="Arial"/>
          <w:sz w:val="21"/>
          <w:szCs w:val="21"/>
          <w:b w:val="1"/>
          <w:bCs w:val="1"/>
          <w:color w:val="auto"/>
        </w:rPr>
        <w:t>Executive</w:t>
      </w:r>
      <w:r>
        <w:rPr>
          <w:rFonts w:ascii="Arial" w:cs="Arial" w:eastAsia="Arial" w:hAnsi="Arial"/>
          <w:sz w:val="21"/>
          <w:szCs w:val="21"/>
          <w:color w:val="auto"/>
        </w:rPr>
        <w: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Corporation desires to employ Executive on the terms and conditions set forth in this Agreement; and</w:t>
      </w:r>
    </w:p>
    <w:p>
      <w:pPr>
        <w:spacing w:after="0" w:line="234" w:lineRule="exact"/>
        <w:rPr>
          <w:sz w:val="20"/>
          <w:szCs w:val="20"/>
          <w:color w:val="auto"/>
        </w:rPr>
      </w:pPr>
    </w:p>
    <w:p>
      <w:pPr>
        <w:ind w:right="520" w:firstLine="636"/>
        <w:spacing w:after="0" w:line="28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Executive is willing to render services to the Corporation on the terms and conditions set forth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w:t>
      </w:r>
    </w:p>
    <w:p>
      <w:pPr>
        <w:spacing w:after="0" w:line="142" w:lineRule="exact"/>
        <w:rPr>
          <w:sz w:val="20"/>
          <w:szCs w:val="20"/>
          <w:color w:val="auto"/>
        </w:rPr>
      </w:pPr>
    </w:p>
    <w:p>
      <w:pPr>
        <w:ind w:right="300" w:firstLine="636"/>
        <w:spacing w:after="0" w:line="285"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the mutual terms and conditions hereof, the Corporation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hereby agree as follows:</w:t>
      </w:r>
    </w:p>
    <w:p>
      <w:pPr>
        <w:spacing w:after="0" w:line="142" w:lineRule="exact"/>
        <w:rPr>
          <w:sz w:val="20"/>
          <w:szCs w:val="20"/>
          <w:color w:val="auto"/>
        </w:rPr>
      </w:pPr>
    </w:p>
    <w:p>
      <w:pPr>
        <w:ind w:right="140" w:firstLine="642"/>
        <w:spacing w:after="0" w:line="285" w:lineRule="auto"/>
        <w:tabs>
          <w:tab w:leader="none" w:pos="1007"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hereby employs the Executive and the Executive hereby accepts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upon the terms and conditions hereinafter set forth.</w:t>
      </w:r>
    </w:p>
    <w:p>
      <w:pPr>
        <w:spacing w:after="0" w:line="141" w:lineRule="exact"/>
        <w:rPr>
          <w:rFonts w:ascii="Arial" w:cs="Arial" w:eastAsia="Arial" w:hAnsi="Arial"/>
          <w:sz w:val="21"/>
          <w:szCs w:val="21"/>
          <w:color w:val="auto"/>
        </w:rPr>
      </w:pPr>
    </w:p>
    <w:p>
      <w:pPr>
        <w:ind w:right="140" w:firstLine="642"/>
        <w:spacing w:after="0" w:line="282" w:lineRule="auto"/>
        <w:tabs>
          <w:tab w:leader="none" w:pos="1007"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Exclusive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shall devote all necessary working time, ability and attention to the business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during the term of this Agreement and shall not, directly or indirectly, render any material services to any business, corporation, or organization whether for compensation or otherwise, without the prior knowledge and written consent of the Board of Directors of the Corporation (hereinafter referred to as the “</w:t>
      </w:r>
      <w:r>
        <w:rPr>
          <w:rFonts w:ascii="Arial" w:cs="Arial" w:eastAsia="Arial" w:hAnsi="Arial"/>
          <w:sz w:val="19"/>
          <w:szCs w:val="19"/>
          <w:b w:val="1"/>
          <w:bCs w:val="1"/>
          <w:color w:val="auto"/>
        </w:rPr>
        <w:t>Board</w:t>
      </w:r>
      <w:r>
        <w:rPr>
          <w:rFonts w:ascii="Arial" w:cs="Arial" w:eastAsia="Arial" w:hAnsi="Arial"/>
          <w:sz w:val="19"/>
          <w:szCs w:val="19"/>
          <w:color w:val="auto"/>
        </w:rPr>
        <w:t>”). During this Agreement, the Executive may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Corporation in accordance with this Agreement and any service on public company boards of directors is approved in advance by the Board. It is expressly understood and agreed that to the extent that any such activities have been conducted by the Executive prior to the effective date of this Agreement, the continued conduct of such activities (or the conduct of activities similar in nature and scope thereto) subsequent to the effective date of this Agreement shall not thereafter be deemed to interfere with the performance of the Executive’s responsibilities to the Corporation.</w:t>
      </w:r>
    </w:p>
    <w:p>
      <w:pPr>
        <w:spacing w:after="0" w:line="157" w:lineRule="exact"/>
        <w:rPr>
          <w:rFonts w:ascii="Arial" w:cs="Arial" w:eastAsia="Arial" w:hAnsi="Arial"/>
          <w:sz w:val="19"/>
          <w:szCs w:val="19"/>
          <w:color w:val="auto"/>
        </w:rPr>
      </w:pPr>
    </w:p>
    <w:p>
      <w:pPr>
        <w:ind w:right="160" w:firstLine="642"/>
        <w:spacing w:after="0" w:line="287" w:lineRule="auto"/>
        <w:tabs>
          <w:tab w:leader="none" w:pos="1007"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Duties</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Executive is hereby employed as the Chief Financial Officer (hereinafter referred to as the “</w:t>
      </w:r>
      <w:r>
        <w:rPr>
          <w:rFonts w:ascii="Arial" w:cs="Arial" w:eastAsia="Arial" w:hAnsi="Arial"/>
          <w:sz w:val="20"/>
          <w:szCs w:val="20"/>
          <w:b w:val="1"/>
          <w:bCs w:val="1"/>
          <w:color w:val="auto"/>
        </w:rPr>
        <w:t>CFO</w:t>
      </w:r>
      <w:r>
        <w:rPr>
          <w:rFonts w:ascii="Arial" w:cs="Arial" w:eastAsia="Arial" w:hAnsi="Arial"/>
          <w:sz w:val="20"/>
          <w:szCs w:val="20"/>
          <w:color w:val="auto"/>
        </w:rPr>
        <w: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Corporation and shall render services at the business office of the Corporation to which the Executive is assigned. The Executive shall have such authority and shall perform such duties as are 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attached hereto.</w:t>
      </w:r>
    </w:p>
    <w:p>
      <w:pPr>
        <w:spacing w:after="0" w:line="142" w:lineRule="exact"/>
        <w:rPr>
          <w:rFonts w:ascii="Arial" w:cs="Arial" w:eastAsia="Arial" w:hAnsi="Arial"/>
          <w:sz w:val="20"/>
          <w:szCs w:val="20"/>
          <w:color w:val="auto"/>
        </w:rPr>
      </w:pPr>
    </w:p>
    <w:p>
      <w:pPr>
        <w:ind w:right="320" w:firstLine="642"/>
        <w:spacing w:after="0" w:line="285" w:lineRule="auto"/>
        <w:tabs>
          <w:tab w:leader="none" w:pos="1007"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have an initial term of three years commencing as of June 14, 2021 (the “</w:t>
      </w:r>
      <w:r>
        <w:rPr>
          <w:rFonts w:ascii="Arial" w:cs="Arial" w:eastAsia="Arial" w:hAnsi="Arial"/>
          <w:sz w:val="21"/>
          <w:szCs w:val="21"/>
          <w:b w:val="1"/>
          <w:bCs w:val="1"/>
          <w:color w:val="auto"/>
        </w:rPr>
        <w:t>Start 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subject to earlier termination as hereinafter provided.</w:t>
      </w:r>
    </w:p>
    <w:p>
      <w:pPr>
        <w:spacing w:after="0" w:line="141" w:lineRule="exact"/>
        <w:rPr>
          <w:rFonts w:ascii="Arial" w:cs="Arial" w:eastAsia="Arial" w:hAnsi="Arial"/>
          <w:sz w:val="21"/>
          <w:szCs w:val="21"/>
          <w:color w:val="auto"/>
        </w:rPr>
      </w:pPr>
    </w:p>
    <w:p>
      <w:pPr>
        <w:ind w:right="20" w:firstLine="642"/>
        <w:spacing w:after="0" w:line="285" w:lineRule="auto"/>
        <w:tabs>
          <w:tab w:leader="none" w:pos="1007"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compensation for services rendered under this Agreement, the Executive shall be entitled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w:t>
      </w:r>
    </w:p>
    <w:p>
      <w:pPr>
        <w:sectPr>
          <w:pgSz w:w="11900" w:h="16838" w:orient="portrait"/>
          <w:cols w:equalWidth="0" w:num="1">
            <w:col w:w="11240"/>
          </w:cols>
          <w:pgMar w:left="320" w:top="125" w:right="339" w:bottom="1440" w:gutter="0" w:footer="0" w:header="0"/>
        </w:sectPr>
      </w:pPr>
    </w:p>
    <w:bookmarkStart w:id="52" w:name="page53"/>
    <w:bookmarkEnd w:id="52"/>
    <w:p>
      <w:pPr>
        <w:ind w:left="620" w:right="20" w:firstLine="638"/>
        <w:spacing w:after="0" w:line="256" w:lineRule="auto"/>
        <w:tabs>
          <w:tab w:leader="none" w:pos="1615" w:val="left"/>
        </w:tabs>
        <w:numPr>
          <w:ilvl w:val="1"/>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shall be paid a base salary of at least $500,000 per year, payable in 26 equal bi-weekly installments during the term of this Agreement, prorated for any partial employment month. Such base salary (“</w:t>
      </w:r>
      <w:r>
        <w:rPr>
          <w:rFonts w:ascii="Arial" w:cs="Arial" w:eastAsia="Arial" w:hAnsi="Arial"/>
          <w:sz w:val="21"/>
          <w:szCs w:val="21"/>
          <w:b w:val="1"/>
          <w:bCs w:val="1"/>
          <w:color w:val="auto"/>
        </w:rPr>
        <w:t>Base Salary</w:t>
      </w:r>
      <w:r>
        <w:rPr>
          <w:rFonts w:ascii="Arial" w:cs="Arial" w:eastAsia="Arial" w:hAnsi="Arial"/>
          <w:sz w:val="21"/>
          <w:szCs w:val="21"/>
          <w:color w:val="auto"/>
        </w:rPr>
        <w:t>”) shall be reviewed by the Compensation Committee of the Board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 xml:space="preserve">”) no less frequently than annually. The Base Salary may be increased by the Compensation Committee in its discretion, subject to ratification by the Board. The Base Salary may not be decreased, except in the event of an across the board salary reduction approved by the Board affecting employees of the Corporation at the Chief Officer Level (as defined in </w:t>
      </w:r>
      <w:r>
        <w:rPr>
          <w:rFonts w:ascii="Arial" w:cs="Arial" w:eastAsia="Arial" w:hAnsi="Arial"/>
          <w:sz w:val="21"/>
          <w:szCs w:val="21"/>
          <w:b w:val="1"/>
          <w:bCs w:val="1"/>
          <w:color w:val="auto"/>
        </w:rPr>
        <w:t>Section 6(a)</w:t>
      </w:r>
      <w:r>
        <w:rPr>
          <w:rFonts w:ascii="Arial" w:cs="Arial" w:eastAsia="Arial" w:hAnsi="Arial"/>
          <w:sz w:val="21"/>
          <w:szCs w:val="21"/>
          <w:color w:val="auto"/>
        </w:rPr>
        <w:t>, below).</w:t>
      </w:r>
    </w:p>
    <w:p>
      <w:pPr>
        <w:spacing w:after="0" w:line="171" w:lineRule="exact"/>
        <w:rPr>
          <w:rFonts w:ascii="Arial" w:cs="Arial" w:eastAsia="Arial" w:hAnsi="Arial"/>
          <w:sz w:val="21"/>
          <w:szCs w:val="21"/>
          <w:color w:val="auto"/>
        </w:rPr>
      </w:pPr>
    </w:p>
    <w:p>
      <w:pPr>
        <w:ind w:left="620" w:right="100" w:firstLine="638"/>
        <w:spacing w:after="0" w:line="279" w:lineRule="auto"/>
        <w:tabs>
          <w:tab w:leader="none" w:pos="1627" w:val="left"/>
        </w:tabs>
        <w:numPr>
          <w:ilvl w:val="1"/>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Additional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Executive shall be paid such additional compensation and bonuses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and authorized in the discretion of the Compensation Committee, subject to ratification by the Board. The Executive’s target bonus, to be payable under the Corporation’s annual incentive plan, shall be 75% of the Executive’s Base Salary. Executive will be eligible to participate in the incentive plan for 2021, with no pro-ration.</w:t>
      </w:r>
    </w:p>
    <w:p>
      <w:pPr>
        <w:spacing w:after="0" w:line="149" w:lineRule="exact"/>
        <w:rPr>
          <w:rFonts w:ascii="Arial" w:cs="Arial" w:eastAsia="Arial" w:hAnsi="Arial"/>
          <w:sz w:val="20"/>
          <w:szCs w:val="20"/>
          <w:color w:val="auto"/>
        </w:rPr>
      </w:pPr>
    </w:p>
    <w:p>
      <w:pPr>
        <w:ind w:left="620" w:firstLine="638"/>
        <w:spacing w:after="0" w:line="287" w:lineRule="auto"/>
        <w:tabs>
          <w:tab w:leader="none" w:pos="1668" w:val="left"/>
        </w:tabs>
        <w:numPr>
          <w:ilvl w:val="1"/>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Sign-on Restricted Stock Award.</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will receive a one-time equity award of $800,000 of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(“RSA”), which will be granted on the 15th of the month following the Start Date (or the next business day if the 15th is not a business day) under the current stock incentive plan for the Corporation. Each RSA represents the right to receive one share of the Corporation’s stock provided Executive remains employed through the vesting date. The number of RSAs awarded will be determined by dividing $800,000 by the closing price of the Corporation’s common stock on the grant date. Provided that Executive is continuously employed by the Corporation through each vesting date, the award will vest ratably over 4 years, with 25% of the award vesting upon each anniversary of the grant date.</w:t>
      </w:r>
    </w:p>
    <w:p>
      <w:pPr>
        <w:spacing w:after="0" w:line="145" w:lineRule="exact"/>
        <w:rPr>
          <w:rFonts w:ascii="Arial" w:cs="Arial" w:eastAsia="Arial" w:hAnsi="Arial"/>
          <w:sz w:val="19"/>
          <w:szCs w:val="19"/>
          <w:color w:val="auto"/>
        </w:rPr>
      </w:pPr>
    </w:p>
    <w:p>
      <w:pPr>
        <w:ind w:left="620" w:right="60" w:firstLine="638"/>
        <w:spacing w:after="0" w:line="259" w:lineRule="auto"/>
        <w:tabs>
          <w:tab w:leader="none" w:pos="1680" w:val="left"/>
        </w:tabs>
        <w:numPr>
          <w:ilvl w:val="1"/>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Sign-on Long-term Incentive Award</w:t>
      </w:r>
      <w:r>
        <w:rPr>
          <w:rFonts w:ascii="Arial" w:cs="Arial" w:eastAsia="Arial" w:hAnsi="Arial"/>
          <w:sz w:val="21"/>
          <w:szCs w:val="21"/>
          <w:color w:val="auto"/>
        </w:rPr>
        <w:t>. The Executive will receive a fiscal year 2021 long term incentive award</w:t>
      </w:r>
      <w:r>
        <w:rPr>
          <w:rFonts w:ascii="Arial" w:cs="Arial" w:eastAsia="Arial" w:hAnsi="Arial"/>
          <w:sz w:val="21"/>
          <w:szCs w:val="21"/>
          <w:b w:val="1"/>
          <w:bCs w:val="1"/>
          <w:color w:val="auto"/>
        </w:rPr>
        <w:t xml:space="preserve"> </w:t>
      </w:r>
      <w:r>
        <w:rPr>
          <w:rFonts w:ascii="Arial" w:cs="Arial" w:eastAsia="Arial" w:hAnsi="Arial"/>
          <w:sz w:val="21"/>
          <w:szCs w:val="21"/>
          <w:color w:val="auto"/>
        </w:rPr>
        <w:t>of $600,000, which will be granted on the 15th of the month following the Start Date (or the next business day if the 15th is not a business day) under the current stock incentive plan for the Corporation and form of award agreements used in connection therewith. The award will be provided 34% in the form of Stock Options, 33% in Restricted Stock and 33% in the Cash Long-term Incentive Plan.</w:t>
      </w:r>
    </w:p>
    <w:p>
      <w:pPr>
        <w:spacing w:after="0" w:line="167" w:lineRule="exact"/>
        <w:rPr>
          <w:rFonts w:ascii="Arial" w:cs="Arial" w:eastAsia="Arial" w:hAnsi="Arial"/>
          <w:sz w:val="21"/>
          <w:szCs w:val="21"/>
          <w:color w:val="auto"/>
        </w:rPr>
      </w:pPr>
    </w:p>
    <w:p>
      <w:pPr>
        <w:ind w:left="-20" w:right="140" w:firstLine="642"/>
        <w:spacing w:after="0" w:line="285" w:lineRule="auto"/>
        <w:tabs>
          <w:tab w:leader="none" w:pos="987"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to the compensation to be paid to the Executive pursuant to</w:t>
      </w:r>
      <w:r>
        <w:rPr>
          <w:rFonts w:ascii="Arial" w:cs="Arial" w:eastAsia="Arial" w:hAnsi="Arial"/>
          <w:sz w:val="21"/>
          <w:szCs w:val="21"/>
          <w:b w:val="1"/>
          <w:bCs w:val="1"/>
          <w:color w:val="auto"/>
        </w:rPr>
        <w:t xml:space="preserve"> Section 5 </w:t>
      </w:r>
      <w:r>
        <w:rPr>
          <w:rFonts w:ascii="Arial" w:cs="Arial" w:eastAsia="Arial" w:hAnsi="Arial"/>
          <w:sz w:val="21"/>
          <w:szCs w:val="21"/>
          <w:color w:val="auto"/>
        </w:rPr>
        <w:t>hereof, the Executive shall</w:t>
      </w:r>
      <w:r>
        <w:rPr>
          <w:rFonts w:ascii="Arial" w:cs="Arial" w:eastAsia="Arial" w:hAnsi="Arial"/>
          <w:sz w:val="21"/>
          <w:szCs w:val="21"/>
          <w:b w:val="1"/>
          <w:bCs w:val="1"/>
          <w:color w:val="auto"/>
        </w:rPr>
        <w:t xml:space="preserve"> </w:t>
      </w:r>
      <w:r>
        <w:rPr>
          <w:rFonts w:ascii="Arial" w:cs="Arial" w:eastAsia="Arial" w:hAnsi="Arial"/>
          <w:sz w:val="21"/>
          <w:szCs w:val="21"/>
          <w:color w:val="auto"/>
        </w:rPr>
        <w:t>further be entitled to receive the following:</w:t>
      </w:r>
    </w:p>
    <w:p>
      <w:pPr>
        <w:spacing w:after="0" w:line="141" w:lineRule="exact"/>
        <w:rPr>
          <w:rFonts w:ascii="Arial" w:cs="Arial" w:eastAsia="Arial" w:hAnsi="Arial"/>
          <w:sz w:val="21"/>
          <w:szCs w:val="21"/>
          <w:color w:val="auto"/>
        </w:rPr>
      </w:pPr>
    </w:p>
    <w:p>
      <w:pPr>
        <w:ind w:left="620" w:right="180" w:firstLine="638"/>
        <w:spacing w:after="0" w:line="274" w:lineRule="auto"/>
        <w:tabs>
          <w:tab w:leader="none" w:pos="1615" w:val="left"/>
        </w:tabs>
        <w:numPr>
          <w:ilvl w:val="1"/>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Participation in Employee Plans</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Executive shall be entitled to participate in any health, disability, life</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pension, retirement, profit sharing, executive bonus, long term incentive, or deferred compensation plan or any other perquisites and fringe benefits that may be extended generally from time to time to employees of the Corporation at the Chief Officer Level. For purposes of this Agreement, employees of the Corporation at the “</w:t>
      </w:r>
      <w:r>
        <w:rPr>
          <w:rFonts w:ascii="Arial" w:cs="Arial" w:eastAsia="Arial" w:hAnsi="Arial"/>
          <w:sz w:val="20"/>
          <w:szCs w:val="20"/>
          <w:b w:val="1"/>
          <w:bCs w:val="1"/>
          <w:color w:val="auto"/>
        </w:rPr>
        <w:t>Chief Officer Level</w:t>
      </w:r>
      <w:r>
        <w:rPr>
          <w:rFonts w:ascii="Arial" w:cs="Arial" w:eastAsia="Arial" w:hAnsi="Arial"/>
          <w:sz w:val="20"/>
          <w:szCs w:val="20"/>
          <w:color w:val="auto"/>
        </w:rPr>
        <w:t>” shall mean the Chief Executive Officer, the Chief Financial Officer, the President of Applebee’s,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40" w:top="1397" w:right="339" w:bottom="1440" w:gutter="0" w:footer="0" w:header="0"/>
        </w:sectPr>
      </w:pPr>
    </w:p>
    <w:bookmarkStart w:id="53" w:name="page54"/>
    <w:bookmarkEnd w:id="53"/>
    <w:p>
      <w:pPr>
        <w:ind w:left="640" w:right="440"/>
        <w:spacing w:after="0" w:line="279" w:lineRule="auto"/>
        <w:rPr>
          <w:sz w:val="20"/>
          <w:szCs w:val="20"/>
          <w:color w:val="auto"/>
        </w:rPr>
      </w:pPr>
      <w:r>
        <w:rPr>
          <w:rFonts w:ascii="Arial" w:cs="Arial" w:eastAsia="Arial" w:hAnsi="Arial"/>
          <w:sz w:val="21"/>
          <w:szCs w:val="21"/>
          <w:color w:val="auto"/>
        </w:rPr>
        <w:t>President of IHOP, and such other employees of the Corporation as may from time to time be designated as being at the Chief Officer Level by the Board.</w:t>
      </w:r>
    </w:p>
    <w:p>
      <w:pPr>
        <w:spacing w:after="0" w:line="148" w:lineRule="exact"/>
        <w:rPr>
          <w:sz w:val="20"/>
          <w:szCs w:val="20"/>
          <w:color w:val="auto"/>
        </w:rPr>
      </w:pPr>
    </w:p>
    <w:p>
      <w:pPr>
        <w:ind w:left="640" w:right="400" w:firstLine="638"/>
        <w:spacing w:after="0" w:line="311" w:lineRule="auto"/>
        <w:tabs>
          <w:tab w:leader="none" w:pos="1647" w:val="left"/>
        </w:tabs>
        <w:numPr>
          <w:ilvl w:val="1"/>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Executive shall be entitled to vacation in accordance with the Corporation’s vacation or paid</w:t>
      </w:r>
      <w:r>
        <w:rPr>
          <w:rFonts w:ascii="Arial" w:cs="Arial" w:eastAsia="Arial" w:hAnsi="Arial"/>
          <w:sz w:val="20"/>
          <w:szCs w:val="20"/>
          <w:b w:val="1"/>
          <w:bCs w:val="1"/>
          <w:color w:val="auto"/>
        </w:rPr>
        <w:t xml:space="preserve"> </w:t>
      </w:r>
      <w:r>
        <w:rPr>
          <w:rFonts w:ascii="Arial" w:cs="Arial" w:eastAsia="Arial" w:hAnsi="Arial"/>
          <w:sz w:val="20"/>
          <w:szCs w:val="20"/>
          <w:color w:val="auto"/>
        </w:rPr>
        <w:t>time off policy as in effect from time to time for employees of the Corporation at the Chief Officer Level.</w:t>
      </w:r>
    </w:p>
    <w:p>
      <w:pPr>
        <w:spacing w:after="0" w:line="119" w:lineRule="exact"/>
        <w:rPr>
          <w:rFonts w:ascii="Arial" w:cs="Arial" w:eastAsia="Arial" w:hAnsi="Arial"/>
          <w:sz w:val="20"/>
          <w:szCs w:val="20"/>
          <w:color w:val="auto"/>
        </w:rPr>
      </w:pPr>
    </w:p>
    <w:p>
      <w:pPr>
        <w:ind w:left="640" w:right="400" w:firstLine="638"/>
        <w:spacing w:after="0" w:line="297" w:lineRule="auto"/>
        <w:tabs>
          <w:tab w:leader="none" w:pos="1635" w:val="left"/>
        </w:tabs>
        <w:numPr>
          <w:ilvl w:val="1"/>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and Long-Term Incentive Awards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shall be entitled to equity and other long-term</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awards that may be extended generally from time to time to employees of the Corporation at the Chief Officer Level, as approved by the Compensation Committee or the Board, subject to the terms and conditions of the respective equity and long-term incentive compensation plans and award agreements and the provisions of this Agreement.</w:t>
      </w:r>
    </w:p>
    <w:p>
      <w:pPr>
        <w:spacing w:after="0" w:line="137" w:lineRule="exact"/>
        <w:rPr>
          <w:rFonts w:ascii="Arial" w:cs="Arial" w:eastAsia="Arial" w:hAnsi="Arial"/>
          <w:sz w:val="19"/>
          <w:szCs w:val="19"/>
          <w:color w:val="auto"/>
        </w:rPr>
      </w:pPr>
    </w:p>
    <w:p>
      <w:pPr>
        <w:ind w:right="380" w:firstLine="642"/>
        <w:spacing w:after="0" w:line="267" w:lineRule="auto"/>
        <w:tabs>
          <w:tab w:leader="none" w:pos="1007"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Reimbursement of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such rules and procedures as from time to time are specified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the Corporation shall reimburse the Executive for reasonable business expenses incurred in the performance of the Executive’s duties under this Agreement.</w:t>
      </w:r>
    </w:p>
    <w:p>
      <w:pPr>
        <w:spacing w:after="0" w:line="161" w:lineRule="exact"/>
        <w:rPr>
          <w:rFonts w:ascii="Arial" w:cs="Arial" w:eastAsia="Arial" w:hAnsi="Arial"/>
          <w:sz w:val="21"/>
          <w:szCs w:val="21"/>
          <w:color w:val="auto"/>
        </w:rPr>
      </w:pPr>
    </w:p>
    <w:p>
      <w:pPr>
        <w:jc w:val="both"/>
        <w:ind w:right="20" w:firstLine="642"/>
        <w:spacing w:after="0" w:line="261" w:lineRule="auto"/>
        <w:tabs>
          <w:tab w:leader="none" w:pos="1007"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Confidentiality/Trade Secrets</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the Executive’s position with the Corporation is one</w:t>
      </w:r>
      <w:r>
        <w:rPr>
          <w:rFonts w:ascii="Arial" w:cs="Arial" w:eastAsia="Arial" w:hAnsi="Arial"/>
          <w:sz w:val="21"/>
          <w:szCs w:val="21"/>
          <w:b w:val="1"/>
          <w:bCs w:val="1"/>
          <w:color w:val="auto"/>
        </w:rPr>
        <w:t xml:space="preserve"> </w:t>
      </w:r>
      <w:r>
        <w:rPr>
          <w:rFonts w:ascii="Arial" w:cs="Arial" w:eastAsia="Arial" w:hAnsi="Arial"/>
          <w:sz w:val="21"/>
          <w:szCs w:val="21"/>
          <w:color w:val="auto"/>
        </w:rPr>
        <w:t>of the highest trust and confidence both by reason of the Executive’s position and by reason of the Executive’s access to and contact with the trade secrets and confidential and proprietary business information of the Corporation. Both during the term of this Agreement and thereafter, the Executive covenants and agrees as follows:</w:t>
      </w:r>
    </w:p>
    <w:p>
      <w:pPr>
        <w:spacing w:after="0" w:line="174" w:lineRule="exact"/>
        <w:rPr>
          <w:rFonts w:ascii="Arial" w:cs="Arial" w:eastAsia="Arial" w:hAnsi="Arial"/>
          <w:sz w:val="21"/>
          <w:szCs w:val="21"/>
          <w:color w:val="auto"/>
        </w:rPr>
      </w:pPr>
    </w:p>
    <w:p>
      <w:pPr>
        <w:ind w:left="640" w:firstLine="638"/>
        <w:spacing w:after="0" w:line="257" w:lineRule="auto"/>
        <w:tabs>
          <w:tab w:leader="none" w:pos="1631"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Executive shall use best efforts and exercise reasonable diligence to protect and safeguard the trade secrets and confidential and proprietary information of the Corporation, including but not limited to any non-public strategies, business plans, marketing and advertising plans, the identity of its customers and suppliers, its arrangements with customers and suppliers, and its technical and financial data, records, compilations of information, processes, recipes and specifications relating to its customers, suppliers, products and services;</w:t>
      </w:r>
    </w:p>
    <w:p>
      <w:pPr>
        <w:spacing w:after="0" w:line="177" w:lineRule="exact"/>
        <w:rPr>
          <w:rFonts w:ascii="Arial" w:cs="Arial" w:eastAsia="Arial" w:hAnsi="Arial"/>
          <w:sz w:val="21"/>
          <w:szCs w:val="21"/>
          <w:color w:val="auto"/>
        </w:rPr>
      </w:pPr>
    </w:p>
    <w:p>
      <w:pPr>
        <w:ind w:left="640" w:right="200" w:firstLine="638"/>
        <w:spacing w:after="0" w:line="305" w:lineRule="auto"/>
        <w:tabs>
          <w:tab w:leader="none" w:pos="1643"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Executive shall not disclose any of such trade secrets and confidential and proprietary information, except as may be required in the course of the Executive’s employment with the Corporation or by law; and</w:t>
      </w:r>
    </w:p>
    <w:p>
      <w:pPr>
        <w:spacing w:after="0" w:line="130" w:lineRule="exact"/>
        <w:rPr>
          <w:rFonts w:ascii="Arial" w:cs="Arial" w:eastAsia="Arial" w:hAnsi="Arial"/>
          <w:sz w:val="20"/>
          <w:szCs w:val="20"/>
          <w:color w:val="auto"/>
        </w:rPr>
      </w:pPr>
    </w:p>
    <w:p>
      <w:pPr>
        <w:ind w:left="640" w:right="200" w:firstLine="638"/>
        <w:spacing w:after="0" w:line="279" w:lineRule="auto"/>
        <w:tabs>
          <w:tab w:leader="none" w:pos="1631"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Executive shall not use, directly or indirectly, for the Executive’s own benefit or for the benefit of another, any of such trade secrets and confidential and proprietary information.</w:t>
      </w:r>
    </w:p>
    <w:p>
      <w:pPr>
        <w:spacing w:after="0" w:line="154" w:lineRule="exact"/>
        <w:rPr>
          <w:sz w:val="20"/>
          <w:szCs w:val="20"/>
          <w:color w:val="auto"/>
        </w:rPr>
      </w:pPr>
    </w:p>
    <w:p>
      <w:pPr>
        <w:ind w:right="180" w:firstLine="636"/>
        <w:spacing w:after="0" w:line="276" w:lineRule="auto"/>
        <w:rPr>
          <w:sz w:val="20"/>
          <w:szCs w:val="20"/>
          <w:color w:val="auto"/>
        </w:rPr>
      </w:pPr>
      <w:r>
        <w:rPr>
          <w:rFonts w:ascii="Arial" w:cs="Arial" w:eastAsia="Arial" w:hAnsi="Arial"/>
          <w:sz w:val="20"/>
          <w:szCs w:val="20"/>
          <w:color w:val="auto"/>
        </w:rPr>
        <w:t>All original and any copies of files, records, documents, emails, drawings, specifications, memoranda, notes, or other documents relating to the business of the Corporation, including printed, electronic or digital copies thereof, whether prepared by the Executive or otherwise coming into the Executive’s possession, shall be the exclusive property of the Corporation and shall be delivered to the Corporation and not retained by the Executive upon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03" w:right="359" w:bottom="1440" w:gutter="0" w:footer="0" w:header="0"/>
        </w:sectPr>
      </w:pPr>
    </w:p>
    <w:bookmarkStart w:id="54" w:name="page55"/>
    <w:bookmarkEnd w:id="54"/>
    <w:p>
      <w:pPr>
        <w:ind w:right="180"/>
        <w:spacing w:after="0" w:line="279" w:lineRule="auto"/>
        <w:rPr>
          <w:sz w:val="20"/>
          <w:szCs w:val="20"/>
          <w:color w:val="auto"/>
        </w:rPr>
      </w:pPr>
      <w:r>
        <w:rPr>
          <w:rFonts w:ascii="Arial" w:cs="Arial" w:eastAsia="Arial" w:hAnsi="Arial"/>
          <w:sz w:val="21"/>
          <w:szCs w:val="21"/>
          <w:color w:val="auto"/>
        </w:rPr>
        <w:t>Executive’s employment for any reason whatsoever or at any other time upon request of the Corporation’s General Counsel or the Board.</w:t>
      </w:r>
    </w:p>
    <w:p>
      <w:pPr>
        <w:spacing w:after="0" w:line="148" w:lineRule="exact"/>
        <w:rPr>
          <w:sz w:val="20"/>
          <w:szCs w:val="20"/>
          <w:color w:val="auto"/>
        </w:rPr>
      </w:pPr>
    </w:p>
    <w:p>
      <w:pPr>
        <w:ind w:firstLine="642"/>
        <w:spacing w:after="0" w:line="283" w:lineRule="auto"/>
        <w:tabs>
          <w:tab w:leader="none" w:pos="1113"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Discoveries</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covenants and agrees to fully inform the Corporation of and disclose to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inventions, designs, improvements, discoveries, and processes (“</w:t>
      </w:r>
      <w:r>
        <w:rPr>
          <w:rFonts w:ascii="Arial" w:cs="Arial" w:eastAsia="Arial" w:hAnsi="Arial"/>
          <w:sz w:val="19"/>
          <w:szCs w:val="19"/>
          <w:b w:val="1"/>
          <w:bCs w:val="1"/>
          <w:color w:val="auto"/>
        </w:rPr>
        <w:t>Discoveries</w:t>
      </w:r>
      <w:r>
        <w:rPr>
          <w:rFonts w:ascii="Arial" w:cs="Arial" w:eastAsia="Arial" w:hAnsi="Arial"/>
          <w:sz w:val="19"/>
          <w:szCs w:val="19"/>
          <w:color w:val="auto"/>
        </w:rPr>
        <w:t>”) that the Executive has now or may hereafter have during the Executive’s employment with the Corporation and that pertain or relate to the business of the Corporation, including but not limited to the operation and franchising of restaurants, or to any experimental work, products, services, or processes of the Corporation in progress or planned for the future, whether conceived by the Executive alone or with others, and whether or not conceived during regular working hours or in conjunction with the use of any Corporation assets. The Executive will hold in trust for the sole right and benefit of the Corporation, and will transfer, convey, release and assign to the Corporation all of the Executive’s right, title, and interest, if any, in and to any and all Discoveries, whether or not patentable or registrable under copyright or similar laws, that the Executive has solely or jointly conceived or developed or reduced to practice, or caused to be conceived or developed or reduced to practice, during the period of time that the Executive is employed with the Corporation.</w:t>
      </w:r>
    </w:p>
    <w:p>
      <w:pPr>
        <w:spacing w:after="0" w:line="186" w:lineRule="exact"/>
        <w:rPr>
          <w:sz w:val="20"/>
          <w:szCs w:val="20"/>
          <w:color w:val="auto"/>
        </w:rPr>
      </w:pPr>
    </w:p>
    <w:p>
      <w:pPr>
        <w:ind w:right="200" w:firstLine="636"/>
        <w:spacing w:after="0" w:line="279" w:lineRule="auto"/>
        <w:rPr>
          <w:sz w:val="20"/>
          <w:szCs w:val="20"/>
          <w:color w:val="auto"/>
        </w:rPr>
      </w:pPr>
      <w:r>
        <w:rPr>
          <w:rFonts w:ascii="Arial" w:cs="Arial" w:eastAsia="Arial" w:hAnsi="Arial"/>
          <w:sz w:val="21"/>
          <w:szCs w:val="21"/>
          <w:color w:val="auto"/>
        </w:rPr>
        <w:t>Notwithstanding the foregoing, the Executive is not required to assign, or offer to assign, to the Corporation any invention that fully qualifies under California Labor Code Section 2870, which section is reproduced below:</w:t>
      </w:r>
    </w:p>
    <w:p>
      <w:pPr>
        <w:spacing w:after="0" w:line="181" w:lineRule="exact"/>
        <w:rPr>
          <w:sz w:val="20"/>
          <w:szCs w:val="20"/>
          <w:color w:val="auto"/>
        </w:rPr>
      </w:pPr>
    </w:p>
    <w:p>
      <w:pPr>
        <w:ind w:left="1060" w:right="1120" w:hanging="794"/>
        <w:spacing w:after="0" w:line="276" w:lineRule="auto"/>
        <w:tabs>
          <w:tab w:leader="none" w:pos="10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0"/>
          <w:szCs w:val="20"/>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8" w:lineRule="exact"/>
        <w:rPr>
          <w:sz w:val="20"/>
          <w:szCs w:val="20"/>
          <w:color w:val="auto"/>
        </w:rPr>
      </w:pPr>
    </w:p>
    <w:p>
      <w:pPr>
        <w:ind w:left="1920" w:right="1480" w:hanging="642"/>
        <w:spacing w:after="0" w:line="334" w:lineRule="auto"/>
        <w:tabs>
          <w:tab w:leader="none" w:pos="1796" w:val="left"/>
        </w:tabs>
        <w:numPr>
          <w:ilvl w:val="1"/>
          <w:numId w:val="34"/>
        </w:numPr>
        <w:rPr>
          <w:rFonts w:ascii="Arial" w:cs="Arial" w:eastAsia="Arial" w:hAnsi="Arial"/>
          <w:sz w:val="19"/>
          <w:szCs w:val="19"/>
          <w:color w:val="auto"/>
        </w:rPr>
      </w:pPr>
      <w:r>
        <w:rPr>
          <w:rFonts w:ascii="Arial" w:cs="Arial" w:eastAsia="Arial" w:hAnsi="Arial"/>
          <w:sz w:val="19"/>
          <w:szCs w:val="19"/>
          <w:color w:val="auto"/>
        </w:rPr>
        <w:t>Relate at the time of conception or reduction to practice of the invention to the employer's business, or actual or demonstrably anticipated research or development of the employer; or</w:t>
      </w:r>
    </w:p>
    <w:p>
      <w:pPr>
        <w:spacing w:after="0" w:line="133" w:lineRule="exact"/>
        <w:rPr>
          <w:rFonts w:ascii="Arial" w:cs="Arial" w:eastAsia="Arial" w:hAnsi="Arial"/>
          <w:sz w:val="19"/>
          <w:szCs w:val="19"/>
          <w:color w:val="auto"/>
        </w:rPr>
      </w:pPr>
    </w:p>
    <w:p>
      <w:pPr>
        <w:ind w:left="1800" w:hanging="522"/>
        <w:spacing w:after="0"/>
        <w:tabs>
          <w:tab w:leader="none" w:pos="1800" w:val="left"/>
        </w:tabs>
        <w:numPr>
          <w:ilvl w:val="1"/>
          <w:numId w:val="34"/>
        </w:numPr>
        <w:rPr>
          <w:rFonts w:ascii="Arial" w:cs="Arial" w:eastAsia="Arial" w:hAnsi="Arial"/>
          <w:sz w:val="21"/>
          <w:szCs w:val="21"/>
          <w:color w:val="auto"/>
        </w:rPr>
      </w:pPr>
      <w:r>
        <w:rPr>
          <w:rFonts w:ascii="Arial" w:cs="Arial" w:eastAsia="Arial" w:hAnsi="Arial"/>
          <w:sz w:val="21"/>
          <w:szCs w:val="21"/>
          <w:color w:val="auto"/>
        </w:rPr>
        <w:t>Result from any work performed by the employee for the employer.</w:t>
      </w:r>
    </w:p>
    <w:p>
      <w:pPr>
        <w:spacing w:after="0" w:line="248" w:lineRule="exact"/>
        <w:rPr>
          <w:rFonts w:ascii="Arial" w:cs="Arial" w:eastAsia="Arial" w:hAnsi="Arial"/>
          <w:sz w:val="21"/>
          <w:szCs w:val="21"/>
          <w:color w:val="auto"/>
        </w:rPr>
      </w:pPr>
    </w:p>
    <w:p>
      <w:pPr>
        <w:ind w:left="1280" w:right="1160" w:hanging="638"/>
        <w:spacing w:after="0" w:line="264" w:lineRule="auto"/>
        <w:tabs>
          <w:tab w:leader="none" w:pos="1152" w:val="left"/>
        </w:tabs>
        <w:numPr>
          <w:ilvl w:val="0"/>
          <w:numId w:val="35"/>
        </w:numPr>
        <w:rPr>
          <w:rFonts w:ascii="Arial" w:cs="Arial" w:eastAsia="Arial" w:hAnsi="Arial"/>
          <w:sz w:val="21"/>
          <w:szCs w:val="21"/>
          <w:color w:val="auto"/>
        </w:rPr>
      </w:pPr>
      <w:r>
        <w:rPr>
          <w:rFonts w:ascii="Arial" w:cs="Arial" w:eastAsia="Arial" w:hAnsi="Arial"/>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97" w:lineRule="exact"/>
        <w:rPr>
          <w:sz w:val="20"/>
          <w:szCs w:val="20"/>
          <w:color w:val="auto"/>
        </w:rPr>
      </w:pPr>
    </w:p>
    <w:p>
      <w:pPr>
        <w:ind w:right="200" w:firstLine="636"/>
        <w:spacing w:after="0" w:line="264" w:lineRule="auto"/>
        <w:rPr>
          <w:sz w:val="20"/>
          <w:szCs w:val="20"/>
          <w:color w:val="auto"/>
        </w:rPr>
      </w:pPr>
      <w:r>
        <w:rPr>
          <w:rFonts w:ascii="Arial" w:cs="Arial" w:eastAsia="Arial" w:hAnsi="Arial"/>
          <w:sz w:val="21"/>
          <w:szCs w:val="21"/>
          <w:color w:val="auto"/>
        </w:rPr>
        <w:t>The Executive will assist the Corporation, or its designee, at the Corporation’s expense, in every proper way to secure and enforce the Corporation’s rights in the Discoveries as set forth above and any copyrights, patents, mask work rights or other intellectual property rights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20" w:top="1403" w:right="379" w:bottom="1440" w:gutter="0" w:footer="0" w:header="0"/>
        </w:sectPr>
      </w:pPr>
    </w:p>
    <w:bookmarkStart w:id="55" w:name="page56"/>
    <w:bookmarkEnd w:id="55"/>
    <w:p>
      <w:pPr>
        <w:spacing w:after="0" w:line="266" w:lineRule="auto"/>
        <w:rPr>
          <w:sz w:val="20"/>
          <w:szCs w:val="20"/>
          <w:color w:val="auto"/>
        </w:rPr>
      </w:pPr>
      <w:r>
        <w:rPr>
          <w:rFonts w:ascii="Arial" w:cs="Arial" w:eastAsia="Arial" w:hAnsi="Arial"/>
          <w:sz w:val="20"/>
          <w:szCs w:val="20"/>
          <w:color w:val="auto"/>
        </w:rPr>
        <w:t>thereto in any and all countries, including the disclosure to the Corporation of all pertinent information and data with respect thereto, the execution of all applications, specifications, oaths, assignments and all other instruments which the Corporation shall deem necessary in order to apply for, obtain and maintain such rights and in order to assign and convey to the Corporation, its successors, assigns and nominees the sole and exclusive rights, title and interest in and to such Discoveries, and any copyrights, patents, mask work rights or other intellectual property rights relating thereto. The Executive will execute or cause to be executed, when it is in the Executive’s power to do so, any such instrument or papers and such obligation shall continue after the termination of Executive’s employment. If the Corporation is unable because of the Executive’s mental or physical incapacity or for any other reason to secure the Executive’s signature to apply for or to pursue any application for any United States or foreign patents or copyright registrations covering Discoveries assigned to the Corporation as set forth above, then the Executive hereby irrevocably designates and appoints the Corporation and its duly authorized officers and agents as the Executive’s agent and attorney in fact, to act for and in the Executive’s behalf and stead to execute and file any such applications and to do all other lawfully permitted acts to further the prosecution and issuance of letters patent or copyright registrations thereon with the same legal force and effect as if executed by the Executive.</w:t>
      </w:r>
    </w:p>
    <w:p>
      <w:pPr>
        <w:spacing w:after="0" w:line="192" w:lineRule="exact"/>
        <w:rPr>
          <w:sz w:val="20"/>
          <w:szCs w:val="20"/>
          <w:color w:val="auto"/>
        </w:rPr>
      </w:pPr>
    </w:p>
    <w:p>
      <w:pPr>
        <w:ind w:right="140" w:firstLine="642"/>
        <w:spacing w:after="0" w:line="254" w:lineRule="auto"/>
        <w:tabs>
          <w:tab w:leader="none" w:pos="1113"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Non-Competition During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covenants and agrees that during the period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the Executive shall not, without the prior written consent of the Chief Executive Officer of the Corporation (the “CEO”) and the Board, directly or indirectly, as an employee, employer, consultant, agent, principal, partner, shareholder, corporate officer, director, or through any other kind of ownership (other than ownership of securities of publicly held corporations of which the Executive owns less than 5% of any class of outstanding securities) or in any other representative or individual capacity, engage in or render any services to any business in North America engaged in the casual dining restaurant industry, the family dining restaurant industry, or in any other segment of the restaurant industry in which the Corporation or any subsidiary of the Corporation may become involved after the date hereof and prior to the date of termination of the Executive’s employment.</w:t>
      </w:r>
    </w:p>
    <w:p>
      <w:pPr>
        <w:spacing w:after="0" w:line="177" w:lineRule="exact"/>
        <w:rPr>
          <w:rFonts w:ascii="Arial" w:cs="Arial" w:eastAsia="Arial" w:hAnsi="Arial"/>
          <w:sz w:val="21"/>
          <w:szCs w:val="21"/>
          <w:color w:val="auto"/>
        </w:rPr>
      </w:pPr>
    </w:p>
    <w:p>
      <w:pPr>
        <w:ind w:right="100" w:firstLine="642"/>
        <w:spacing w:after="0" w:line="289" w:lineRule="auto"/>
        <w:tabs>
          <w:tab w:leader="none" w:pos="1105"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 During Employment</w:t>
      </w:r>
      <w:r>
        <w:rPr>
          <w:rFonts w:ascii="Arial" w:cs="Arial" w:eastAsia="Arial" w:hAnsi="Arial"/>
          <w:sz w:val="19"/>
          <w:szCs w:val="19"/>
          <w:color w:val="auto"/>
        </w:rPr>
        <w:t>. The Executive agrees that during the period of the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will not, either directly or indirectly, for the Executive or for any third party, except as otherwise agreed to in writing by the then CEO, solicit, induce, recruit, or cause any other person who is then employed by the Corporation to terminate his/her employment for the purpose of joining, associating, or becoming employed with any business or activity that is engaged in the casual dining restaurant industry, the family dining restaurant industry or any other segment of the restaurant industry in which the Corporation may become involved after the date hereof and prior to the date of any termination of employment.</w:t>
      </w:r>
    </w:p>
    <w:p>
      <w:pPr>
        <w:spacing w:after="0" w:line="143" w:lineRule="exact"/>
        <w:rPr>
          <w:rFonts w:ascii="Arial" w:cs="Arial" w:eastAsia="Arial" w:hAnsi="Arial"/>
          <w:sz w:val="19"/>
          <w:szCs w:val="19"/>
          <w:color w:val="auto"/>
        </w:rPr>
      </w:pPr>
    </w:p>
    <w:p>
      <w:pPr>
        <w:ind w:left="1120" w:hanging="478"/>
        <w:spacing w:after="0"/>
        <w:tabs>
          <w:tab w:leader="none" w:pos="112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 for Breach of Covenants of the Executive</w:t>
      </w:r>
      <w:r>
        <w:rPr>
          <w:rFonts w:ascii="Arial" w:cs="Arial" w:eastAsia="Arial" w:hAnsi="Arial"/>
          <w:sz w:val="21"/>
          <w:szCs w:val="21"/>
          <w:b w:val="1"/>
          <w:bCs w:val="1"/>
          <w:color w:val="auto"/>
        </w:rPr>
        <w:t>.</w:t>
      </w:r>
    </w:p>
    <w:p>
      <w:pPr>
        <w:spacing w:after="0" w:line="228" w:lineRule="exact"/>
        <w:rPr>
          <w:rFonts w:ascii="Arial" w:cs="Arial" w:eastAsia="Arial" w:hAnsi="Arial"/>
          <w:sz w:val="21"/>
          <w:szCs w:val="21"/>
          <w:color w:val="auto"/>
        </w:rPr>
      </w:pPr>
    </w:p>
    <w:p>
      <w:pPr>
        <w:ind w:left="640" w:right="540" w:firstLine="636"/>
        <w:spacing w:after="0" w:line="279" w:lineRule="auto"/>
        <w:rPr>
          <w:rFonts w:ascii="Arial" w:cs="Arial" w:eastAsia="Arial" w:hAnsi="Arial"/>
          <w:sz w:val="21"/>
          <w:szCs w:val="21"/>
          <w:color w:val="auto"/>
        </w:rPr>
      </w:pPr>
      <w:r>
        <w:rPr>
          <w:rFonts w:ascii="Arial" w:cs="Arial" w:eastAsia="Arial" w:hAnsi="Arial"/>
          <w:sz w:val="21"/>
          <w:szCs w:val="21"/>
          <w:color w:val="auto"/>
        </w:rPr>
        <w:t xml:space="preserve">a. The Corporation and the Executive specifically acknowledge and agree that the foregoing covenants of the Executive in </w:t>
      </w:r>
      <w:r>
        <w:rPr>
          <w:rFonts w:ascii="Arial" w:cs="Arial" w:eastAsia="Arial" w:hAnsi="Arial"/>
          <w:sz w:val="21"/>
          <w:szCs w:val="21"/>
          <w:b w:val="1"/>
          <w:bCs w:val="1"/>
          <w:color w:val="auto"/>
        </w:rPr>
        <w:t>Sections 8, 9, 10 and 11</w:t>
      </w:r>
      <w:r>
        <w:rPr>
          <w:rFonts w:ascii="Arial" w:cs="Arial" w:eastAsia="Arial" w:hAnsi="Arial"/>
          <w:sz w:val="21"/>
          <w:szCs w:val="21"/>
          <w:color w:val="auto"/>
        </w:rPr>
        <w:t xml:space="preserve"> are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03" w:right="359" w:bottom="1440" w:gutter="0" w:footer="0" w:header="0"/>
        </w:sectPr>
      </w:pPr>
    </w:p>
    <w:bookmarkStart w:id="56" w:name="page57"/>
    <w:bookmarkEnd w:id="56"/>
    <w:p>
      <w:pPr>
        <w:ind w:left="620" w:right="120"/>
        <w:spacing w:after="0" w:line="259" w:lineRule="auto"/>
        <w:rPr>
          <w:sz w:val="20"/>
          <w:szCs w:val="20"/>
          <w:color w:val="auto"/>
        </w:rPr>
      </w:pPr>
      <w:r>
        <w:rPr>
          <w:rFonts w:ascii="Arial" w:cs="Arial" w:eastAsia="Arial" w:hAnsi="Arial"/>
          <w:sz w:val="21"/>
          <w:szCs w:val="21"/>
          <w:color w:val="auto"/>
        </w:rPr>
        <w:t>in content and scope and are given by the Executive for adequate consideration. The Corporation and the Executive further acknowledge and agree that, if any court of competent jurisdiction or other appropriate authority shall disagree with the parties’ foregoing agreement as to reasonableness, then such court or other authority shall reform or otherwise construe the foregoing covenants as reason dictates.</w:t>
      </w:r>
    </w:p>
    <w:p>
      <w:pPr>
        <w:spacing w:after="0" w:line="171" w:lineRule="exact"/>
        <w:rPr>
          <w:sz w:val="20"/>
          <w:szCs w:val="20"/>
          <w:color w:val="auto"/>
        </w:rPr>
      </w:pPr>
    </w:p>
    <w:p>
      <w:pPr>
        <w:ind w:left="620" w:firstLine="638"/>
        <w:spacing w:after="0" w:line="269" w:lineRule="auto"/>
        <w:tabs>
          <w:tab w:leader="none" w:pos="1623" w:val="left"/>
        </w:tabs>
        <w:numPr>
          <w:ilvl w:val="1"/>
          <w:numId w:val="37"/>
        </w:numPr>
        <w:rPr>
          <w:rFonts w:ascii="Arial" w:cs="Arial" w:eastAsia="Arial" w:hAnsi="Arial"/>
          <w:sz w:val="20"/>
          <w:szCs w:val="20"/>
          <w:color w:val="auto"/>
        </w:rPr>
      </w:pPr>
      <w:r>
        <w:rPr>
          <w:rFonts w:ascii="Arial" w:cs="Arial" w:eastAsia="Arial" w:hAnsi="Arial"/>
          <w:sz w:val="20"/>
          <w:szCs w:val="20"/>
          <w:color w:val="auto"/>
        </w:rPr>
        <w:t xml:space="preserve">The covenants set forth in </w:t>
      </w:r>
      <w:r>
        <w:rPr>
          <w:rFonts w:ascii="Arial" w:cs="Arial" w:eastAsia="Arial" w:hAnsi="Arial"/>
          <w:sz w:val="20"/>
          <w:szCs w:val="20"/>
          <w:b w:val="1"/>
          <w:bCs w:val="1"/>
          <w:color w:val="auto"/>
        </w:rPr>
        <w:t>Sections 8 and 9</w:t>
      </w:r>
      <w:r>
        <w:rPr>
          <w:rFonts w:ascii="Arial" w:cs="Arial" w:eastAsia="Arial" w:hAnsi="Arial"/>
          <w:sz w:val="20"/>
          <w:szCs w:val="20"/>
          <w:color w:val="auto"/>
        </w:rPr>
        <w:t xml:space="preserve"> of this Agreement, as provided in </w:t>
      </w:r>
      <w:r>
        <w:rPr>
          <w:rFonts w:ascii="Arial" w:cs="Arial" w:eastAsia="Arial" w:hAnsi="Arial"/>
          <w:sz w:val="20"/>
          <w:szCs w:val="20"/>
          <w:b w:val="1"/>
          <w:bCs w:val="1"/>
          <w:color w:val="auto"/>
        </w:rPr>
        <w:t>Section 13 or 14</w:t>
      </w:r>
      <w:r>
        <w:rPr>
          <w:rFonts w:ascii="Arial" w:cs="Arial" w:eastAsia="Arial" w:hAnsi="Arial"/>
          <w:sz w:val="20"/>
          <w:szCs w:val="20"/>
          <w:color w:val="auto"/>
        </w:rPr>
        <w:t>, shall continue to be binding upon the Executive, notwithstanding the termination of the Executive’s employment with the Corporation for any reason whatsoever. Such covenants shall be deemed and construed as separate agreements independent of any other provisions of this Agreement and any other agreement between the Corporation and the Executive. The existence of any claim or cause of action by the Executive against the Corporation, unless predicated on this Agreement, shall not constitute a defense to the enforcement by the Corporation of any or all such covenants. It is expressly agreed that the remedy at law for the breach of any such covenant is inadequate and injunctive relief and specific performance shall be available to prevent the breach or any threatened breach thereof.</w:t>
      </w:r>
    </w:p>
    <w:p>
      <w:pPr>
        <w:spacing w:after="0" w:line="190" w:lineRule="exact"/>
        <w:rPr>
          <w:rFonts w:ascii="Arial" w:cs="Arial" w:eastAsia="Arial" w:hAnsi="Arial"/>
          <w:sz w:val="20"/>
          <w:szCs w:val="20"/>
          <w:color w:val="auto"/>
        </w:rPr>
      </w:pPr>
    </w:p>
    <w:p>
      <w:pPr>
        <w:ind w:left="620" w:right="120" w:firstLine="638"/>
        <w:spacing w:after="0" w:line="261" w:lineRule="auto"/>
        <w:tabs>
          <w:tab w:leader="none" w:pos="1615"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If the Executive breaches any of the covenants set forth in </w:t>
      </w:r>
      <w:r>
        <w:rPr>
          <w:rFonts w:ascii="Arial" w:cs="Arial" w:eastAsia="Arial" w:hAnsi="Arial"/>
          <w:sz w:val="21"/>
          <w:szCs w:val="21"/>
          <w:b w:val="1"/>
          <w:bCs w:val="1"/>
          <w:color w:val="auto"/>
        </w:rPr>
        <w:t>Sections 8, 9, 10 and 11</w:t>
      </w:r>
      <w:r>
        <w:rPr>
          <w:rFonts w:ascii="Arial" w:cs="Arial" w:eastAsia="Arial" w:hAnsi="Arial"/>
          <w:sz w:val="21"/>
          <w:szCs w:val="21"/>
          <w:color w:val="auto"/>
        </w:rPr>
        <w:t xml:space="preserve"> of this Agreement, the Executive shall reimburse the Corporation for (i) any long-term incentive compensation received by the Executive from the Corporation during the 12-month period preceding the breach, and (ii) any profits realized from the sale of securities of the Corporation during such 12-month period.</w:t>
      </w:r>
    </w:p>
    <w:p>
      <w:pPr>
        <w:spacing w:after="0" w:line="168" w:lineRule="exact"/>
        <w:rPr>
          <w:rFonts w:ascii="Arial" w:cs="Arial" w:eastAsia="Arial" w:hAnsi="Arial"/>
          <w:sz w:val="21"/>
          <w:szCs w:val="21"/>
          <w:color w:val="auto"/>
        </w:rPr>
      </w:pPr>
    </w:p>
    <w:p>
      <w:pPr>
        <w:ind w:left="-20" w:right="60" w:firstLine="642"/>
        <w:spacing w:after="0" w:line="267" w:lineRule="auto"/>
        <w:tabs>
          <w:tab w:leader="none" w:pos="1093"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(other than</w:t>
      </w:r>
      <w:r>
        <w:rPr>
          <w:rFonts w:ascii="Arial" w:cs="Arial" w:eastAsia="Arial" w:hAnsi="Arial"/>
          <w:sz w:val="21"/>
          <w:szCs w:val="21"/>
          <w:b w:val="1"/>
          <w:bCs w:val="1"/>
          <w:color w:val="auto"/>
        </w:rPr>
        <w:t xml:space="preserve"> Sections 8 and 9</w:t>
      </w:r>
      <w:r>
        <w:rPr>
          <w:rFonts w:ascii="Arial" w:cs="Arial" w:eastAsia="Arial" w:hAnsi="Arial"/>
          <w:sz w:val="21"/>
          <w:szCs w:val="21"/>
          <w:color w:val="auto"/>
        </w:rPr>
        <w:t>, as provided in</w:t>
      </w:r>
      <w:r>
        <w:rPr>
          <w:rFonts w:ascii="Arial" w:cs="Arial" w:eastAsia="Arial" w:hAnsi="Arial"/>
          <w:sz w:val="21"/>
          <w:szCs w:val="21"/>
          <w:b w:val="1"/>
          <w:bCs w:val="1"/>
          <w:color w:val="auto"/>
        </w:rPr>
        <w:t xml:space="preserve"> Section 13 or 14</w:t>
      </w:r>
      <w:r>
        <w:rPr>
          <w:rFonts w:ascii="Arial" w:cs="Arial" w:eastAsia="Arial" w:hAnsi="Arial"/>
          <w:sz w:val="21"/>
          <w:szCs w:val="21"/>
          <w:color w:val="auto"/>
        </w:rPr>
        <w:t>, which shall survive any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hereof for any reason, including the expiration hereof due to non-renewal (an “</w:t>
      </w:r>
      <w:r>
        <w:rPr>
          <w:rFonts w:ascii="Arial" w:cs="Arial" w:eastAsia="Arial" w:hAnsi="Arial"/>
          <w:sz w:val="21"/>
          <w:szCs w:val="21"/>
          <w:b w:val="1"/>
          <w:bCs w:val="1"/>
          <w:color w:val="auto"/>
        </w:rPr>
        <w:t>Expiration</w:t>
      </w:r>
      <w:r>
        <w:rPr>
          <w:rFonts w:ascii="Arial" w:cs="Arial" w:eastAsia="Arial" w:hAnsi="Arial"/>
          <w:sz w:val="21"/>
          <w:szCs w:val="21"/>
          <w:color w:val="auto"/>
        </w:rPr>
        <w:t>”)) may be terminated as follows:</w:t>
      </w:r>
    </w:p>
    <w:p>
      <w:pPr>
        <w:spacing w:after="0" w:line="167" w:lineRule="exact"/>
        <w:rPr>
          <w:rFonts w:ascii="Arial" w:cs="Arial" w:eastAsia="Arial" w:hAnsi="Arial"/>
          <w:sz w:val="21"/>
          <w:szCs w:val="21"/>
          <w:color w:val="auto"/>
        </w:rPr>
      </w:pPr>
    </w:p>
    <w:p>
      <w:pPr>
        <w:ind w:left="620" w:right="140" w:firstLine="638"/>
        <w:spacing w:after="0" w:line="264" w:lineRule="auto"/>
        <w:tabs>
          <w:tab w:leader="none" w:pos="1611"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Corporation may terminate this Agreement and the Executive’s employment hereunder at any time, with or without Cause, upon written notice to the Executive. The Executive may terminate this Agreement and the Executive’s employment hereunder, at any time, with or without Good Reason.</w:t>
      </w:r>
    </w:p>
    <w:p>
      <w:pPr>
        <w:spacing w:after="0" w:line="170" w:lineRule="exact"/>
        <w:rPr>
          <w:rFonts w:ascii="Arial" w:cs="Arial" w:eastAsia="Arial" w:hAnsi="Arial"/>
          <w:sz w:val="21"/>
          <w:szCs w:val="21"/>
          <w:color w:val="auto"/>
        </w:rPr>
      </w:pPr>
    </w:p>
    <w:p>
      <w:pPr>
        <w:ind w:left="620" w:firstLine="638"/>
        <w:spacing w:after="0" w:line="268" w:lineRule="auto"/>
        <w:tabs>
          <w:tab w:leader="none" w:pos="1627"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 the event of termination by the Corporation without Cause or by the Executive for Good Reason, which shall not include a termination due to the Executive’s death or Disability, (i) the effective date thereof shall be stated in a written notice from the Board or the Executive, as the case may be, to the other party, which in the case of a termination for Good Reason shall not be earlier than 30 days from the date such written notice is delivered, and (ii) the Executive shall be entitled to receive (1) within 10 business days following the effective date of such termination the payment of that portion of the Executive’s Base Salary accrued through the date of termination to the extent not previously paid, any annual bonus earned during the prior fiscal year but not yet paid to the Executive, any incurred but unreimbursed expenses owed to the Executive in accordance with the Corporation’s policy or this Agreement, and any accrued but unused vacation pay owed to the Executive in accordance with the Corporation’s policy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40" w:top="1403" w:right="339" w:bottom="1440" w:gutter="0" w:footer="0" w:header="0"/>
        </w:sectPr>
      </w:pPr>
    </w:p>
    <w:bookmarkStart w:id="57" w:name="page58"/>
    <w:bookmarkEnd w:id="57"/>
    <w:p>
      <w:pPr>
        <w:ind w:right="8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Accrued Obligations</w:t>
      </w:r>
      <w:r>
        <w:rPr>
          <w:rFonts w:ascii="Arial" w:cs="Arial" w:eastAsia="Arial" w:hAnsi="Arial"/>
          <w:sz w:val="19"/>
          <w:szCs w:val="19"/>
          <w:color w:val="auto"/>
        </w:rPr>
        <w:t>”) and (2) all amounts arising from the Executive’s participation in, or benefits under, any employee benefit plans, programs or arrangements, which amounts shall be payable in accordance with the terms and conditions of such employee benefit plans, programs or arrangements (the “</w:t>
      </w:r>
      <w:r>
        <w:rPr>
          <w:rFonts w:ascii="Arial" w:cs="Arial" w:eastAsia="Arial" w:hAnsi="Arial"/>
          <w:sz w:val="19"/>
          <w:szCs w:val="19"/>
          <w:b w:val="1"/>
          <w:bCs w:val="1"/>
          <w:color w:val="auto"/>
        </w:rPr>
        <w:t>Other Benefits</w:t>
      </w:r>
      <w:r>
        <w:rPr>
          <w:rFonts w:ascii="Arial" w:cs="Arial" w:eastAsia="Arial" w:hAnsi="Arial"/>
          <w:sz w:val="19"/>
          <w:szCs w:val="19"/>
          <w:color w:val="auto"/>
        </w:rPr>
        <w:t>”). In addition, subject to the Executive’s entering into and not revoking the General Release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set forth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attached hereto within 30 days after the effective date of termination (i) the Executive shall be entitled to receive all Severance Payments under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13(g)</w:t>
      </w:r>
      <w:r>
        <w:rPr>
          <w:rFonts w:ascii="Arial" w:cs="Arial" w:eastAsia="Arial" w:hAnsi="Arial"/>
          <w:sz w:val="19"/>
          <w:szCs w:val="19"/>
          <w:color w:val="auto"/>
        </w:rPr>
        <w:t>; (ii) any unvested stock options, stock appreciation rights, restricted stock awards, restricted stock units and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equity-based awards held by the Executive that are subject only to service or time based vesting conditions (and not performance-based vesting conditions) and that would have vested during the 12-month period following the Executive’s termination will vest as of the day immediately preceding the effective date of termination; (iii) any unvested equity-based or long-term cash-based awards held by the Executive that are subject to any performance-based vesting conditions shall become vested on a prorated basis, based on the portion of the performance period that has elapsed prior to the date of termination, determined in accordance with the Corporation’s administrative practices, and shall be paid at the time such award would have been paid to the Executive had the Executive remained employed through the end of the applicable performance period, based on actual performance during such performance period; and (iv) any stock options or stock appreciation rights held by the Executive shall remain exercisable until the earlier of 12 months after the date of termination or their original expiration date. The Severance Payment under </w:t>
      </w:r>
      <w:r>
        <w:rPr>
          <w:rFonts w:ascii="Arial" w:cs="Arial" w:eastAsia="Arial" w:hAnsi="Arial"/>
          <w:sz w:val="19"/>
          <w:szCs w:val="19"/>
          <w:b w:val="1"/>
          <w:bCs w:val="1"/>
          <w:color w:val="auto"/>
        </w:rPr>
        <w:t>Section 13(g)(i)</w:t>
      </w:r>
      <w:r>
        <w:rPr>
          <w:rFonts w:ascii="Arial" w:cs="Arial" w:eastAsia="Arial" w:hAnsi="Arial"/>
          <w:sz w:val="19"/>
          <w:szCs w:val="19"/>
          <w:color w:val="auto"/>
        </w:rPr>
        <w:t xml:space="preserve"> shall be made to the Executive within 30 days after the effective date of termination so long as Executive has entered into and not revoked the Release; provided that if such 30-day period straddles two consecutive calendar years, payment shall be made in the second of such years.</w:t>
      </w:r>
    </w:p>
    <w:p>
      <w:pPr>
        <w:spacing w:after="0" w:line="161" w:lineRule="exact"/>
        <w:rPr>
          <w:sz w:val="20"/>
          <w:szCs w:val="20"/>
          <w:color w:val="auto"/>
        </w:rPr>
      </w:pPr>
    </w:p>
    <w:p>
      <w:pPr>
        <w:jc w:val="both"/>
        <w:ind w:firstLine="638"/>
        <w:spacing w:after="0" w:line="266" w:lineRule="auto"/>
        <w:tabs>
          <w:tab w:leader="none" w:pos="110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Executive’s employment shall terminate automatically upon the Executive’s death. Upon the Disability of the Executive, the Corporation may give to the Executive written notice of its intention to terminate the Executive’s employment. In such event, the Executive’s employment with the Corporation shall terminate effective on the 30th day after receipt of such notice by the Executive, provided that, within the 30 days after such receipt, the Executive shall not have returned to perform, with or without reasonable accommodation, the essential functions of his or her position. For purposes of this Agreement, “</w:t>
      </w:r>
      <w:r>
        <w:rPr>
          <w:rFonts w:ascii="Arial" w:cs="Arial" w:eastAsia="Arial" w:hAnsi="Arial"/>
          <w:sz w:val="20"/>
          <w:szCs w:val="20"/>
          <w:b w:val="1"/>
          <w:bCs w:val="1"/>
          <w:color w:val="auto"/>
        </w:rPr>
        <w:t>Disability</w:t>
      </w:r>
      <w:r>
        <w:rPr>
          <w:rFonts w:ascii="Arial" w:cs="Arial" w:eastAsia="Arial" w:hAnsi="Arial"/>
          <w:sz w:val="20"/>
          <w:szCs w:val="20"/>
          <w:color w:val="auto"/>
        </w:rPr>
        <w:t>” shall mean the Executive’s inability to perform, with or without reasonable accommodation, the essential functions of his or her position hereunder for a period of 180 consecutive days (or 180 days within any period of 12 consecutive months) due to mental or physical incapacity, as determined by mutual agreement of a physician selected by the Corporation or its insurers and a physician selected by the Executive; provided, however, if the opinion of the Corporation’s physician and the Executive’s physician conflict, the Corporation’s physician and the Executive’s physician shall together agree upon a third physician, whose opinion shall be binding. In the event the Executive’s employment terminates due to death or Disability, the Corporation shall pay to the Executive (i) the Accrued Obligations, (ii) the Other Benefits and (iii) an amount equal to the annual bonus payout for the Executive for such fiscal year based on actual Corporation performance for such fiscal year, prorated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600"/>
          </w:cols>
          <w:pgMar w:left="960" w:top="1397" w:right="339" w:bottom="1440" w:gutter="0" w:footer="0" w:header="0"/>
        </w:sectPr>
      </w:pPr>
    </w:p>
    <w:bookmarkStart w:id="58" w:name="page59"/>
    <w:bookmarkEnd w:id="58"/>
    <w:p>
      <w:pPr>
        <w:spacing w:after="0" w:line="279" w:lineRule="auto"/>
        <w:rPr>
          <w:sz w:val="20"/>
          <w:szCs w:val="20"/>
          <w:color w:val="auto"/>
        </w:rPr>
      </w:pPr>
      <w:r>
        <w:rPr>
          <w:rFonts w:ascii="Arial" w:cs="Arial" w:eastAsia="Arial" w:hAnsi="Arial"/>
          <w:sz w:val="21"/>
          <w:szCs w:val="21"/>
          <w:color w:val="auto"/>
        </w:rPr>
        <w:t>pursuant to the terms of the Corporation’s annual bonus plan and payable at the time the annual bonus would have been paid to the Executive had Executive remained employed through the end of such fiscal year.</w:t>
      </w:r>
    </w:p>
    <w:p>
      <w:pPr>
        <w:spacing w:after="0" w:line="154" w:lineRule="exact"/>
        <w:rPr>
          <w:sz w:val="20"/>
          <w:szCs w:val="20"/>
          <w:color w:val="auto"/>
        </w:rPr>
      </w:pPr>
    </w:p>
    <w:p>
      <w:pPr>
        <w:ind w:right="340" w:firstLine="638"/>
        <w:spacing w:after="0" w:line="279" w:lineRule="auto"/>
        <w:tabs>
          <w:tab w:leader="none" w:pos="10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 the event of termination by the Corporation with Cause, the Executive shall be entitled to receive only the Accrued Obligations and Other Benefits.</w:t>
      </w:r>
    </w:p>
    <w:p>
      <w:pPr>
        <w:spacing w:after="0" w:line="148" w:lineRule="exact"/>
        <w:rPr>
          <w:rFonts w:ascii="Arial" w:cs="Arial" w:eastAsia="Arial" w:hAnsi="Arial"/>
          <w:sz w:val="21"/>
          <w:szCs w:val="21"/>
          <w:color w:val="auto"/>
        </w:rPr>
      </w:pPr>
    </w:p>
    <w:p>
      <w:pPr>
        <w:ind w:left="1000" w:hanging="362"/>
        <w:spacing w:after="0"/>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following shall constitute “</w:t>
      </w:r>
      <w:r>
        <w:rPr>
          <w:rFonts w:ascii="Arial" w:cs="Arial" w:eastAsia="Arial" w:hAnsi="Arial"/>
          <w:sz w:val="21"/>
          <w:szCs w:val="21"/>
          <w:b w:val="1"/>
          <w:bCs w:val="1"/>
          <w:color w:val="auto"/>
        </w:rPr>
        <w:t>Cause</w:t>
      </w:r>
      <w:r>
        <w:rPr>
          <w:rFonts w:ascii="Arial" w:cs="Arial" w:eastAsia="Arial" w:hAnsi="Arial"/>
          <w:sz w:val="21"/>
          <w:szCs w:val="21"/>
          <w:color w:val="auto"/>
        </w:rPr>
        <w:t>”:</w:t>
      </w:r>
    </w:p>
    <w:p>
      <w:pPr>
        <w:spacing w:after="0" w:line="254" w:lineRule="exact"/>
        <w:rPr>
          <w:rFonts w:ascii="Arial" w:cs="Arial" w:eastAsia="Arial" w:hAnsi="Arial"/>
          <w:sz w:val="21"/>
          <w:szCs w:val="21"/>
          <w:color w:val="auto"/>
        </w:rPr>
      </w:pPr>
    </w:p>
    <w:p>
      <w:pPr>
        <w:ind w:left="640" w:right="100" w:firstLine="634"/>
        <w:spacing w:after="0" w:line="257" w:lineRule="auto"/>
        <w:tabs>
          <w:tab w:leader="none" w:pos="1578"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willful failure by the Executive to substantially perform the Executive’s duties with the Corporation (other than any such failure resulting from the Executive’s incapacity due to physical or mental illness), after a written demand for substantial performance is delivered to the Executive by the Board, which demand specifically identifies the manner in which the Board believes that the Executive has not substantially performed the Executive’s duties; or</w:t>
      </w:r>
    </w:p>
    <w:p>
      <w:pPr>
        <w:spacing w:after="0" w:line="204" w:lineRule="exact"/>
        <w:rPr>
          <w:rFonts w:ascii="Arial" w:cs="Arial" w:eastAsia="Arial" w:hAnsi="Arial"/>
          <w:sz w:val="21"/>
          <w:szCs w:val="21"/>
          <w:color w:val="auto"/>
        </w:rPr>
      </w:pPr>
    </w:p>
    <w:p>
      <w:pPr>
        <w:ind w:left="640" w:right="440" w:firstLine="634"/>
        <w:spacing w:after="0" w:line="279" w:lineRule="auto"/>
        <w:tabs>
          <w:tab w:leader="none" w:pos="1637"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Executive’s willful misconduct that is demonstrably and materially injurious to the Corporation, monetarily or otherwise; or</w:t>
      </w:r>
    </w:p>
    <w:p>
      <w:pPr>
        <w:spacing w:after="0" w:line="180" w:lineRule="exact"/>
        <w:rPr>
          <w:rFonts w:ascii="Arial" w:cs="Arial" w:eastAsia="Arial" w:hAnsi="Arial"/>
          <w:sz w:val="21"/>
          <w:szCs w:val="21"/>
          <w:color w:val="auto"/>
        </w:rPr>
      </w:pPr>
    </w:p>
    <w:p>
      <w:pPr>
        <w:ind w:left="640" w:right="240" w:firstLine="634"/>
        <w:spacing w:after="0" w:line="279" w:lineRule="auto"/>
        <w:tabs>
          <w:tab w:leader="none" w:pos="1647"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Executive’s commission of such acts of dishonesty, fraud, misrepresentation or other acts of moral turpitude as would prevent the effective performance of the Executive’s duties; or</w:t>
      </w:r>
    </w:p>
    <w:p>
      <w:pPr>
        <w:spacing w:after="0" w:line="180" w:lineRule="exact"/>
        <w:rPr>
          <w:rFonts w:ascii="Arial" w:cs="Arial" w:eastAsia="Arial" w:hAnsi="Arial"/>
          <w:sz w:val="21"/>
          <w:szCs w:val="21"/>
          <w:color w:val="auto"/>
        </w:rPr>
      </w:pPr>
    </w:p>
    <w:p>
      <w:pPr>
        <w:ind w:left="1680" w:hanging="406"/>
        <w:spacing w:after="0"/>
        <w:tabs>
          <w:tab w:leader="none" w:pos="1680"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Executive’s conviction or plea of no contest to a felony or a crime of moral turpitude.</w:t>
      </w:r>
    </w:p>
    <w:p>
      <w:pPr>
        <w:spacing w:after="0" w:line="243" w:lineRule="exact"/>
        <w:rPr>
          <w:sz w:val="20"/>
          <w:szCs w:val="20"/>
          <w:color w:val="auto"/>
        </w:rPr>
      </w:pPr>
    </w:p>
    <w:p>
      <w:pPr>
        <w:ind w:left="640" w:right="20"/>
        <w:spacing w:after="0" w:line="285"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b w:val="1"/>
          <w:bCs w:val="1"/>
          <w:color w:val="auto"/>
        </w:rPr>
        <w:t>subsection e</w:t>
      </w:r>
      <w:r>
        <w:rPr>
          <w:rFonts w:ascii="Arial" w:cs="Arial" w:eastAsia="Arial" w:hAnsi="Arial"/>
          <w:sz w:val="19"/>
          <w:szCs w:val="19"/>
          <w:color w:val="auto"/>
        </w:rPr>
        <w:t xml:space="preserve">., no act, or failure to act, on the Executive’s part shall be deemed “willful” unless done, or omitted to be done, by the Executive not in good faith and without the reasonable belief that the Executive’s action or omission was in the best interest of the Corporation. Notwithstanding the foregoing, the Executive shall not be deemed to have been terminated for Cause unless and until there shall have been delivered to the Executive a copy of a resolution duly adopted by the affirmative vote of a majority of the non-employee members of the Board at a meeting of such members (after reasonable notice to the Executive and an opportunity for the Executive, together with the Executive’s counsel, to be heard before such members of the Board), finding that the Executive has engaged in the conduct set forth above in this </w:t>
      </w:r>
      <w:r>
        <w:rPr>
          <w:rFonts w:ascii="Arial" w:cs="Arial" w:eastAsia="Arial" w:hAnsi="Arial"/>
          <w:sz w:val="19"/>
          <w:szCs w:val="19"/>
          <w:b w:val="1"/>
          <w:bCs w:val="1"/>
          <w:color w:val="auto"/>
        </w:rPr>
        <w:t>subsection e</w:t>
      </w:r>
      <w:r>
        <w:rPr>
          <w:rFonts w:ascii="Arial" w:cs="Arial" w:eastAsia="Arial" w:hAnsi="Arial"/>
          <w:sz w:val="19"/>
          <w:szCs w:val="19"/>
          <w:color w:val="auto"/>
        </w:rPr>
        <w:t>. and specifying the particulars thereof in detail.</w:t>
      </w:r>
    </w:p>
    <w:p>
      <w:pPr>
        <w:spacing w:after="0" w:line="177" w:lineRule="exact"/>
        <w:rPr>
          <w:sz w:val="20"/>
          <w:szCs w:val="20"/>
          <w:color w:val="auto"/>
        </w:rPr>
      </w:pPr>
    </w:p>
    <w:p>
      <w:pPr>
        <w:ind w:right="20" w:firstLine="638"/>
        <w:spacing w:after="0" w:line="259" w:lineRule="auto"/>
        <w:tabs>
          <w:tab w:leader="none" w:pos="968"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Executive shall have “</w:t>
      </w:r>
      <w:r>
        <w:rPr>
          <w:rFonts w:ascii="Arial" w:cs="Arial" w:eastAsia="Arial" w:hAnsi="Arial"/>
          <w:sz w:val="21"/>
          <w:szCs w:val="21"/>
          <w:b w:val="1"/>
          <w:bCs w:val="1"/>
          <w:color w:val="auto"/>
        </w:rPr>
        <w:t>Good Reason</w:t>
      </w:r>
      <w:r>
        <w:rPr>
          <w:rFonts w:ascii="Arial" w:cs="Arial" w:eastAsia="Arial" w:hAnsi="Arial"/>
          <w:sz w:val="21"/>
          <w:szCs w:val="21"/>
          <w:color w:val="auto"/>
        </w:rPr>
        <w:t>” to effect a termination in the event that the Corporation (i) breaches its obligations to pay any salary, benefit or bonus due hereunder, (ii) assigns to the Executive any duties inconsistent with the Executive’s position with the Corporation or significantly and adversely alters the nature or status of the Executive’s responsibilities or the conditions of the Executive’s employment, such as the Executive no longer reporting to the Chief Executive Officer of the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600"/>
          </w:cols>
          <w:pgMar w:left="960" w:top="1403" w:right="339" w:bottom="1440" w:gutter="0" w:footer="0" w:header="0"/>
        </w:sectPr>
      </w:pPr>
    </w:p>
    <w:bookmarkStart w:id="59" w:name="page60"/>
    <w:bookmarkEnd w:id="59"/>
    <w:p>
      <w:pPr>
        <w:ind w:right="60" w:firstLine="2"/>
        <w:spacing w:after="0" w:line="284" w:lineRule="auto"/>
        <w:tabs>
          <w:tab w:leader="none" w:pos="371"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reduces the Executive’s base salary and/or bonus opportunity, except for across-the-board reductions similarly affecting all management personnel of the Corporation and all management personnel of any corporation or other entity which is in control of the Corporation; and in the event of any of (i), (ii) or (iii), the Executive has given written notice to the Board as to the details of the basis for such Good Reason within 30 days following the date on which the Executive alleges the event giving rise to such Good Reason occurred, the Corporation has failed to provide a reasonable cure within 30 days after its receipt of such notice and the effective date of the termination for Good Reason occurs within 180 days after the initial existence of the facts or circumstances constituting Good Reason. In the event of a termination by the Executive with Good Reason, the Executive will be entitled to all Severance Payments under </w:t>
      </w:r>
      <w:r>
        <w:rPr>
          <w:rFonts w:ascii="Arial" w:cs="Arial" w:eastAsia="Arial" w:hAnsi="Arial"/>
          <w:sz w:val="19"/>
          <w:szCs w:val="19"/>
          <w:b w:val="1"/>
          <w:bCs w:val="1"/>
          <w:color w:val="auto"/>
        </w:rPr>
        <w:t>Section 13(g)</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left="1000" w:hanging="362"/>
        <w:spacing w:after="0"/>
        <w:tabs>
          <w:tab w:leader="none" w:pos="100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Severance Payments</w:t>
      </w:r>
      <w:r>
        <w:rPr>
          <w:rFonts w:ascii="Arial" w:cs="Arial" w:eastAsia="Arial" w:hAnsi="Arial"/>
          <w:sz w:val="19"/>
          <w:szCs w:val="19"/>
          <w:color w:val="auto"/>
        </w:rPr>
        <w:t xml:space="preserve">” consist of the following and, subject to </w:t>
      </w:r>
      <w:r>
        <w:rPr>
          <w:rFonts w:ascii="Arial" w:cs="Arial" w:eastAsia="Arial" w:hAnsi="Arial"/>
          <w:sz w:val="19"/>
          <w:szCs w:val="19"/>
          <w:b w:val="1"/>
          <w:bCs w:val="1"/>
          <w:color w:val="auto"/>
        </w:rPr>
        <w:t>subsection h. of Section 20</w:t>
      </w:r>
      <w:r>
        <w:rPr>
          <w:rFonts w:ascii="Arial" w:cs="Arial" w:eastAsia="Arial" w:hAnsi="Arial"/>
          <w:sz w:val="19"/>
          <w:szCs w:val="19"/>
          <w:color w:val="auto"/>
        </w:rPr>
        <w:t>, shall be paid</w:t>
      </w:r>
    </w:p>
    <w:p>
      <w:pPr>
        <w:spacing w:after="0" w:line="57" w:lineRule="exact"/>
        <w:rPr>
          <w:rFonts w:ascii="Arial" w:cs="Arial" w:eastAsia="Arial" w:hAnsi="Arial"/>
          <w:sz w:val="19"/>
          <w:szCs w:val="19"/>
          <w:color w:val="auto"/>
        </w:rPr>
      </w:pPr>
    </w:p>
    <w:p>
      <w:pPr>
        <w:ind w:right="100"/>
        <w:spacing w:after="0" w:line="265" w:lineRule="auto"/>
        <w:rPr>
          <w:rFonts w:ascii="Arial" w:cs="Arial" w:eastAsia="Arial" w:hAnsi="Arial"/>
          <w:sz w:val="19"/>
          <w:szCs w:val="19"/>
          <w:color w:val="auto"/>
        </w:rPr>
      </w:pPr>
      <w:r>
        <w:rPr>
          <w:rFonts w:ascii="Arial" w:cs="Arial" w:eastAsia="Arial" w:hAnsi="Arial"/>
          <w:sz w:val="20"/>
          <w:szCs w:val="20"/>
          <w:color w:val="auto"/>
        </w:rPr>
        <w:t xml:space="preserve">as follows: (i) an amount, in one lump sum, equal to one times the sum of (A) the Executive’s annual Base Salary, at the then current effective annual rate, plus (B) the average of the Executive’s actual bonus attributable, as applicable, to the preceding fiscal year or each of the preceding two or three fiscal years, in each case depending upon the Executive’s length of service; and (ii) the payment by the Corporation of premiums on behalf of the Executive, for coverage substantially similar to that provided under the Corporation’s health and life insurance plans, at the same cost to the Executive as was effective immediately prior to termination, and for so long as the Executive elects to continue such coverage up to a 12-month period. To the extent that the Executive becomes covered under a health or life insurance plan maintained by a subsequent employer, the Executive shall cease to be covered under the same type of plan maintained by the Corporation. The Executive agrees to notify the Corporation within 30 days after similar health or life benefits become available to the Executive from a subsequent employer. The Executive shall not be entitled to a prorated bonus pursuant to </w:t>
      </w:r>
      <w:r>
        <w:rPr>
          <w:rFonts w:ascii="Arial" w:cs="Arial" w:eastAsia="Arial" w:hAnsi="Arial"/>
          <w:sz w:val="20"/>
          <w:szCs w:val="20"/>
          <w:b w:val="1"/>
          <w:bCs w:val="1"/>
          <w:color w:val="auto"/>
        </w:rPr>
        <w:t>subsection b. of</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Section 5 </w:t>
      </w:r>
      <w:r>
        <w:rPr>
          <w:rFonts w:ascii="Arial" w:cs="Arial" w:eastAsia="Arial" w:hAnsi="Arial"/>
          <w:sz w:val="20"/>
          <w:szCs w:val="20"/>
          <w:color w:val="auto"/>
        </w:rPr>
        <w:t>for the year in which the Executive is terminated.</w:t>
      </w:r>
    </w:p>
    <w:p>
      <w:pPr>
        <w:spacing w:after="0" w:line="169" w:lineRule="exact"/>
        <w:rPr>
          <w:rFonts w:ascii="Arial" w:cs="Arial" w:eastAsia="Arial" w:hAnsi="Arial"/>
          <w:sz w:val="19"/>
          <w:szCs w:val="19"/>
          <w:color w:val="auto"/>
        </w:rPr>
      </w:pPr>
    </w:p>
    <w:p>
      <w:pPr>
        <w:ind w:right="120" w:firstLine="638"/>
        <w:spacing w:after="0" w:line="290" w:lineRule="auto"/>
        <w:tabs>
          <w:tab w:leader="none" w:pos="1007"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event of any termination of the Executive other than by the Executive for Good Reason, by the Corporation without Cause or due to the Executive’s death or Disability, the Executive shall be entitled only to the Accrued Obligations and Other Benefits. In the event of any termination of the Executive, all amounts owed by the Executive to the Corporation for any reasons whatsoever will become immediately due and payable and the Corporation will transfer to the Executive any life insurance policy maintained by the Corporation for the Executive’s benefit.</w:t>
      </w:r>
    </w:p>
    <w:p>
      <w:pPr>
        <w:spacing w:after="0" w:line="150" w:lineRule="exact"/>
        <w:rPr>
          <w:rFonts w:ascii="Arial" w:cs="Arial" w:eastAsia="Arial" w:hAnsi="Arial"/>
          <w:sz w:val="19"/>
          <w:szCs w:val="19"/>
          <w:color w:val="auto"/>
        </w:rPr>
      </w:pPr>
    </w:p>
    <w:p>
      <w:pPr>
        <w:ind w:firstLine="638"/>
        <w:spacing w:after="0" w:line="295" w:lineRule="auto"/>
        <w:tabs>
          <w:tab w:leader="none" w:pos="960"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 the event of any termination of the Executive by the Executive for Good Reason or by the Corporation without Cause, the Corporation shall provide standard outplacement services at the expense of the Corporation, but not to exceed in total an amount equal to $10,000, from an outplacement firm selected by the Corporation. In order to receive outplacement services, the Executive must begin utilizing the services within 90 days of his or her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580"/>
          </w:cols>
          <w:pgMar w:left="960" w:top="1403" w:right="359" w:bottom="1440" w:gutter="0" w:footer="0" w:header="0"/>
        </w:sectPr>
      </w:pPr>
    </w:p>
    <w:bookmarkStart w:id="60" w:name="page61"/>
    <w:bookmarkEnd w:id="60"/>
    <w:p>
      <w:pPr>
        <w:ind w:left="600" w:firstLine="638"/>
        <w:spacing w:after="0" w:line="259" w:lineRule="auto"/>
        <w:tabs>
          <w:tab w:leader="none" w:pos="1560" w:val="left"/>
        </w:tabs>
        <w:numPr>
          <w:ilvl w:val="1"/>
          <w:numId w:val="43"/>
        </w:numPr>
        <w:rPr>
          <w:rFonts w:ascii="Arial" w:cs="Arial" w:eastAsia="Arial" w:hAnsi="Arial"/>
          <w:sz w:val="21"/>
          <w:szCs w:val="21"/>
          <w:color w:val="auto"/>
        </w:rPr>
      </w:pPr>
      <w:r>
        <w:rPr>
          <w:rFonts w:ascii="Arial" w:cs="Arial" w:eastAsia="Arial" w:hAnsi="Arial"/>
          <w:sz w:val="21"/>
          <w:szCs w:val="21"/>
          <w:color w:val="auto"/>
        </w:rPr>
        <w:t>For purposes of clarity, in the event that the Executive’s employment is terminated upon or after the expiration of this Agreement, the Executive shall be entitled to the Accrued Obligations and shall be eligible for severance benefits as a Participant (as defined therein) under the terms of the Corporation’s Amended and Restated Executive Severance and Change in Control Policy (or any successor plan or policy thereof).</w:t>
      </w:r>
    </w:p>
    <w:p>
      <w:pPr>
        <w:spacing w:after="0" w:line="170" w:lineRule="exact"/>
        <w:rPr>
          <w:rFonts w:ascii="Arial" w:cs="Arial" w:eastAsia="Arial" w:hAnsi="Arial"/>
          <w:sz w:val="21"/>
          <w:szCs w:val="21"/>
          <w:color w:val="auto"/>
        </w:rPr>
      </w:pPr>
    </w:p>
    <w:p>
      <w:pPr>
        <w:ind w:left="-40" w:right="60" w:firstLine="642"/>
        <w:spacing w:after="0" w:line="259" w:lineRule="auto"/>
        <w:tabs>
          <w:tab w:leader="none" w:pos="1073"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and Termination Thereafter</w:t>
      </w:r>
      <w:r>
        <w:rPr>
          <w:rFonts w:ascii="Arial" w:cs="Arial" w:eastAsia="Arial" w:hAnsi="Arial"/>
          <w:sz w:val="21"/>
          <w:szCs w:val="21"/>
          <w:b w:val="1"/>
          <w:bCs w:val="1"/>
          <w:color w:val="auto"/>
        </w:rPr>
        <w:t xml:space="preserve">. </w:t>
      </w:r>
      <w:r>
        <w:rPr>
          <w:rFonts w:ascii="Arial" w:cs="Arial" w:eastAsia="Arial" w:hAnsi="Arial"/>
          <w:sz w:val="21"/>
          <w:szCs w:val="21"/>
          <w:color w:val="auto"/>
        </w:rPr>
        <w:t>If within 3 months prior to or 24 months following a Change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Control, as defined below, that occurs during the term of his Agreement, the employment of the Executive is terminated by the Corporation without Cause or by the Executive for Good Reason, whether or not the termination occurs during the term of this Agreement, which shall not include a termination due to the Executive’s death or Disability, then the provisions of </w:t>
      </w:r>
      <w:r>
        <w:rPr>
          <w:rFonts w:ascii="Arial" w:cs="Arial" w:eastAsia="Arial" w:hAnsi="Arial"/>
          <w:sz w:val="21"/>
          <w:szCs w:val="21"/>
          <w:b w:val="1"/>
          <w:bCs w:val="1"/>
          <w:color w:val="auto"/>
        </w:rPr>
        <w:t>Section 13</w:t>
      </w:r>
      <w:r>
        <w:rPr>
          <w:rFonts w:ascii="Arial" w:cs="Arial" w:eastAsia="Arial" w:hAnsi="Arial"/>
          <w:sz w:val="21"/>
          <w:szCs w:val="21"/>
          <w:color w:val="auto"/>
        </w:rPr>
        <w:t xml:space="preserve"> shall not apply and the following shall apply:</w:t>
      </w:r>
    </w:p>
    <w:p>
      <w:pPr>
        <w:spacing w:after="0" w:line="173" w:lineRule="exact"/>
        <w:rPr>
          <w:rFonts w:ascii="Arial" w:cs="Arial" w:eastAsia="Arial" w:hAnsi="Arial"/>
          <w:sz w:val="21"/>
          <w:szCs w:val="21"/>
          <w:color w:val="auto"/>
        </w:rPr>
      </w:pPr>
    </w:p>
    <w:p>
      <w:pPr>
        <w:ind w:left="600" w:right="40" w:firstLine="638"/>
        <w:spacing w:after="0" w:line="266" w:lineRule="auto"/>
        <w:tabs>
          <w:tab w:leader="none" w:pos="1591"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Executive shall be entitled to receive all Accrued Obligations and Other Benefits. In addition, subject to </w:t>
      </w:r>
      <w:r>
        <w:rPr>
          <w:rFonts w:ascii="Arial" w:cs="Arial" w:eastAsia="Arial" w:hAnsi="Arial"/>
          <w:sz w:val="20"/>
          <w:szCs w:val="20"/>
          <w:b w:val="1"/>
          <w:bCs w:val="1"/>
          <w:color w:val="auto"/>
        </w:rPr>
        <w:t xml:space="preserve">subsection h. of Section 20 </w:t>
      </w:r>
      <w:r>
        <w:rPr>
          <w:rFonts w:ascii="Arial" w:cs="Arial" w:eastAsia="Arial" w:hAnsi="Arial"/>
          <w:sz w:val="20"/>
          <w:szCs w:val="20"/>
          <w:color w:val="auto"/>
        </w:rPr>
        <w:t>and subject to the Executive’s entering into and not revoking the Release within 30 days after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effective date of termination, the Executive shall receive the following: (i) a lump sum payment equal to two times the sum of (A) the Executive’s Base Salary in effect immediately prior to the Change in Control, plus (B) the average of the Executive’s actual bonus attributable, as applicable to the preceding fiscal year or each of the preceding two or three fiscal years, in each case depending upon the Executive’s length of service; and (ii) a lump sum payment equal to the bonus to which the Executive would have been entitled under the Corporation’s annual incentive plan for the then current fiscal year, determined based on actual performance for the full performance period, and prorated based on the portion of the performance period that has elapsed prior to the date of termination, determined in accordance with the Corporation’s administrative practices. The payment described in </w:t>
      </w:r>
      <w:r>
        <w:rPr>
          <w:rFonts w:ascii="Arial" w:cs="Arial" w:eastAsia="Arial" w:hAnsi="Arial"/>
          <w:sz w:val="20"/>
          <w:szCs w:val="20"/>
          <w:b w:val="1"/>
          <w:bCs w:val="1"/>
          <w:color w:val="auto"/>
        </w:rPr>
        <w:t>clause (i) of this subsection a.</w:t>
      </w:r>
      <w:r>
        <w:rPr>
          <w:rFonts w:ascii="Arial" w:cs="Arial" w:eastAsia="Arial" w:hAnsi="Arial"/>
          <w:sz w:val="20"/>
          <w:szCs w:val="20"/>
          <w:color w:val="auto"/>
        </w:rPr>
        <w:t xml:space="preserve"> shall be made to the Executive within 30 days after the effective date of termination; provided that if such 30-day period straddles two consecutive calendar years, payment shall be made in the second of such years. The payment described in </w:t>
      </w:r>
      <w:r>
        <w:rPr>
          <w:rFonts w:ascii="Arial" w:cs="Arial" w:eastAsia="Arial" w:hAnsi="Arial"/>
          <w:sz w:val="20"/>
          <w:szCs w:val="20"/>
          <w:b w:val="1"/>
          <w:bCs w:val="1"/>
          <w:color w:val="auto"/>
        </w:rPr>
        <w:t>clause (ii) of this subsection a.</w:t>
      </w:r>
      <w:r>
        <w:rPr>
          <w:rFonts w:ascii="Arial" w:cs="Arial" w:eastAsia="Arial" w:hAnsi="Arial"/>
          <w:sz w:val="20"/>
          <w:szCs w:val="20"/>
          <w:color w:val="auto"/>
        </w:rPr>
        <w:t xml:space="preserve"> shall be paid at the time the annual bonus would have been paid to the Executive had Executive remained employed through the last day of the applicable fiscal year.</w:t>
      </w:r>
    </w:p>
    <w:p>
      <w:pPr>
        <w:spacing w:after="0" w:line="168" w:lineRule="exact"/>
        <w:rPr>
          <w:rFonts w:ascii="Arial" w:cs="Arial" w:eastAsia="Arial" w:hAnsi="Arial"/>
          <w:sz w:val="20"/>
          <w:szCs w:val="20"/>
          <w:color w:val="auto"/>
        </w:rPr>
      </w:pPr>
    </w:p>
    <w:p>
      <w:pPr>
        <w:ind w:left="600" w:right="20" w:firstLine="638"/>
        <w:spacing w:after="0" w:line="255" w:lineRule="auto"/>
        <w:tabs>
          <w:tab w:leader="none" w:pos="1603"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Corporation shall pay premiums on behalf of the Executive, for coverage substantially similar to that provided under the Corporation’s health and life insurance plans, at the same cost to the Executive as was effective immediately prior to termination, and for so long as the Executive elects to continue such coverage up to a 24 month period. To the extent that the Executive becomes covered under a health or life insurance plan maintained by a subsequent employer, the Executive shall cease to be covered under the same type of plan maintained by the Corporation. The Executive agrees to notify the Corporation within 30 days after similar health or life benefits become available to the Executive from a subsequent employer.</w:t>
      </w:r>
    </w:p>
    <w:p>
      <w:pPr>
        <w:spacing w:after="0" w:line="178" w:lineRule="exact"/>
        <w:rPr>
          <w:rFonts w:ascii="Arial" w:cs="Arial" w:eastAsia="Arial" w:hAnsi="Arial"/>
          <w:sz w:val="21"/>
          <w:szCs w:val="21"/>
          <w:color w:val="auto"/>
        </w:rPr>
      </w:pPr>
    </w:p>
    <w:p>
      <w:pPr>
        <w:ind w:left="600" w:right="220" w:firstLine="638"/>
        <w:spacing w:after="0" w:line="279" w:lineRule="auto"/>
        <w:tabs>
          <w:tab w:leader="none" w:pos="1583" w:val="left"/>
        </w:tabs>
        <w:numPr>
          <w:ilvl w:val="1"/>
          <w:numId w:val="44"/>
        </w:numPr>
        <w:rPr>
          <w:rFonts w:ascii="Arial" w:cs="Arial" w:eastAsia="Arial" w:hAnsi="Arial"/>
          <w:sz w:val="21"/>
          <w:szCs w:val="21"/>
          <w:color w:val="auto"/>
        </w:rPr>
      </w:pPr>
      <w:r>
        <w:rPr>
          <w:rFonts w:ascii="Arial" w:cs="Arial" w:eastAsia="Arial" w:hAnsi="Arial"/>
          <w:sz w:val="21"/>
          <w:szCs w:val="21"/>
          <w:color w:val="auto"/>
        </w:rPr>
        <w:t>Any unvested stock options, stock appreciation rights, restricted stock awards, restricted stock units, and other equity-based awards held by the Executive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60"/>
          </w:cols>
          <w:pgMar w:left="360" w:top="1403" w:right="379" w:bottom="1440" w:gutter="0" w:footer="0" w:header="0"/>
        </w:sectPr>
      </w:pPr>
    </w:p>
    <w:bookmarkStart w:id="61" w:name="page62"/>
    <w:bookmarkEnd w:id="61"/>
    <w:p>
      <w:pPr>
        <w:ind w:right="160"/>
        <w:spacing w:after="0" w:line="257" w:lineRule="auto"/>
        <w:rPr>
          <w:sz w:val="20"/>
          <w:szCs w:val="20"/>
          <w:color w:val="auto"/>
        </w:rPr>
      </w:pPr>
      <w:r>
        <w:rPr>
          <w:rFonts w:ascii="Arial" w:cs="Arial" w:eastAsia="Arial" w:hAnsi="Arial"/>
          <w:sz w:val="21"/>
          <w:szCs w:val="21"/>
          <w:color w:val="auto"/>
        </w:rPr>
        <w:t>are subject only to service or time based vesting conditions (and not performance-based vesting conditions) will vest as of the day immediately preceding the effective date of termination and, to the extent applicable, will become exercisable, and any restrictions or conditions on such equity-based awards shall immediately lapse and be deemed satisfied. Any stock options or stock appreciation rights held by the Executive shall remain exercisable until the earlier of 24 months after the date of termination or their original expiration date.</w:t>
      </w:r>
    </w:p>
    <w:p>
      <w:pPr>
        <w:spacing w:after="0" w:line="178" w:lineRule="exact"/>
        <w:rPr>
          <w:sz w:val="20"/>
          <w:szCs w:val="20"/>
          <w:color w:val="auto"/>
        </w:rPr>
      </w:pPr>
    </w:p>
    <w:p>
      <w:pPr>
        <w:ind w:firstLine="636"/>
        <w:spacing w:after="0" w:line="284" w:lineRule="auto"/>
        <w:rPr>
          <w:sz w:val="20"/>
          <w:szCs w:val="20"/>
          <w:color w:val="auto"/>
        </w:rPr>
      </w:pPr>
      <w:r>
        <w:rPr>
          <w:rFonts w:ascii="Arial" w:cs="Arial" w:eastAsia="Arial" w:hAnsi="Arial"/>
          <w:sz w:val="19"/>
          <w:szCs w:val="19"/>
          <w:color w:val="auto"/>
        </w:rPr>
        <w:t>Upon the occurrence of a Change in Control, the Executive shall, with respect to all outstanding, unvested performance units and any other equity-based and long-term cash-based compensation awards subject to performance-based vesting criteria that are held by the Executive immediately prior to the Change in Control, be deemed to have satisfied any performance-based vesting criteria based on the Corporation’s actual performance through the date of the Change in Control, and following the Change in Control any such awards shall continue to vest based upon the time or service-based vesting criteria, if any, to which the award is subject. If the Executive’s employment terminates in accordance with the terms and conditions of this Section 14(c) after a Change in Control, such performance-based awards shall become immediately and fully vested, and shall be paid to the Executive not later than 30 days after the date of such termination.</w:t>
      </w:r>
    </w:p>
    <w:p>
      <w:pPr>
        <w:spacing w:after="0" w:line="158" w:lineRule="exact"/>
        <w:rPr>
          <w:sz w:val="20"/>
          <w:szCs w:val="20"/>
          <w:color w:val="auto"/>
        </w:rPr>
      </w:pPr>
    </w:p>
    <w:p>
      <w:pPr>
        <w:ind w:right="80" w:firstLine="638"/>
        <w:spacing w:after="0" w:line="305" w:lineRule="auto"/>
        <w:tabs>
          <w:tab w:leader="none" w:pos="1007"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Executive dies after signing the Release and prior to receiving Severance Payments to which Executive is entitled pursuant to this Agreement, payment shall be made to the beneficiary designated by the Executive to the Corporation or, in the event of no designation of beneficiary, then to the estate of the deceased Executive.</w:t>
      </w:r>
    </w:p>
    <w:p>
      <w:pPr>
        <w:spacing w:after="0" w:line="128" w:lineRule="exact"/>
        <w:rPr>
          <w:rFonts w:ascii="Arial" w:cs="Arial" w:eastAsia="Arial" w:hAnsi="Arial"/>
          <w:sz w:val="19"/>
          <w:szCs w:val="19"/>
          <w:color w:val="auto"/>
        </w:rPr>
      </w:pPr>
    </w:p>
    <w:p>
      <w:pPr>
        <w:ind w:left="480" w:hanging="478"/>
        <w:spacing w:after="0"/>
        <w:tabs>
          <w:tab w:leader="none" w:pos="480" w:val="left"/>
        </w:tabs>
        <w:numPr>
          <w:ilvl w:val="0"/>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 of Change in Control</w:t>
      </w:r>
      <w:r>
        <w:rPr>
          <w:rFonts w:ascii="Arial" w:cs="Arial" w:eastAsia="Arial" w:hAnsi="Arial"/>
          <w:sz w:val="21"/>
          <w:szCs w:val="21"/>
          <w:color w:val="auto"/>
        </w:rPr>
        <w:t>. A “</w:t>
      </w:r>
      <w:r>
        <w:rPr>
          <w:rFonts w:ascii="Arial" w:cs="Arial" w:eastAsia="Arial" w:hAnsi="Arial"/>
          <w:sz w:val="21"/>
          <w:szCs w:val="21"/>
          <w:b w:val="1"/>
          <w:bCs w:val="1"/>
          <w:color w:val="auto"/>
        </w:rPr>
        <w:t>Change in Control</w:t>
      </w:r>
      <w:r>
        <w:rPr>
          <w:rFonts w:ascii="Arial" w:cs="Arial" w:eastAsia="Arial" w:hAnsi="Arial"/>
          <w:sz w:val="21"/>
          <w:szCs w:val="21"/>
          <w:color w:val="auto"/>
        </w:rPr>
        <w:t>” shall be deemed to have occurred if:</w:t>
      </w:r>
    </w:p>
    <w:p>
      <w:pPr>
        <w:spacing w:after="0" w:line="228" w:lineRule="exact"/>
        <w:rPr>
          <w:rFonts w:ascii="Arial" w:cs="Arial" w:eastAsia="Arial" w:hAnsi="Arial"/>
          <w:sz w:val="21"/>
          <w:szCs w:val="21"/>
          <w:color w:val="auto"/>
        </w:rPr>
      </w:pPr>
    </w:p>
    <w:p>
      <w:pPr>
        <w:ind w:right="160" w:firstLine="638"/>
        <w:spacing w:after="0" w:line="268" w:lineRule="auto"/>
        <w:tabs>
          <w:tab w:leader="none" w:pos="995"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“person,” as such term is used in Sections 13(d) and 14(d) of the Securities and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(other than the Corporation; any trustee or other fiduciary holding securities under an employee benefit plan of the Corporation; or any Corporation owned, directly or indirectly, by the stockholders of the Corporation in substantially the same proportions as their ownership of Stock of the Corporation) is or becomes after the effective date of this Agreement the “beneficial owner” (as defined in Rule 13d-3 under the Exchange Act),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71" w:lineRule="exact"/>
        <w:rPr>
          <w:rFonts w:ascii="Arial" w:cs="Arial" w:eastAsia="Arial" w:hAnsi="Arial"/>
          <w:sz w:val="20"/>
          <w:szCs w:val="20"/>
          <w:color w:val="auto"/>
        </w:rPr>
      </w:pPr>
    </w:p>
    <w:p>
      <w:pPr>
        <w:ind w:right="120" w:firstLine="638"/>
        <w:spacing w:after="0" w:line="259" w:lineRule="auto"/>
        <w:tabs>
          <w:tab w:leader="none" w:pos="1007"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during any period of two consecutive years (not including any period prior to the effective date of this Agreement), individuals who at the beginning of such period constitute the Board, and any new director (other than a director designated by a person who has entered into an agreement with the Corporation to effect a transaction described in </w:t>
      </w:r>
      <w:r>
        <w:rPr>
          <w:rFonts w:ascii="Arial" w:cs="Arial" w:eastAsia="Arial" w:hAnsi="Arial"/>
          <w:sz w:val="21"/>
          <w:szCs w:val="21"/>
          <w:b w:val="1"/>
          <w:bCs w:val="1"/>
          <w:color w:val="auto"/>
        </w:rPr>
        <w:t xml:space="preserve">subsections a., c. or d. of this Section 15) </w:t>
      </w:r>
      <w:r>
        <w:rPr>
          <w:rFonts w:ascii="Arial" w:cs="Arial" w:eastAsia="Arial" w:hAnsi="Arial"/>
          <w:sz w:val="21"/>
          <w:szCs w:val="21"/>
          <w:color w:val="auto"/>
        </w:rPr>
        <w:t>whose election by the Board or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560"/>
          </w:cols>
          <w:pgMar w:left="960" w:top="1403" w:right="379" w:bottom="1440" w:gutter="0" w:footer="0" w:header="0"/>
        </w:sectPr>
      </w:pPr>
    </w:p>
    <w:bookmarkStart w:id="62" w:name="page63"/>
    <w:bookmarkEnd w:id="62"/>
    <w:p>
      <w:pPr>
        <w:ind w:left="640" w:right="20"/>
        <w:spacing w:after="0" w:line="264" w:lineRule="auto"/>
        <w:rPr>
          <w:sz w:val="20"/>
          <w:szCs w:val="20"/>
          <w:color w:val="auto"/>
        </w:rPr>
      </w:pPr>
      <w:r>
        <w:rPr>
          <w:rFonts w:ascii="Arial" w:cs="Arial" w:eastAsia="Arial" w:hAnsi="Arial"/>
          <w:sz w:val="21"/>
          <w:szCs w:val="21"/>
          <w:color w:val="auto"/>
        </w:rPr>
        <w:t>for election by the Corporation’s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 or</w:t>
      </w:r>
    </w:p>
    <w:p>
      <w:pPr>
        <w:spacing w:after="0" w:line="170" w:lineRule="exact"/>
        <w:rPr>
          <w:sz w:val="20"/>
          <w:szCs w:val="20"/>
          <w:color w:val="auto"/>
        </w:rPr>
      </w:pPr>
    </w:p>
    <w:p>
      <w:pPr>
        <w:ind w:left="640" w:firstLine="638"/>
        <w:spacing w:after="0" w:line="268" w:lineRule="auto"/>
        <w:tabs>
          <w:tab w:leader="none" w:pos="163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consummation of a merger or consolidation of the Corporation with any other corporation, other than (A) a merger or consolidation which would result in the voting securities of the Corporation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Corporation, at least 75% of the combined voting power of the voting securities of the Corporation or such surviving entity outstanding immediately after such merger or consolidation or (B) a merger or consolidation effected to implement a recapitalization of the Corporation (or similar transaction) in which no person acquires more than 50% of the combined voting power of the Corporation’s then outstanding securities; or</w:t>
      </w:r>
    </w:p>
    <w:p>
      <w:pPr>
        <w:spacing w:after="0" w:line="171" w:lineRule="exact"/>
        <w:rPr>
          <w:rFonts w:ascii="Arial" w:cs="Arial" w:eastAsia="Arial" w:hAnsi="Arial"/>
          <w:sz w:val="20"/>
          <w:szCs w:val="20"/>
          <w:color w:val="auto"/>
        </w:rPr>
      </w:pPr>
    </w:p>
    <w:p>
      <w:pPr>
        <w:ind w:left="640" w:right="200" w:firstLine="638"/>
        <w:spacing w:after="0" w:line="279" w:lineRule="auto"/>
        <w:tabs>
          <w:tab w:leader="none" w:pos="1647"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of the Corporation or an agreement for the sale or disposition by the Corporation of all or substantially all of the Corporation’s assets;</w:t>
      </w:r>
    </w:p>
    <w:p>
      <w:pPr>
        <w:spacing w:after="0" w:line="154" w:lineRule="exact"/>
        <w:rPr>
          <w:sz w:val="20"/>
          <w:szCs w:val="20"/>
          <w:color w:val="auto"/>
        </w:rPr>
      </w:pPr>
    </w:p>
    <w:p>
      <w:pPr>
        <w:jc w:val="both"/>
        <w:ind w:right="120"/>
        <w:spacing w:after="0" w:line="284" w:lineRule="auto"/>
        <w:rPr>
          <w:sz w:val="20"/>
          <w:szCs w:val="20"/>
          <w:color w:val="auto"/>
        </w:rPr>
      </w:pPr>
      <w:r>
        <w:rPr>
          <w:rFonts w:ascii="Arial" w:cs="Arial" w:eastAsia="Arial" w:hAnsi="Arial"/>
          <w:sz w:val="20"/>
          <w:szCs w:val="20"/>
          <w:color w:val="auto"/>
        </w:rPr>
        <w:t xml:space="preserve">provided, that with respect to any non-qualified deferred compensation that becomes payable on account of the Change in Control, the transaction or event described in </w:t>
      </w:r>
      <w:r>
        <w:rPr>
          <w:rFonts w:ascii="Arial" w:cs="Arial" w:eastAsia="Arial" w:hAnsi="Arial"/>
          <w:sz w:val="20"/>
          <w:szCs w:val="20"/>
          <w:b w:val="1"/>
          <w:bCs w:val="1"/>
          <w:color w:val="auto"/>
        </w:rPr>
        <w:t>subsection a., b., c. or d.</w:t>
      </w:r>
      <w:r>
        <w:rPr>
          <w:rFonts w:ascii="Arial" w:cs="Arial" w:eastAsia="Arial" w:hAnsi="Arial"/>
          <w:sz w:val="20"/>
          <w:szCs w:val="20"/>
          <w:color w:val="auto"/>
        </w:rPr>
        <w:t xml:space="preserve"> also constitutes a “change in control event,” as defined in Treasury Regulation §1.409A-3(i)(5) if required in order for the payment not to violate Section 409A of the Code.</w:t>
      </w:r>
    </w:p>
    <w:p>
      <w:pPr>
        <w:spacing w:after="0" w:line="145" w:lineRule="exact"/>
        <w:rPr>
          <w:sz w:val="20"/>
          <w:szCs w:val="20"/>
          <w:color w:val="auto"/>
        </w:rPr>
      </w:pPr>
    </w:p>
    <w:p>
      <w:pPr>
        <w:ind w:left="1120" w:hanging="478"/>
        <w:spacing w:after="0"/>
        <w:tabs>
          <w:tab w:leader="none" w:pos="112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Parachute Payment Matters</w:t>
      </w:r>
      <w:r>
        <w:rPr>
          <w:rFonts w:ascii="Arial" w:cs="Arial" w:eastAsia="Arial" w:hAnsi="Arial"/>
          <w:sz w:val="21"/>
          <w:szCs w:val="21"/>
          <w:color w:val="auto"/>
        </w:rPr>
        <w:t>.</w:t>
      </w:r>
    </w:p>
    <w:p>
      <w:pPr>
        <w:spacing w:after="0" w:line="228" w:lineRule="exact"/>
        <w:rPr>
          <w:sz w:val="20"/>
          <w:szCs w:val="20"/>
          <w:color w:val="auto"/>
        </w:rPr>
      </w:pPr>
    </w:p>
    <w:p>
      <w:pPr>
        <w:ind w:firstLine="636"/>
        <w:spacing w:after="0" w:line="266" w:lineRule="auto"/>
        <w:rPr>
          <w:sz w:val="20"/>
          <w:szCs w:val="20"/>
          <w:color w:val="auto"/>
        </w:rPr>
      </w:pPr>
      <w:r>
        <w:rPr>
          <w:rFonts w:ascii="Arial" w:cs="Arial" w:eastAsia="Arial" w:hAnsi="Arial"/>
          <w:sz w:val="20"/>
          <w:szCs w:val="20"/>
          <w:color w:val="auto"/>
        </w:rPr>
        <w:t>Notwithstanding any other provision of this Agreement, if by reason of Section 280G of the Internal Revenue Code of 1986 (the “</w:t>
      </w:r>
      <w:r>
        <w:rPr>
          <w:rFonts w:ascii="Arial" w:cs="Arial" w:eastAsia="Arial" w:hAnsi="Arial"/>
          <w:sz w:val="20"/>
          <w:szCs w:val="20"/>
          <w:b w:val="1"/>
          <w:bCs w:val="1"/>
          <w:color w:val="auto"/>
        </w:rPr>
        <w:t>Code</w:t>
      </w:r>
      <w:r>
        <w:rPr>
          <w:rFonts w:ascii="Arial" w:cs="Arial" w:eastAsia="Arial" w:hAnsi="Arial"/>
          <w:sz w:val="20"/>
          <w:szCs w:val="20"/>
          <w:color w:val="auto"/>
        </w:rPr>
        <w:t>”) any payment or benefit received or to be received by the Executive in connection with a Change in Control or the termination of the Executive’s employment (whether payable pursuant to the terms of this Agreement (“</w:t>
      </w:r>
      <w:r>
        <w:rPr>
          <w:rFonts w:ascii="Arial" w:cs="Arial" w:eastAsia="Arial" w:hAnsi="Arial"/>
          <w:sz w:val="20"/>
          <w:szCs w:val="20"/>
          <w:b w:val="1"/>
          <w:bCs w:val="1"/>
          <w:color w:val="auto"/>
        </w:rPr>
        <w:t>Contract Payments</w:t>
      </w:r>
      <w:r>
        <w:rPr>
          <w:rFonts w:ascii="Arial" w:cs="Arial" w:eastAsia="Arial" w:hAnsi="Arial"/>
          <w:sz w:val="20"/>
          <w:szCs w:val="20"/>
          <w:color w:val="auto"/>
        </w:rPr>
        <w:t>”) or any other plan, arrangements or agreement with the Corporation or an Affiliate (as defined below) (collectively with the Contract Payments, “</w:t>
      </w:r>
      <w:r>
        <w:rPr>
          <w:rFonts w:ascii="Arial" w:cs="Arial" w:eastAsia="Arial" w:hAnsi="Arial"/>
          <w:sz w:val="20"/>
          <w:szCs w:val="20"/>
          <w:b w:val="1"/>
          <w:bCs w:val="1"/>
          <w:color w:val="auto"/>
        </w:rPr>
        <w:t>Total Payments</w:t>
      </w:r>
      <w:r>
        <w:rPr>
          <w:rFonts w:ascii="Arial" w:cs="Arial" w:eastAsia="Arial" w:hAnsi="Arial"/>
          <w:sz w:val="20"/>
          <w:szCs w:val="20"/>
          <w:color w:val="auto"/>
        </w:rPr>
        <w:t xml:space="preserve">”)) would not be deductible (in whole or part) by the Corporation, an Affiliate or other person making such payment or providing such benefit, then the Contract Payments shall be reduced and, if Contract Payments are reduced to zero, other Total Payments shall be reduced (in the reverse order in which they are due to be paid) until no portion of the Total Payments is not deductible by reason of Section 280G of the Code, provided, however, that no such reduction shall be made unless the net after-tax benefit received by the Executive after such reduction would exceed the net after-tax benefit received by the Executive if no such reduction was made. The foregoing determination and all determinations under this </w:t>
      </w:r>
      <w:r>
        <w:rPr>
          <w:rFonts w:ascii="Arial" w:cs="Arial" w:eastAsia="Arial" w:hAnsi="Arial"/>
          <w:sz w:val="20"/>
          <w:szCs w:val="20"/>
          <w:b w:val="1"/>
          <w:bCs w:val="1"/>
          <w:color w:val="auto"/>
        </w:rPr>
        <w:t>Section 16</w:t>
      </w:r>
      <w:r>
        <w:rPr>
          <w:rFonts w:ascii="Arial" w:cs="Arial" w:eastAsia="Arial" w:hAnsi="Arial"/>
          <w:sz w:val="20"/>
          <w:szCs w:val="20"/>
          <w:color w:val="auto"/>
        </w:rPr>
        <w:t xml:space="preserve"> shall be made by the Accountants (as defined below). For purposes of this </w:t>
      </w:r>
      <w:r>
        <w:rPr>
          <w:rFonts w:ascii="Arial" w:cs="Arial" w:eastAsia="Arial" w:hAnsi="Arial"/>
          <w:sz w:val="20"/>
          <w:szCs w:val="20"/>
          <w:b w:val="1"/>
          <w:bCs w:val="1"/>
          <w:color w:val="auto"/>
        </w:rPr>
        <w:t>Section 16</w:t>
      </w:r>
      <w:r>
        <w:rPr>
          <w:rFonts w:ascii="Arial" w:cs="Arial" w:eastAsia="Arial" w:hAnsi="Arial"/>
          <w:sz w:val="20"/>
          <w:szCs w:val="20"/>
          <w:color w:val="auto"/>
        </w:rPr>
        <w:t>, “net after-tax benefit” shall mean (i) the Total Payments that would constitute “parachute payments” within the meaning of Section 280G of the Code, less (ii) the amount of all federal, state and local income taxes payable with respect to such payments calculated at the maximum marginal income tax rate for each year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03" w:right="359" w:bottom="1440" w:gutter="0" w:footer="0" w:header="0"/>
        </w:sectPr>
      </w:pPr>
    </w:p>
    <w:bookmarkStart w:id="63" w:name="page64"/>
    <w:bookmarkEnd w:id="63"/>
    <w:p>
      <w:pPr>
        <w:spacing w:after="0" w:line="279" w:lineRule="auto"/>
        <w:rPr>
          <w:sz w:val="20"/>
          <w:szCs w:val="20"/>
          <w:color w:val="auto"/>
        </w:rPr>
      </w:pPr>
      <w:r>
        <w:rPr>
          <w:rFonts w:ascii="Arial" w:cs="Arial" w:eastAsia="Arial" w:hAnsi="Arial"/>
          <w:sz w:val="19"/>
          <w:szCs w:val="19"/>
          <w:color w:val="auto"/>
        </w:rPr>
        <w:t xml:space="preserve">foregoing shall be paid to the Executive (based on the rate in effect for such year as set forth in the Code as in effect at the time of the first payment of the foregoing), less (iii) the amount of excise taxes imposed with respect to the payments and benefits described in (i) above by Section 4999 of the Code. For purposes of the foregoing determinations, (a) no portion of the Total Payments the receipt or enjoyment of which the Executive shall have effectively waived in writing prior to the date of payment of any Contract Payment shall be taken into account; (b) no portion of the Total Payments shall be taken into account which in the opinion of the Accountants does not constitute a “parachute payment” within the meaning of Section 280G(b)(2) of the Code (without regard to subsection (A)(ii) thereof); (c) the Contract Payments (and, thereafter, other Total Payments) shall be reduced only to the extent necessary so that the Total Payments in their entirety constitute reasonable compensation for services actually rendered within the meaning of Section 280G(b)(4) of the Code, in the opinion of the Accountants; and (d) the value of any non-cash benefit or any deferred payment or benefit included in the Total Payments shall be determined by the Accountants in accordance with the principles of Sections 280G(d)(3) and (4) of the Code. For purposes of this </w:t>
      </w:r>
      <w:r>
        <w:rPr>
          <w:rFonts w:ascii="Arial" w:cs="Arial" w:eastAsia="Arial" w:hAnsi="Arial"/>
          <w:sz w:val="19"/>
          <w:szCs w:val="19"/>
          <w:b w:val="1"/>
          <w:bCs w:val="1"/>
          <w:color w:val="auto"/>
        </w:rPr>
        <w:t>Section 16</w:t>
      </w:r>
      <w:r>
        <w:rPr>
          <w:rFonts w:ascii="Arial" w:cs="Arial" w:eastAsia="Arial" w:hAnsi="Arial"/>
          <w:sz w:val="19"/>
          <w:szCs w:val="19"/>
          <w:color w:val="auto"/>
        </w:rPr>
        <w:t>, the term “</w:t>
      </w:r>
      <w:r>
        <w:rPr>
          <w:rFonts w:ascii="Arial" w:cs="Arial" w:eastAsia="Arial" w:hAnsi="Arial"/>
          <w:sz w:val="19"/>
          <w:szCs w:val="19"/>
          <w:b w:val="1"/>
          <w:bCs w:val="1"/>
          <w:color w:val="auto"/>
        </w:rPr>
        <w:t>Affiliate</w:t>
      </w:r>
      <w:r>
        <w:rPr>
          <w:rFonts w:ascii="Arial" w:cs="Arial" w:eastAsia="Arial" w:hAnsi="Arial"/>
          <w:sz w:val="19"/>
          <w:szCs w:val="19"/>
          <w:color w:val="auto"/>
        </w:rPr>
        <w:t>” means the Corporation’s successors, any Person whose actions result in a Change in Control or any company affiliated (or which, as a result of the completion of the transactions causing a Change in Control shall become affiliated) with the Corporation within the meaning of Section 1504 of the Code and “</w:t>
      </w:r>
      <w:r>
        <w:rPr>
          <w:rFonts w:ascii="Arial" w:cs="Arial" w:eastAsia="Arial" w:hAnsi="Arial"/>
          <w:sz w:val="19"/>
          <w:szCs w:val="19"/>
          <w:b w:val="1"/>
          <w:bCs w:val="1"/>
          <w:color w:val="auto"/>
        </w:rPr>
        <w:t>Accountants</w:t>
      </w:r>
      <w:r>
        <w:rPr>
          <w:rFonts w:ascii="Arial" w:cs="Arial" w:eastAsia="Arial" w:hAnsi="Arial"/>
          <w:sz w:val="19"/>
          <w:szCs w:val="19"/>
          <w:color w:val="auto"/>
        </w:rPr>
        <w:t>” shall mean the Corporation’s independent certified public accountants serving immediately prior to the Change in Control, unless the Accountants are also serving as accountant or auditor for the individual, entity or group effecting the Change in Control, in which case the Corporation shall appoint another nationally recognized public accounting firm to make the determinations required hereunder (which accounting firm shall then be referred to as the Accountants hereunder). For purposes of making the determinations and calculations required herein, the Accountants may make reasonable assumptions and approximations concerning applicable taxes and may rely on reasonable, good faith interpretations concerning the application of Sections 280G and 4999 of the Code, provided that the Accountant’s determinations must be made on the basis of “substantial authority” (within the meaning of Section 6662 of the Code). All fees and expenses of the Accountants shall be borne solely by the Corporation.</w:t>
      </w:r>
    </w:p>
    <w:p>
      <w:pPr>
        <w:spacing w:after="0" w:line="200" w:lineRule="exact"/>
        <w:rPr>
          <w:sz w:val="20"/>
          <w:szCs w:val="20"/>
          <w:color w:val="auto"/>
        </w:rPr>
      </w:pPr>
    </w:p>
    <w:p>
      <w:pPr>
        <w:spacing w:after="0" w:line="211" w:lineRule="exact"/>
        <w:rPr>
          <w:sz w:val="20"/>
          <w:szCs w:val="20"/>
          <w:color w:val="auto"/>
        </w:rPr>
      </w:pPr>
    </w:p>
    <w:p>
      <w:pPr>
        <w:ind w:left="1120" w:hanging="478"/>
        <w:spacing w:after="0"/>
        <w:tabs>
          <w:tab w:leader="none" w:pos="1120"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 of Disputes</w:t>
      </w:r>
      <w:r>
        <w:rPr>
          <w:rFonts w:ascii="Arial" w:cs="Arial" w:eastAsia="Arial" w:hAnsi="Arial"/>
          <w:sz w:val="21"/>
          <w:szCs w:val="21"/>
          <w:color w:val="auto"/>
        </w:rPr>
        <w:t>.</w:t>
      </w:r>
    </w:p>
    <w:p>
      <w:pPr>
        <w:spacing w:after="0" w:line="228" w:lineRule="exact"/>
        <w:rPr>
          <w:rFonts w:ascii="Arial" w:cs="Arial" w:eastAsia="Arial" w:hAnsi="Arial"/>
          <w:sz w:val="21"/>
          <w:szCs w:val="21"/>
          <w:color w:val="auto"/>
        </w:rPr>
      </w:pPr>
    </w:p>
    <w:p>
      <w:pPr>
        <w:ind w:left="640" w:right="20" w:firstLine="638"/>
        <w:spacing w:after="0" w:line="257" w:lineRule="auto"/>
        <w:tabs>
          <w:tab w:leader="none" w:pos="1623"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Any dispute or claim arising out of or relating to this Agreement or any termination of the Executive’s employment, other than with respect to </w:t>
      </w:r>
      <w:r>
        <w:rPr>
          <w:rFonts w:ascii="Arial" w:cs="Arial" w:eastAsia="Arial" w:hAnsi="Arial"/>
          <w:sz w:val="21"/>
          <w:szCs w:val="21"/>
          <w:b w:val="1"/>
          <w:bCs w:val="1"/>
          <w:color w:val="auto"/>
        </w:rPr>
        <w:t>Sections 8 through 12</w:t>
      </w:r>
      <w:r>
        <w:rPr>
          <w:rFonts w:ascii="Arial" w:cs="Arial" w:eastAsia="Arial" w:hAnsi="Arial"/>
          <w:sz w:val="21"/>
          <w:szCs w:val="21"/>
          <w:color w:val="auto"/>
        </w:rPr>
        <w:t>, shall be settled by final and binding arbitration in the greater Los Angeles metropolitan area in accordance with the Commercial Arbitration rules of the American Arbitration Association, and judgment upon the award rendered by the arbitrators may be entered in any court having jurisdiction thereof.</w:t>
      </w:r>
    </w:p>
    <w:p>
      <w:pPr>
        <w:spacing w:after="0" w:line="177" w:lineRule="exact"/>
        <w:rPr>
          <w:rFonts w:ascii="Arial" w:cs="Arial" w:eastAsia="Arial" w:hAnsi="Arial"/>
          <w:sz w:val="21"/>
          <w:szCs w:val="21"/>
          <w:color w:val="auto"/>
        </w:rPr>
      </w:pPr>
    </w:p>
    <w:p>
      <w:pPr>
        <w:ind w:left="640" w:right="220" w:firstLine="638"/>
        <w:spacing w:after="0" w:line="279" w:lineRule="auto"/>
        <w:tabs>
          <w:tab w:leader="none" w:pos="1647" w:val="left"/>
        </w:tabs>
        <w:numPr>
          <w:ilvl w:val="1"/>
          <w:numId w:val="49"/>
        </w:numPr>
        <w:rPr>
          <w:rFonts w:ascii="Arial" w:cs="Arial" w:eastAsia="Arial" w:hAnsi="Arial"/>
          <w:sz w:val="21"/>
          <w:szCs w:val="21"/>
          <w:color w:val="auto"/>
        </w:rPr>
      </w:pPr>
      <w:r>
        <w:rPr>
          <w:rFonts w:ascii="Arial" w:cs="Arial" w:eastAsia="Arial" w:hAnsi="Arial"/>
          <w:sz w:val="21"/>
          <w:szCs w:val="21"/>
          <w:color w:val="auto"/>
        </w:rPr>
        <w:t>Except as provided by applicable law, the fees and expenses of the arbitration panel shall be shared equally by the Executive and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03" w:right="359" w:bottom="1440" w:gutter="0" w:footer="0" w:header="0"/>
        </w:sectPr>
      </w:pPr>
    </w:p>
    <w:bookmarkStart w:id="64" w:name="page65"/>
    <w:bookmarkEnd w:id="64"/>
    <w:p>
      <w:pPr>
        <w:ind w:left="640" w:right="160" w:firstLine="638"/>
        <w:spacing w:after="0" w:line="279" w:lineRule="auto"/>
        <w:tabs>
          <w:tab w:leader="none" w:pos="1635" w:val="left"/>
        </w:tabs>
        <w:numPr>
          <w:ilvl w:val="1"/>
          <w:numId w:val="50"/>
        </w:numPr>
        <w:rPr>
          <w:rFonts w:ascii="Arial" w:cs="Arial" w:eastAsia="Arial" w:hAnsi="Arial"/>
          <w:sz w:val="21"/>
          <w:szCs w:val="21"/>
          <w:color w:val="auto"/>
        </w:rPr>
      </w:pPr>
      <w:r>
        <w:rPr>
          <w:rFonts w:ascii="Arial" w:cs="Arial" w:eastAsia="Arial" w:hAnsi="Arial"/>
          <w:sz w:val="21"/>
          <w:szCs w:val="21"/>
          <w:color w:val="auto"/>
        </w:rPr>
        <w:t>Except as provided by applicable law, the prevailing party in any arbitration brought hereunder shall be entitled to an award of its costs (including expenses and attorneys’ fees), incurred in such arbitration.</w:t>
      </w:r>
    </w:p>
    <w:p>
      <w:pPr>
        <w:spacing w:after="0" w:line="148" w:lineRule="exact"/>
        <w:rPr>
          <w:rFonts w:ascii="Arial" w:cs="Arial" w:eastAsia="Arial" w:hAnsi="Arial"/>
          <w:sz w:val="21"/>
          <w:szCs w:val="21"/>
          <w:color w:val="auto"/>
        </w:rPr>
      </w:pPr>
    </w:p>
    <w:p>
      <w:pPr>
        <w:ind w:firstLine="642"/>
        <w:spacing w:after="0" w:line="259" w:lineRule="auto"/>
        <w:tabs>
          <w:tab w:leader="none" w:pos="1113" w:val="left"/>
        </w:tabs>
        <w:numPr>
          <w:ilvl w:val="0"/>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shall have no duty to attempt to mitigate the level of benefits payable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to the Executive hereunder, by seeking other employment or otherwise. To the extent that the Executive becomes covered under a health or life insurance plan maintained by a subsequent employer, the Corporation will discontinue the Executive’s coverage; otherwise, the Corporation shall not be entitled to set off against the amounts payable hereunder any amounts received by the Executive from any other source, including any subsequent employer.</w:t>
      </w:r>
    </w:p>
    <w:p>
      <w:pPr>
        <w:spacing w:after="0" w:line="167" w:lineRule="exact"/>
        <w:rPr>
          <w:rFonts w:ascii="Arial" w:cs="Arial" w:eastAsia="Arial" w:hAnsi="Arial"/>
          <w:sz w:val="21"/>
          <w:szCs w:val="21"/>
          <w:color w:val="auto"/>
        </w:rPr>
      </w:pPr>
    </w:p>
    <w:p>
      <w:pPr>
        <w:ind w:right="140" w:firstLine="642"/>
        <w:spacing w:after="0" w:line="267" w:lineRule="auto"/>
        <w:tabs>
          <w:tab w:leader="none" w:pos="1113" w:val="left"/>
        </w:tabs>
        <w:numPr>
          <w:ilvl w:val="0"/>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notices to be given hereunder by either party to the other may be effected either by personal delivery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or by mail, registered or certified, postage prepaid, with return receipt requested. Mailed notices shall be addressed as follows:</w:t>
      </w:r>
    </w:p>
    <w:p>
      <w:pPr>
        <w:spacing w:after="0" w:line="220" w:lineRule="exact"/>
        <w:rPr>
          <w:rFonts w:ascii="Arial" w:cs="Arial" w:eastAsia="Arial" w:hAnsi="Arial"/>
          <w:sz w:val="21"/>
          <w:szCs w:val="21"/>
          <w:color w:val="auto"/>
        </w:rPr>
      </w:pPr>
    </w:p>
    <w:p>
      <w:pPr>
        <w:ind w:left="2020" w:hanging="724"/>
        <w:spacing w:after="0"/>
        <w:tabs>
          <w:tab w:leader="none" w:pos="2020" w:val="left"/>
        </w:tabs>
        <w:numPr>
          <w:ilvl w:val="2"/>
          <w:numId w:val="51"/>
        </w:numPr>
        <w:rPr>
          <w:rFonts w:ascii="Arial" w:cs="Arial" w:eastAsia="Arial" w:hAnsi="Arial"/>
          <w:sz w:val="21"/>
          <w:szCs w:val="21"/>
          <w:color w:val="auto"/>
        </w:rPr>
      </w:pPr>
      <w:r>
        <w:rPr>
          <w:rFonts w:ascii="Arial" w:cs="Arial" w:eastAsia="Arial" w:hAnsi="Arial"/>
          <w:sz w:val="21"/>
          <w:szCs w:val="21"/>
          <w:color w:val="auto"/>
        </w:rPr>
        <w:t>If to the Corporation:</w:t>
      </w:r>
    </w:p>
    <w:p>
      <w:pPr>
        <w:spacing w:after="0" w:line="368"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Dine Brands Global, Inc.</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450 N. Brand Boulevard</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Glendale, CA 91203</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Attn: General Counsel</w:t>
      </w:r>
    </w:p>
    <w:p>
      <w:pPr>
        <w:spacing w:after="0" w:line="368" w:lineRule="exact"/>
        <w:rPr>
          <w:sz w:val="20"/>
          <w:szCs w:val="20"/>
          <w:color w:val="auto"/>
        </w:rPr>
      </w:pPr>
    </w:p>
    <w:p>
      <w:pPr>
        <w:ind w:left="2020" w:hanging="724"/>
        <w:spacing w:after="0"/>
        <w:tabs>
          <w:tab w:leader="none" w:pos="20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to the Executive:</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Vance Y. Chang</w:t>
      </w:r>
    </w:p>
    <w:p>
      <w:pPr>
        <w:spacing w:after="0" w:line="28"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3200 Patricia Avenue</w:t>
      </w:r>
    </w:p>
    <w:p>
      <w:pPr>
        <w:spacing w:after="0" w:line="10" w:lineRule="exact"/>
        <w:rPr>
          <w:sz w:val="20"/>
          <w:szCs w:val="20"/>
          <w:color w:val="auto"/>
        </w:rPr>
      </w:pPr>
    </w:p>
    <w:p>
      <w:pPr>
        <w:ind w:left="2660"/>
        <w:spacing w:after="0"/>
        <w:rPr>
          <w:sz w:val="20"/>
          <w:szCs w:val="20"/>
          <w:color w:val="auto"/>
        </w:rPr>
      </w:pPr>
      <w:r>
        <w:rPr>
          <w:rFonts w:ascii="Arial" w:cs="Arial" w:eastAsia="Arial" w:hAnsi="Arial"/>
          <w:sz w:val="21"/>
          <w:szCs w:val="21"/>
          <w:color w:val="auto"/>
        </w:rPr>
        <w:t>Los Angeles, CA 90064</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Either party may change its address for notice by giving notice in accordance with the terms of this </w:t>
      </w:r>
      <w:r>
        <w:rPr>
          <w:rFonts w:ascii="Arial" w:cs="Arial" w:eastAsia="Arial" w:hAnsi="Arial"/>
          <w:sz w:val="21"/>
          <w:szCs w:val="21"/>
          <w:b w:val="1"/>
          <w:bCs w:val="1"/>
          <w:color w:val="auto"/>
        </w:rPr>
        <w:t>Section 19</w:t>
      </w:r>
      <w:r>
        <w:rPr>
          <w:rFonts w:ascii="Arial" w:cs="Arial" w:eastAsia="Arial" w:hAnsi="Arial"/>
          <w:sz w:val="21"/>
          <w:szCs w:val="21"/>
          <w:color w:val="auto"/>
        </w:rPr>
        <w:t>.</w:t>
      </w:r>
    </w:p>
    <w:p>
      <w:pPr>
        <w:spacing w:after="0" w:line="249" w:lineRule="exact"/>
        <w:rPr>
          <w:sz w:val="20"/>
          <w:szCs w:val="20"/>
          <w:color w:val="auto"/>
        </w:rPr>
      </w:pPr>
    </w:p>
    <w:p>
      <w:pPr>
        <w:ind w:left="1120" w:hanging="478"/>
        <w:spacing w:after="0"/>
        <w:tabs>
          <w:tab w:leader="none" w:pos="1120"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General Provisions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left="640" w:right="400" w:firstLine="638"/>
        <w:spacing w:after="0" w:line="285" w:lineRule="auto"/>
        <w:tabs>
          <w:tab w:leader="none" w:pos="1635" w:val="left"/>
        </w:tabs>
        <w:numPr>
          <w:ilvl w:val="1"/>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by, and construed and enforced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internal laws of the State of California, without regard to its conflict of laws provisions.</w:t>
      </w:r>
    </w:p>
    <w:p>
      <w:pPr>
        <w:spacing w:after="0" w:line="141" w:lineRule="exact"/>
        <w:rPr>
          <w:rFonts w:ascii="Arial" w:cs="Arial" w:eastAsia="Arial" w:hAnsi="Arial"/>
          <w:sz w:val="21"/>
          <w:szCs w:val="21"/>
          <w:color w:val="auto"/>
        </w:rPr>
      </w:pPr>
    </w:p>
    <w:p>
      <w:pPr>
        <w:ind w:left="640" w:right="40" w:firstLine="638"/>
        <w:spacing w:after="0" w:line="261" w:lineRule="auto"/>
        <w:tabs>
          <w:tab w:leader="none" w:pos="1647" w:val="left"/>
        </w:tabs>
        <w:numPr>
          <w:ilvl w:val="1"/>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Invalid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is held to be illegal, invalid, or unenforceable, then such</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shall be fully severable and this Agreement shall be construed and enforced as if such illegal, invalid, or unenforceable provision had never comprised a part hereof; and the remaining provisions hereof shall remain in full force and effect and shall not be affected by the illegal, invalid,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65" w:name="page66"/>
    <w:bookmarkEnd w:id="65"/>
    <w:p>
      <w:pPr>
        <w:jc w:val="both"/>
        <w:ind w:right="560"/>
        <w:spacing w:after="0" w:line="305" w:lineRule="auto"/>
        <w:rPr>
          <w:sz w:val="20"/>
          <w:szCs w:val="20"/>
          <w:color w:val="auto"/>
        </w:rPr>
      </w:pPr>
      <w:r>
        <w:rPr>
          <w:rFonts w:ascii="Arial" w:cs="Arial" w:eastAsia="Arial" w:hAnsi="Arial"/>
          <w:sz w:val="19"/>
          <w:szCs w:val="19"/>
          <w:color w:val="auto"/>
        </w:rPr>
        <w:t>unenforceable provision or by its severance here from. Furthermore, in lieu of such illegal, invalid, or unenforceable provision there shall be added automatically as a part of this Agreement a provision as similar in terms to such illegal, invalid, or unenforceable provision as may be possible and still be legal, valid or enforceable.</w:t>
      </w:r>
    </w:p>
    <w:p>
      <w:pPr>
        <w:spacing w:after="0" w:line="128" w:lineRule="exact"/>
        <w:rPr>
          <w:sz w:val="20"/>
          <w:szCs w:val="20"/>
          <w:color w:val="auto"/>
        </w:rPr>
      </w:pPr>
    </w:p>
    <w:p>
      <w:pPr>
        <w:ind w:right="140" w:firstLine="638"/>
        <w:spacing w:after="0" w:line="289" w:lineRule="auto"/>
        <w:tabs>
          <w:tab w:leader="none" w:pos="995"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exception of the Release executed as a condition to receiving certain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hereunder, and all equity award agreements, this Agreement sets forth the entire understanding of the parties and supersedes all prior agreements or understandings, whether written or oral, with respect to the subject matter hereof and all agreements, acknowledgments, designations and directions of the Executive made or given under any Corporation policy statement or benefit program. No terms, conditions, warranties, other than those contained herein, and no amendments or modifications hereto shall be binding unless made in writing and signed by the parties hereto.</w:t>
      </w:r>
    </w:p>
    <w:p>
      <w:pPr>
        <w:spacing w:after="0" w:line="143" w:lineRule="exact"/>
        <w:rPr>
          <w:rFonts w:ascii="Arial" w:cs="Arial" w:eastAsia="Arial" w:hAnsi="Arial"/>
          <w:sz w:val="19"/>
          <w:szCs w:val="19"/>
          <w:color w:val="auto"/>
        </w:rPr>
      </w:pPr>
    </w:p>
    <w:p>
      <w:pPr>
        <w:ind w:firstLine="638"/>
        <w:spacing w:after="0" w:line="261" w:lineRule="auto"/>
        <w:tabs>
          <w:tab w:leader="none" w:pos="1007"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extend to and be binding upon and inure to the benefit to the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hereto, their respective heirs, representatives, successors and assigns. This Agreement may not be assigned by the Executive, but may be assigned by the Corporation to any person or entity that succeeds to the ownership or operation of the business in which the Executive is primarily employed by the Corporation.</w:t>
      </w:r>
    </w:p>
    <w:p>
      <w:pPr>
        <w:spacing w:after="0" w:line="168" w:lineRule="exact"/>
        <w:rPr>
          <w:rFonts w:ascii="Arial" w:cs="Arial" w:eastAsia="Arial" w:hAnsi="Arial"/>
          <w:sz w:val="21"/>
          <w:szCs w:val="21"/>
          <w:color w:val="auto"/>
        </w:rPr>
      </w:pPr>
    </w:p>
    <w:p>
      <w:pPr>
        <w:jc w:val="both"/>
        <w:ind w:right="300" w:firstLine="638"/>
        <w:spacing w:after="0" w:line="340" w:lineRule="auto"/>
        <w:tabs>
          <w:tab w:leader="none" w:pos="995"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 xml:space="preserve">. </w:t>
      </w:r>
      <w:r>
        <w:rPr>
          <w:rFonts w:ascii="Arial" w:cs="Arial" w:eastAsia="Arial" w:hAnsi="Arial"/>
          <w:sz w:val="19"/>
          <w:szCs w:val="19"/>
          <w:color w:val="auto"/>
        </w:rPr>
        <w:t>No purported waiver of a breach or default will be valid unless specifically stated in writing by the</w:t>
      </w:r>
      <w:r>
        <w:rPr>
          <w:rFonts w:ascii="Arial" w:cs="Arial" w:eastAsia="Arial" w:hAnsi="Arial"/>
          <w:sz w:val="19"/>
          <w:szCs w:val="19"/>
          <w:b w:val="1"/>
          <w:bCs w:val="1"/>
          <w:color w:val="auto"/>
        </w:rPr>
        <w:t xml:space="preserve"> </w:t>
      </w:r>
      <w:r>
        <w:rPr>
          <w:rFonts w:ascii="Arial" w:cs="Arial" w:eastAsia="Arial" w:hAnsi="Arial"/>
          <w:sz w:val="19"/>
          <w:szCs w:val="19"/>
          <w:color w:val="auto"/>
        </w:rPr>
        <w:t>waiving party. No such waiver waives any subsequent breach or default of the same or any other term in this Agreement.</w:t>
      </w:r>
    </w:p>
    <w:p>
      <w:pPr>
        <w:spacing w:after="0" w:line="122" w:lineRule="exact"/>
        <w:rPr>
          <w:rFonts w:ascii="Arial" w:cs="Arial" w:eastAsia="Arial" w:hAnsi="Arial"/>
          <w:sz w:val="19"/>
          <w:szCs w:val="19"/>
          <w:color w:val="auto"/>
        </w:rPr>
      </w:pPr>
    </w:p>
    <w:p>
      <w:pPr>
        <w:ind w:right="60" w:firstLine="638"/>
        <w:spacing w:after="0" w:line="285" w:lineRule="auto"/>
        <w:tabs>
          <w:tab w:leader="none" w:pos="972"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Titles</w:t>
      </w:r>
      <w:r>
        <w:rPr>
          <w:rFonts w:ascii="Arial" w:cs="Arial" w:eastAsia="Arial" w:hAnsi="Arial"/>
          <w:sz w:val="21"/>
          <w:szCs w:val="21"/>
          <w:b w:val="1"/>
          <w:bCs w:val="1"/>
          <w:color w:val="auto"/>
        </w:rPr>
        <w:t xml:space="preserve">. </w:t>
      </w:r>
      <w:r>
        <w:rPr>
          <w:rFonts w:ascii="Arial" w:cs="Arial" w:eastAsia="Arial" w:hAnsi="Arial"/>
          <w:sz w:val="21"/>
          <w:szCs w:val="21"/>
          <w:color w:val="auto"/>
        </w:rPr>
        <w:t>Titles of the paragraphs herein are used solely for convenience and shall not be used for interpretation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construing any work, clause, paragraph, or provision of this Agreement.</w:t>
      </w:r>
    </w:p>
    <w:p>
      <w:pPr>
        <w:spacing w:after="0" w:line="141" w:lineRule="exact"/>
        <w:rPr>
          <w:rFonts w:ascii="Arial" w:cs="Arial" w:eastAsia="Arial" w:hAnsi="Arial"/>
          <w:sz w:val="21"/>
          <w:szCs w:val="21"/>
          <w:color w:val="auto"/>
        </w:rPr>
      </w:pPr>
    </w:p>
    <w:p>
      <w:pPr>
        <w:ind w:right="180" w:firstLine="638"/>
        <w:spacing w:after="0" w:line="267" w:lineRule="auto"/>
        <w:tabs>
          <w:tab w:leader="none" w:pos="1007"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any number of counterparts and by any electronic means,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which shall be deemed an original and all of which, when taken together, shall constitute one and the same agreement.</w:t>
      </w:r>
    </w:p>
    <w:p>
      <w:pPr>
        <w:spacing w:after="0" w:line="161" w:lineRule="exact"/>
        <w:rPr>
          <w:rFonts w:ascii="Arial" w:cs="Arial" w:eastAsia="Arial" w:hAnsi="Arial"/>
          <w:sz w:val="21"/>
          <w:szCs w:val="21"/>
          <w:color w:val="auto"/>
        </w:rPr>
      </w:pPr>
    </w:p>
    <w:p>
      <w:pPr>
        <w:ind w:right="120" w:firstLine="638"/>
        <w:spacing w:after="0" w:line="285" w:lineRule="auto"/>
        <w:tabs>
          <w:tab w:leader="none" w:pos="1007"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IRC 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provisions shall apply to this Agreement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of the Code:</w:t>
      </w:r>
    </w:p>
    <w:p>
      <w:pPr>
        <w:spacing w:after="0" w:line="141" w:lineRule="exact"/>
        <w:rPr>
          <w:rFonts w:ascii="Arial" w:cs="Arial" w:eastAsia="Arial" w:hAnsi="Arial"/>
          <w:sz w:val="21"/>
          <w:szCs w:val="21"/>
          <w:color w:val="auto"/>
        </w:rPr>
      </w:pPr>
    </w:p>
    <w:p>
      <w:pPr>
        <w:ind w:right="20" w:firstLine="1274"/>
        <w:spacing w:after="0" w:line="279" w:lineRule="auto"/>
        <w:tabs>
          <w:tab w:leader="none" w:pos="1525"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The lump sum cash severance payments which are payable under clause (i) of </w:t>
      </w:r>
      <w:r>
        <w:rPr>
          <w:rFonts w:ascii="Arial" w:cs="Arial" w:eastAsia="Arial" w:hAnsi="Arial"/>
          <w:sz w:val="20"/>
          <w:szCs w:val="20"/>
          <w:b w:val="1"/>
          <w:bCs w:val="1"/>
          <w:color w:val="auto"/>
        </w:rPr>
        <w:t>subsection g. of Section 13</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and subsection a. of Section 14. </w:t>
      </w:r>
      <w:r>
        <w:rPr>
          <w:rFonts w:ascii="Arial" w:cs="Arial" w:eastAsia="Arial" w:hAnsi="Arial"/>
          <w:sz w:val="20"/>
          <w:szCs w:val="20"/>
          <w:color w:val="auto"/>
        </w:rPr>
        <w:t>are intended to satisfy the short-term deferral exemption under Treasury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1.409A-1(b)(4) and shall be made not later than the last day of the applicable two and one-half month period with respect to such payment, within the meaning of Treasury Regulation Section 1.409A-1(b)(4).</w:t>
      </w:r>
    </w:p>
    <w:p>
      <w:pPr>
        <w:spacing w:after="0" w:line="182" w:lineRule="exact"/>
        <w:rPr>
          <w:rFonts w:ascii="Arial" w:cs="Arial" w:eastAsia="Arial" w:hAnsi="Arial"/>
          <w:sz w:val="20"/>
          <w:szCs w:val="20"/>
          <w:color w:val="auto"/>
        </w:rPr>
      </w:pPr>
    </w:p>
    <w:p>
      <w:pPr>
        <w:ind w:right="120" w:firstLine="1274"/>
        <w:spacing w:after="0" w:line="264" w:lineRule="auto"/>
        <w:tabs>
          <w:tab w:leader="none" w:pos="1637" w:val="left"/>
        </w:tabs>
        <w:numPr>
          <w:ilvl w:val="1"/>
          <w:numId w:val="54"/>
        </w:numPr>
        <w:rPr>
          <w:rFonts w:ascii="Arial" w:cs="Arial" w:eastAsia="Arial" w:hAnsi="Arial"/>
          <w:sz w:val="21"/>
          <w:szCs w:val="21"/>
          <w:color w:val="auto"/>
        </w:rPr>
      </w:pPr>
      <w:r>
        <w:rPr>
          <w:rFonts w:ascii="Arial" w:cs="Arial" w:eastAsia="Arial" w:hAnsi="Arial"/>
          <w:sz w:val="21"/>
          <w:szCs w:val="21"/>
          <w:color w:val="auto"/>
        </w:rPr>
        <w:t>If any provision of this Agreement (or of any award of compensation, including equity compensation or benefits) would cause the Executive to incur any additional tax or interest under Section 409A of the Code or any regulations or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560"/>
          </w:cols>
          <w:pgMar w:left="960" w:top="1403" w:right="379" w:bottom="1440" w:gutter="0" w:footer="0" w:header="0"/>
        </w:sectPr>
      </w:pPr>
    </w:p>
    <w:bookmarkStart w:id="66" w:name="page67"/>
    <w:bookmarkEnd w:id="66"/>
    <w:p>
      <w:pPr>
        <w:ind w:right="560"/>
        <w:spacing w:after="0" w:line="259" w:lineRule="auto"/>
        <w:rPr>
          <w:sz w:val="20"/>
          <w:szCs w:val="20"/>
          <w:color w:val="auto"/>
        </w:rPr>
      </w:pPr>
      <w:r>
        <w:rPr>
          <w:rFonts w:ascii="Arial" w:cs="Arial" w:eastAsia="Arial" w:hAnsi="Arial"/>
          <w:sz w:val="21"/>
          <w:szCs w:val="21"/>
          <w:color w:val="auto"/>
        </w:rPr>
        <w:t>guidance promulgated thereunder, the Corporation shall, after consulting with the Executive, reform such provision to comply with Section 409A of the Code, provided that the Corporation agrees to maintain, to the maximum extent practicable, the original intent and economic benefit the Executive of the applicable provision without violating the provisions of Section 409A of the Code.</w:t>
      </w:r>
    </w:p>
    <w:p>
      <w:pPr>
        <w:spacing w:after="0" w:line="197" w:lineRule="exact"/>
        <w:rPr>
          <w:sz w:val="20"/>
          <w:szCs w:val="20"/>
          <w:color w:val="auto"/>
        </w:rPr>
      </w:pPr>
    </w:p>
    <w:p>
      <w:pPr>
        <w:ind w:right="140" w:firstLine="426"/>
        <w:spacing w:after="0" w:line="285" w:lineRule="auto"/>
        <w:tabs>
          <w:tab w:leader="none" w:pos="848"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in this </w:t>
      </w:r>
      <w:r>
        <w:rPr>
          <w:rFonts w:ascii="Arial" w:cs="Arial" w:eastAsia="Arial" w:hAnsi="Arial"/>
          <w:sz w:val="19"/>
          <w:szCs w:val="19"/>
          <w:b w:val="1"/>
          <w:bCs w:val="1"/>
          <w:color w:val="auto"/>
        </w:rPr>
        <w:t>subsection h</w:t>
      </w:r>
      <w:r>
        <w:rPr>
          <w:rFonts w:ascii="Arial" w:cs="Arial" w:eastAsia="Arial" w:hAnsi="Arial"/>
          <w:sz w:val="19"/>
          <w:szCs w:val="19"/>
          <w:color w:val="auto"/>
        </w:rPr>
        <w:t>., if Executive is deemed on the Termination Date to be a “specified employee” within the meaning of that term under Section 409A(a)(2)(B) of the Code, then with regard to any payment or the provision of any benefit that is required to be delayed in compliance with Section 409A(a)(2)</w:t>
      </w:r>
    </w:p>
    <w:p>
      <w:pPr>
        <w:ind w:firstLine="2"/>
        <w:spacing w:after="0" w:line="280" w:lineRule="auto"/>
        <w:tabs>
          <w:tab w:leader="none" w:pos="336" w:val="left"/>
        </w:tabs>
        <w:numPr>
          <w:ilvl w:val="0"/>
          <w:numId w:val="56"/>
        </w:numPr>
        <w:rPr>
          <w:rFonts w:ascii="Arial" w:cs="Arial" w:eastAsia="Arial" w:hAnsi="Arial"/>
          <w:sz w:val="19"/>
          <w:szCs w:val="19"/>
          <w:color w:val="auto"/>
        </w:rPr>
      </w:pPr>
      <w:r>
        <w:rPr>
          <w:rFonts w:ascii="Arial" w:cs="Arial" w:eastAsia="Arial" w:hAnsi="Arial"/>
          <w:sz w:val="19"/>
          <w:szCs w:val="19"/>
          <w:color w:val="auto"/>
        </w:rPr>
        <w:t>of the Code such payment or benefit shall not be made or provided (subject to the last sentence hereof) prior to the earlier of (A) the expiration of the six-month period measured from the date of the Executive’s “separation from service” (as such term is defined under Section 409A of the Code) or (B) the date of the Executive’s death (the “</w:t>
      </w:r>
      <w:r>
        <w:rPr>
          <w:rFonts w:ascii="Arial" w:cs="Arial" w:eastAsia="Arial" w:hAnsi="Arial"/>
          <w:sz w:val="19"/>
          <w:szCs w:val="19"/>
          <w:b w:val="1"/>
          <w:bCs w:val="1"/>
          <w:color w:val="auto"/>
        </w:rPr>
        <w:t>Delay Period</w:t>
      </w:r>
      <w:r>
        <w:rPr>
          <w:rFonts w:ascii="Arial" w:cs="Arial" w:eastAsia="Arial" w:hAnsi="Arial"/>
          <w:sz w:val="19"/>
          <w:szCs w:val="19"/>
          <w:color w:val="auto"/>
        </w:rPr>
        <w:t xml:space="preserve">”). Upon the expiration of the Delay Period, all payments and benefits delayed pursuant to this </w:t>
      </w:r>
      <w:r>
        <w:rPr>
          <w:rFonts w:ascii="Arial" w:cs="Arial" w:eastAsia="Arial" w:hAnsi="Arial"/>
          <w:sz w:val="19"/>
          <w:szCs w:val="19"/>
          <w:b w:val="1"/>
          <w:bCs w:val="1"/>
          <w:color w:val="auto"/>
        </w:rPr>
        <w:t>subsection h</w:t>
      </w:r>
      <w:r>
        <w:rPr>
          <w:rFonts w:ascii="Arial" w:cs="Arial" w:eastAsia="Arial" w:hAnsi="Arial"/>
          <w:sz w:val="19"/>
          <w:szCs w:val="19"/>
          <w:color w:val="auto"/>
        </w:rPr>
        <w:t>. (whether they would have otherwise been payable in a single sum or in installments in the absence of such delay) shall be paid or reimbursed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Executive, the Executive shall pay the full cost of premiums for such welfare benefits during the Delay Period and the Corporation shall pay the Executive an amount equal to the amount of such premiums paid by the Executive during the Delay Period promptly after its conclusion.</w:t>
      </w:r>
    </w:p>
    <w:p>
      <w:pPr>
        <w:spacing w:after="0" w:line="179" w:lineRule="exact"/>
        <w:rPr>
          <w:rFonts w:ascii="Arial" w:cs="Arial" w:eastAsia="Arial" w:hAnsi="Arial"/>
          <w:sz w:val="19"/>
          <w:szCs w:val="19"/>
          <w:color w:val="auto"/>
        </w:rPr>
      </w:pPr>
    </w:p>
    <w:p>
      <w:pPr>
        <w:ind w:right="340" w:firstLine="638"/>
        <w:spacing w:after="0" w:line="340" w:lineRule="auto"/>
        <w:tabs>
          <w:tab w:leader="none" w:pos="960" w:val="left"/>
        </w:tabs>
        <w:numPr>
          <w:ilvl w:val="2"/>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may withhold from any amounts payable under this Agreement such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local or foreign taxes as shall be required to be withheld pursuant to any applicable law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560"/>
          </w:cols>
          <w:pgMar w:left="960" w:top="1403" w:right="379" w:bottom="1440" w:gutter="0" w:footer="0" w:header="0"/>
        </w:sectPr>
      </w:pPr>
    </w:p>
    <w:bookmarkStart w:id="67" w:name="page68"/>
    <w:bookmarkEnd w:id="67"/>
    <w:p>
      <w:pPr>
        <w:ind w:firstLine="636"/>
        <w:spacing w:after="0" w:line="285"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Corporation and the Executive have executed this Agreement as of the date and year first</w:t>
      </w:r>
      <w:r>
        <w:rPr>
          <w:rFonts w:ascii="Arial" w:cs="Arial" w:eastAsia="Arial" w:hAnsi="Arial"/>
          <w:sz w:val="21"/>
          <w:szCs w:val="21"/>
          <w:b w:val="1"/>
          <w:bCs w:val="1"/>
          <w:color w:val="auto"/>
        </w:rPr>
        <w:t xml:space="preserve"> </w:t>
      </w:r>
      <w:r>
        <w:rPr>
          <w:rFonts w:ascii="Arial" w:cs="Arial" w:eastAsia="Arial" w:hAnsi="Arial"/>
          <w:sz w:val="21"/>
          <w:szCs w:val="21"/>
          <w:color w:val="auto"/>
        </w:rPr>
        <w:t>above written.</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THIS AGREEMENT CONTAINS AN ARBITRATION CLAUSE.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2240" w:type="dxa"/>
            <w:vAlign w:val="bottom"/>
            <w:gridSpan w:val="2"/>
          </w:tcPr>
          <w:p>
            <w:pPr>
              <w:spacing w:after="0"/>
              <w:rPr>
                <w:sz w:val="20"/>
                <w:szCs w:val="20"/>
                <w:color w:val="auto"/>
              </w:rPr>
            </w:pPr>
            <w:r>
              <w:rPr>
                <w:rFonts w:ascii="Arial" w:cs="Arial" w:eastAsia="Arial" w:hAnsi="Arial"/>
                <w:sz w:val="21"/>
                <w:szCs w:val="21"/>
                <w:b w:val="1"/>
                <w:bCs w:val="1"/>
                <w:color w:val="auto"/>
              </w:rPr>
              <w:t>EXECUTIVE:</w:t>
            </w:r>
          </w:p>
        </w:tc>
        <w:tc>
          <w:tcPr>
            <w:tcW w:w="7400" w:type="dxa"/>
            <w:vAlign w:val="bottom"/>
            <w:gridSpan w:val="3"/>
          </w:tcPr>
          <w:p>
            <w:pPr>
              <w:ind w:left="3380"/>
              <w:spacing w:after="0"/>
              <w:rPr>
                <w:sz w:val="20"/>
                <w:szCs w:val="20"/>
                <w:color w:val="auto"/>
              </w:rPr>
            </w:pPr>
            <w:r>
              <w:rPr>
                <w:rFonts w:ascii="Arial" w:cs="Arial" w:eastAsia="Arial" w:hAnsi="Arial"/>
                <w:sz w:val="21"/>
                <w:szCs w:val="21"/>
                <w:b w:val="1"/>
                <w:bCs w:val="1"/>
                <w:color w:val="auto"/>
              </w:rPr>
              <w:t>Dine Brands Global, Inc.:</w:t>
            </w:r>
          </w:p>
        </w:tc>
      </w:tr>
      <w:tr>
        <w:trPr>
          <w:trHeight w:val="863"/>
        </w:trPr>
        <w:tc>
          <w:tcPr>
            <w:tcW w:w="2240" w:type="dxa"/>
            <w:vAlign w:val="bottom"/>
            <w:gridSpan w:val="2"/>
          </w:tcPr>
          <w:p>
            <w:pPr>
              <w:spacing w:after="0"/>
              <w:rPr>
                <w:sz w:val="20"/>
                <w:szCs w:val="20"/>
                <w:color w:val="auto"/>
              </w:rPr>
            </w:pPr>
            <w:r>
              <w:rPr>
                <w:rFonts w:ascii="Arial" w:cs="Arial" w:eastAsia="Arial" w:hAnsi="Arial"/>
                <w:sz w:val="21"/>
                <w:szCs w:val="21"/>
                <w:color w:val="auto"/>
              </w:rPr>
              <w:t>By: /s/ Vance Y. Chang</w:t>
            </w:r>
          </w:p>
        </w:tc>
        <w:tc>
          <w:tcPr>
            <w:tcW w:w="7400" w:type="dxa"/>
            <w:vAlign w:val="bottom"/>
            <w:gridSpan w:val="3"/>
          </w:tcPr>
          <w:p>
            <w:pPr>
              <w:ind w:left="3380"/>
              <w:spacing w:after="0"/>
              <w:rPr>
                <w:sz w:val="20"/>
                <w:szCs w:val="20"/>
                <w:color w:val="auto"/>
              </w:rPr>
            </w:pPr>
            <w:r>
              <w:rPr>
                <w:rFonts w:ascii="Arial" w:cs="Arial" w:eastAsia="Arial" w:hAnsi="Arial"/>
                <w:sz w:val="21"/>
                <w:szCs w:val="21"/>
                <w:color w:val="auto"/>
              </w:rPr>
              <w:t>By:  /s/ Gregory R. Bever</w:t>
            </w:r>
          </w:p>
        </w:tc>
      </w:tr>
      <w:tr>
        <w:trPr>
          <w:trHeight w:val="20"/>
        </w:trPr>
        <w:tc>
          <w:tcPr>
            <w:tcW w:w="3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6"/>
        </w:trPr>
        <w:tc>
          <w:tcPr>
            <w:tcW w:w="2240" w:type="dxa"/>
            <w:vAlign w:val="bottom"/>
            <w:gridSpan w:val="2"/>
          </w:tcPr>
          <w:p>
            <w:pPr>
              <w:ind w:left="320"/>
              <w:spacing w:after="0"/>
              <w:rPr>
                <w:sz w:val="20"/>
                <w:szCs w:val="20"/>
                <w:color w:val="auto"/>
              </w:rPr>
            </w:pPr>
            <w:r>
              <w:rPr>
                <w:rFonts w:ascii="Arial" w:cs="Arial" w:eastAsia="Arial" w:hAnsi="Arial"/>
                <w:sz w:val="21"/>
                <w:szCs w:val="21"/>
                <w:color w:val="auto"/>
              </w:rPr>
              <w:t>Vance Y. Chang</w:t>
            </w:r>
          </w:p>
        </w:tc>
        <w:tc>
          <w:tcPr>
            <w:tcW w:w="7400" w:type="dxa"/>
            <w:vAlign w:val="bottom"/>
            <w:gridSpan w:val="3"/>
          </w:tcPr>
          <w:p>
            <w:pPr>
              <w:ind w:left="3700"/>
              <w:spacing w:after="0"/>
              <w:rPr>
                <w:sz w:val="20"/>
                <w:szCs w:val="20"/>
                <w:color w:val="auto"/>
              </w:rPr>
            </w:pPr>
            <w:r>
              <w:rPr>
                <w:rFonts w:ascii="Arial" w:cs="Arial" w:eastAsia="Arial" w:hAnsi="Arial"/>
                <w:sz w:val="21"/>
                <w:szCs w:val="21"/>
                <w:color w:val="auto"/>
              </w:rPr>
              <w:t>Gregory R. Bever</w:t>
            </w:r>
          </w:p>
        </w:tc>
      </w:tr>
      <w:tr>
        <w:trPr>
          <w:trHeight w:val="271"/>
        </w:trPr>
        <w:tc>
          <w:tcPr>
            <w:tcW w:w="3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0" w:type="dxa"/>
            <w:vAlign w:val="bottom"/>
            <w:gridSpan w:val="3"/>
          </w:tcPr>
          <w:p>
            <w:pPr>
              <w:ind w:left="3700"/>
              <w:spacing w:after="0"/>
              <w:rPr>
                <w:sz w:val="20"/>
                <w:szCs w:val="20"/>
                <w:color w:val="auto"/>
              </w:rPr>
            </w:pPr>
            <w:r>
              <w:rPr>
                <w:rFonts w:ascii="Arial" w:cs="Arial" w:eastAsia="Arial" w:hAnsi="Arial"/>
                <w:sz w:val="21"/>
                <w:szCs w:val="21"/>
                <w:color w:val="auto"/>
                <w:w w:val="91"/>
              </w:rPr>
              <w:t>Senior Vice President, Chief People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020"/>
          </w:cols>
          <w:pgMar w:left="320" w:top="1397" w:right="559" w:bottom="1440" w:gutter="0" w:footer="0" w:header="0"/>
        </w:sectPr>
      </w:pPr>
    </w:p>
    <w:bookmarkStart w:id="68" w:name="page69"/>
    <w:bookmarkEnd w:id="68"/>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40"/>
        <w:spacing w:after="0"/>
        <w:rPr>
          <w:sz w:val="20"/>
          <w:szCs w:val="20"/>
          <w:color w:val="auto"/>
        </w:rPr>
      </w:pPr>
      <w:r>
        <w:rPr>
          <w:rFonts w:ascii="Arial" w:cs="Arial" w:eastAsia="Arial" w:hAnsi="Arial"/>
          <w:sz w:val="21"/>
          <w:szCs w:val="21"/>
          <w:b w:val="1"/>
          <w:bCs w:val="1"/>
          <w:u w:val="single" w:color="auto"/>
          <w:color w:val="auto"/>
        </w:rPr>
        <w:t>Exhibit A</w:t>
      </w:r>
    </w:p>
    <w:p>
      <w:pPr>
        <w:spacing w:after="0" w:line="249" w:lineRule="exact"/>
        <w:rPr>
          <w:sz w:val="20"/>
          <w:szCs w:val="20"/>
          <w:color w:val="auto"/>
        </w:rPr>
      </w:pPr>
    </w:p>
    <w:p>
      <w:pPr>
        <w:ind w:left="3420"/>
        <w:spacing w:after="0"/>
        <w:rPr>
          <w:sz w:val="20"/>
          <w:szCs w:val="20"/>
          <w:color w:val="auto"/>
        </w:rPr>
      </w:pPr>
      <w:r>
        <w:rPr>
          <w:rFonts w:ascii="Arial" w:cs="Arial" w:eastAsia="Arial" w:hAnsi="Arial"/>
          <w:sz w:val="21"/>
          <w:szCs w:val="21"/>
          <w:b w:val="1"/>
          <w:bCs w:val="1"/>
          <w:u w:val="single" w:color="auto"/>
          <w:color w:val="auto"/>
        </w:rPr>
        <w:t>Executive’s Authorities and Duties</w:t>
      </w:r>
    </w:p>
    <w:p>
      <w:pPr>
        <w:spacing w:after="0" w:line="200" w:lineRule="exact"/>
        <w:rPr>
          <w:sz w:val="20"/>
          <w:szCs w:val="20"/>
          <w:color w:val="auto"/>
        </w:rPr>
      </w:pPr>
    </w:p>
    <w:p>
      <w:pPr>
        <w:spacing w:after="0" w:line="29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Executive will serve as the Chief Financial Officer, reporting directly to the Chief Executive Officer of the Corporation, with duties, authorities and responsibilities commensurate with such title and office at the Corporation. Executive’s services shall be performed at the Corporation’s restaurant support center in Glendale,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0600"/>
          </w:cols>
          <w:pgMar w:left="960" w:top="125" w:right="339" w:bottom="1440" w:gutter="0" w:footer="0" w:header="0"/>
        </w:sectPr>
      </w:pPr>
    </w:p>
    <w:bookmarkStart w:id="69" w:name="page70"/>
    <w:bookmarkEnd w:id="69"/>
    <w:p>
      <w:pPr>
        <w:ind w:left="1014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General Release</w:t>
      </w:r>
    </w:p>
    <w:p>
      <w:pPr>
        <w:spacing w:after="0" w:line="200" w:lineRule="exact"/>
        <w:rPr>
          <w:sz w:val="20"/>
          <w:szCs w:val="20"/>
          <w:color w:val="auto"/>
        </w:rPr>
      </w:pPr>
    </w:p>
    <w:p>
      <w:pPr>
        <w:spacing w:after="0" w:line="287" w:lineRule="exact"/>
        <w:rPr>
          <w:sz w:val="20"/>
          <w:szCs w:val="20"/>
          <w:color w:val="auto"/>
        </w:rPr>
      </w:pPr>
    </w:p>
    <w:p>
      <w:pPr>
        <w:jc w:val="both"/>
        <w:ind w:firstLine="1278"/>
        <w:spacing w:after="0" w:line="279" w:lineRule="auto"/>
        <w:tabs>
          <w:tab w:leader="none" w:pos="1908"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General Release by Executive. </w:t>
      </w:r>
      <w:r>
        <w:rPr>
          <w:rFonts w:ascii="Arial" w:cs="Arial" w:eastAsia="Arial" w:hAnsi="Arial"/>
          <w:sz w:val="19"/>
          <w:szCs w:val="19"/>
          <w:color w:val="auto"/>
        </w:rPr>
        <w:t>In consideration of the benefits provided under Section 13 or 14,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of the Employment Agreement by and between Vance Y. Chang (“</w:t>
      </w:r>
      <w:r>
        <w:rPr>
          <w:rFonts w:ascii="Arial" w:cs="Arial" w:eastAsia="Arial" w:hAnsi="Arial"/>
          <w:sz w:val="19"/>
          <w:szCs w:val="19"/>
          <w:b w:val="1"/>
          <w:bCs w:val="1"/>
          <w:color w:val="auto"/>
        </w:rPr>
        <w:t>Executive</w:t>
      </w:r>
      <w:r>
        <w:rPr>
          <w:rFonts w:ascii="Arial" w:cs="Arial" w:eastAsia="Arial" w:hAnsi="Arial"/>
          <w:sz w:val="19"/>
          <w:szCs w:val="19"/>
          <w:color w:val="auto"/>
        </w:rPr>
        <w:t>”) and Dine Brands Global, Inc., a Delaware corporation (the “</w:t>
      </w:r>
      <w:r>
        <w:rPr>
          <w:rFonts w:ascii="Arial" w:cs="Arial" w:eastAsia="Arial" w:hAnsi="Arial"/>
          <w:sz w:val="19"/>
          <w:szCs w:val="19"/>
          <w:b w:val="1"/>
          <w:bCs w:val="1"/>
          <w:color w:val="auto"/>
        </w:rPr>
        <w:t>Corporation</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 Executive hereby releases and discharges forever the Corporation, and each of its divisions, affiliates and subsidiaries, and each of their present and former directors, officers, employees, trustees, agents, attorneys, administrators, plans, plan administrators, insurers, parent corporations, subsidiaries, divisions, related and affiliated companies and entities, shareholders, members, representatives, predecessors, successors and assigns, and all persons acting by, through, under or in concert with them (together with the Corporation, hereinafter collectively referred to as the “</w:t>
      </w:r>
      <w:r>
        <w:rPr>
          <w:rFonts w:ascii="Arial" w:cs="Arial" w:eastAsia="Arial" w:hAnsi="Arial"/>
          <w:sz w:val="19"/>
          <w:szCs w:val="19"/>
          <w:b w:val="1"/>
          <w:bCs w:val="1"/>
          <w:color w:val="auto"/>
        </w:rPr>
        <w:t>Executive Released Parties</w:t>
      </w:r>
      <w:r>
        <w:rPr>
          <w:rFonts w:ascii="Arial" w:cs="Arial" w:eastAsia="Arial" w:hAnsi="Arial"/>
          <w:sz w:val="19"/>
          <w:szCs w:val="19"/>
          <w:color w:val="auto"/>
        </w:rPr>
        <w:t>”), from and against all liabilities, claims, demands, liens, causes of action, charges, suits, complaints, grievances, contracts, agreements, promises, obligations, costs, losses, damages, injuries, attorneys’ fees, and other legal responsibilities (collectively referred to as “</w:t>
      </w:r>
      <w:r>
        <w:rPr>
          <w:rFonts w:ascii="Arial" w:cs="Arial" w:eastAsia="Arial" w:hAnsi="Arial"/>
          <w:sz w:val="19"/>
          <w:szCs w:val="19"/>
          <w:b w:val="1"/>
          <w:bCs w:val="1"/>
          <w:color w:val="auto"/>
        </w:rPr>
        <w:t>Claims</w:t>
      </w:r>
      <w:r>
        <w:rPr>
          <w:rFonts w:ascii="Arial" w:cs="Arial" w:eastAsia="Arial" w:hAnsi="Arial"/>
          <w:sz w:val="19"/>
          <w:szCs w:val="19"/>
          <w:color w:val="auto"/>
        </w:rPr>
        <w:t>”), of any form whatsoever, including, but not limited to, any claims in law, equity, contract, tort, or any claims under the California Labor Code, the California Civil Code, the California Business and Professions Code, the California Fair Employment and Housing Act, Title VII of the Civil Rights Act of 1964, as amended, the Americans With Disabilities Act,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xml:space="preserve">”), as amended by the Older Workers Benefit Protection Act of 1990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Sarbanes-Oxley Act of 2002, the Employee Retirement Income Security Act of 1974, or any other local ordinance or federal or state statute, regulation or constitution, </w:t>
      </w:r>
      <w:r>
        <w:rPr>
          <w:rFonts w:ascii="Arial" w:cs="Arial" w:eastAsia="Arial" w:hAnsi="Arial"/>
          <w:sz w:val="19"/>
          <w:szCs w:val="19"/>
          <w:u w:val="single" w:color="auto"/>
          <w:color w:val="auto"/>
        </w:rPr>
        <w:t>whether known or unknown, unforeseen,</w:t>
      </w:r>
      <w:r>
        <w:rPr>
          <w:rFonts w:ascii="Arial" w:cs="Arial" w:eastAsia="Arial" w:hAnsi="Arial"/>
          <w:sz w:val="19"/>
          <w:szCs w:val="19"/>
          <w:color w:val="auto"/>
        </w:rPr>
        <w:t xml:space="preserve"> </w:t>
      </w:r>
      <w:r>
        <w:rPr>
          <w:rFonts w:ascii="Arial" w:cs="Arial" w:eastAsia="Arial" w:hAnsi="Arial"/>
          <w:sz w:val="19"/>
          <w:szCs w:val="19"/>
          <w:u w:val="single" w:color="auto"/>
          <w:color w:val="auto"/>
        </w:rPr>
        <w:t>unanticipated, unsuspected or latent</w:t>
      </w:r>
      <w:r>
        <w:rPr>
          <w:rFonts w:ascii="Arial" w:cs="Arial" w:eastAsia="Arial" w:hAnsi="Arial"/>
          <w:sz w:val="19"/>
          <w:szCs w:val="19"/>
          <w:color w:val="auto"/>
        </w:rPr>
        <w:t>, which Executive or Executive’s successors in interest now own or hold, or have at any time heretofore owned or held, or may at any time own or hold by reason of any matter or thing arising from any cause whatsoever prior to the date of execution of this release, and without limiting the generality of the foregoing, from all claims, demands and causes of action based upon, relating to, or arising out of: (a) Executive’s employment relationship with the Corporation and/or any of the Executive Released Parties and the termination of that relationship; (b) Executive’s relationship as a shareholder, optionholder or holder of any interest whatsoever in any of the Executive Released Parties; (c) Executive’s relationship with any of the Executive Released Parties as a member of any boards of directors; and (d) any other type of relationship (business or otherwise) between Executive and any of the Executive Released Parties.</w:t>
      </w:r>
    </w:p>
    <w:p>
      <w:pPr>
        <w:spacing w:after="0" w:line="160" w:lineRule="exact"/>
        <w:rPr>
          <w:rFonts w:ascii="Arial" w:cs="Arial" w:eastAsia="Arial" w:hAnsi="Arial"/>
          <w:sz w:val="19"/>
          <w:szCs w:val="19"/>
          <w:color w:val="auto"/>
        </w:rPr>
      </w:pPr>
    </w:p>
    <w:p>
      <w:pPr>
        <w:ind w:firstLine="1278"/>
        <w:spacing w:after="0" w:line="285" w:lineRule="auto"/>
        <w:tabs>
          <w:tab w:leader="none" w:pos="1908"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 xml:space="preserve">Exclusions from General Release. </w:t>
      </w:r>
      <w:r>
        <w:rPr>
          <w:rFonts w:ascii="Arial" w:cs="Arial" w:eastAsia="Arial" w:hAnsi="Arial"/>
          <w:sz w:val="21"/>
          <w:szCs w:val="21"/>
          <w:color w:val="auto"/>
        </w:rPr>
        <w:t>Notwithstanding the generality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w:t>
      </w:r>
      <w:r>
        <w:rPr>
          <w:rFonts w:ascii="Arial" w:cs="Arial" w:eastAsia="Arial" w:hAnsi="Arial"/>
          <w:sz w:val="21"/>
          <w:szCs w:val="21"/>
          <w:color w:val="auto"/>
        </w:rPr>
        <w:t>, Executive does not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claims and rights:</w:t>
      </w:r>
    </w:p>
    <w:p>
      <w:pPr>
        <w:spacing w:after="0" w:line="148" w:lineRule="exact"/>
        <w:rPr>
          <w:sz w:val="20"/>
          <w:szCs w:val="20"/>
          <w:color w:val="auto"/>
        </w:rPr>
      </w:pPr>
    </w:p>
    <w:p>
      <w:pPr>
        <w:ind w:left="1920" w:hanging="642"/>
        <w:spacing w:after="0"/>
        <w:tabs>
          <w:tab w:leader="none" w:pos="19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Executive’s rights under this release;</w:t>
      </w:r>
    </w:p>
    <w:p>
      <w:pPr>
        <w:spacing w:after="0" w:line="222" w:lineRule="exact"/>
        <w:rPr>
          <w:rFonts w:ascii="Arial" w:cs="Arial" w:eastAsia="Arial" w:hAnsi="Arial"/>
          <w:sz w:val="21"/>
          <w:szCs w:val="21"/>
          <w:color w:val="auto"/>
        </w:rPr>
      </w:pPr>
    </w:p>
    <w:p>
      <w:pPr>
        <w:ind w:left="1900" w:hanging="622"/>
        <w:spacing w:after="0"/>
        <w:tabs>
          <w:tab w:leader="none" w:pos="19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Executive’s rights as a shareholder and option holder in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ectPr>
          <w:pgSz w:w="11900" w:h="16838" w:orient="portrait"/>
          <w:cols w:equalWidth="0" w:num="1">
            <w:col w:w="11240"/>
          </w:cols>
          <w:pgMar w:left="320" w:top="125" w:right="339" w:bottom="1440" w:gutter="0" w:footer="0" w:header="0"/>
        </w:sectPr>
      </w:pPr>
    </w:p>
    <w:bookmarkStart w:id="70" w:name="page71"/>
    <w:bookmarkEnd w:id="70"/>
    <w:p>
      <w:pPr>
        <w:ind w:left="1920" w:hanging="642"/>
        <w:spacing w:after="0" w:line="279" w:lineRule="auto"/>
        <w:tabs>
          <w:tab w:leader="none" w:pos="1917"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claims for unemployment compensation or any state disability insurance benefits pursuant to the terms of applicable state law;</w:t>
      </w:r>
    </w:p>
    <w:p>
      <w:pPr>
        <w:spacing w:after="0" w:line="154" w:lineRule="exact"/>
        <w:rPr>
          <w:rFonts w:ascii="Arial" w:cs="Arial" w:eastAsia="Arial" w:hAnsi="Arial"/>
          <w:sz w:val="21"/>
          <w:szCs w:val="21"/>
          <w:color w:val="auto"/>
        </w:rPr>
      </w:pPr>
    </w:p>
    <w:p>
      <w:pPr>
        <w:ind w:left="1920" w:hanging="642"/>
        <w:spacing w:after="0" w:line="334" w:lineRule="auto"/>
        <w:tabs>
          <w:tab w:leader="none" w:pos="1915" w:val="left"/>
        </w:tabs>
        <w:numPr>
          <w:ilvl w:val="0"/>
          <w:numId w:val="59"/>
        </w:numPr>
        <w:rPr>
          <w:rFonts w:ascii="Arial" w:cs="Arial" w:eastAsia="Arial" w:hAnsi="Arial"/>
          <w:sz w:val="19"/>
          <w:szCs w:val="19"/>
          <w:color w:val="auto"/>
        </w:rPr>
      </w:pPr>
      <w:r>
        <w:rPr>
          <w:rFonts w:ascii="Arial" w:cs="Arial" w:eastAsia="Arial" w:hAnsi="Arial"/>
          <w:sz w:val="19"/>
          <w:szCs w:val="19"/>
          <w:color w:val="auto"/>
        </w:rPr>
        <w:t>claims to continued participation in certain of the Corporation’s group benefit plans pursuant to the terms and conditions of the federal law known as COBRA or the comparable California law known as Cal-COBRA;</w:t>
      </w:r>
    </w:p>
    <w:p>
      <w:pPr>
        <w:spacing w:after="0" w:line="107" w:lineRule="exact"/>
        <w:rPr>
          <w:rFonts w:ascii="Arial" w:cs="Arial" w:eastAsia="Arial" w:hAnsi="Arial"/>
          <w:sz w:val="19"/>
          <w:szCs w:val="19"/>
          <w:color w:val="auto"/>
        </w:rPr>
      </w:pPr>
    </w:p>
    <w:p>
      <w:pPr>
        <w:ind w:left="1920" w:hanging="642"/>
        <w:spacing w:after="0" w:line="279" w:lineRule="auto"/>
        <w:tabs>
          <w:tab w:leader="none" w:pos="1917"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rights vested prior to the date of Executive’s termination of employment to benefits under any Corporation-sponsored retirement or welfare benefit plan;</w:t>
      </w:r>
    </w:p>
    <w:p>
      <w:pPr>
        <w:spacing w:after="0" w:line="154" w:lineRule="exact"/>
        <w:rPr>
          <w:rFonts w:ascii="Arial" w:cs="Arial" w:eastAsia="Arial" w:hAnsi="Arial"/>
          <w:sz w:val="21"/>
          <w:szCs w:val="21"/>
          <w:color w:val="auto"/>
        </w:rPr>
      </w:pPr>
    </w:p>
    <w:p>
      <w:pPr>
        <w:jc w:val="both"/>
        <w:ind w:left="1920" w:hanging="642"/>
        <w:spacing w:after="0" w:line="264" w:lineRule="auto"/>
        <w:tabs>
          <w:tab w:leader="none" w:pos="19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Executive’s rights, if any, to indemnity and/or advancement of expenses pursuant to applicable state law, the Corporation’s articles, bylaws or other corporate governance documents, and/or to the protections of any director’ and officers’ liability policies of the Corporation or any of its affiliates; and</w:t>
      </w:r>
    </w:p>
    <w:p>
      <w:pPr>
        <w:spacing w:after="0" w:line="170" w:lineRule="exact"/>
        <w:rPr>
          <w:rFonts w:ascii="Arial" w:cs="Arial" w:eastAsia="Arial" w:hAnsi="Arial"/>
          <w:sz w:val="21"/>
          <w:szCs w:val="21"/>
          <w:color w:val="auto"/>
        </w:rPr>
      </w:pPr>
    </w:p>
    <w:p>
      <w:pPr>
        <w:ind w:left="1900" w:hanging="622"/>
        <w:spacing w:after="0"/>
        <w:tabs>
          <w:tab w:leader="none" w:pos="19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other right that may not be released by private agreement.</w:t>
      </w:r>
    </w:p>
    <w:p>
      <w:pPr>
        <w:spacing w:after="0" w:line="216" w:lineRule="exact"/>
        <w:rPr>
          <w:rFonts w:ascii="Arial" w:cs="Arial" w:eastAsia="Arial" w:hAnsi="Arial"/>
          <w:sz w:val="21"/>
          <w:szCs w:val="21"/>
          <w:color w:val="auto"/>
        </w:rPr>
      </w:pPr>
    </w:p>
    <w:p>
      <w:pPr>
        <w:ind w:left="1920"/>
        <w:spacing w:after="0"/>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19"/>
          <w:szCs w:val="19"/>
          <w:color w:val="auto"/>
        </w:rPr>
        <w:t xml:space="preserve">(collectively, the </w:t>
      </w:r>
      <w:r>
        <w:rPr>
          <w:rFonts w:ascii="Arial" w:cs="Arial" w:eastAsia="Arial" w:hAnsi="Arial"/>
          <w:sz w:val="19"/>
          <w:szCs w:val="19"/>
          <w:b w:val="1"/>
          <w:bCs w:val="1"/>
          <w:color w:val="auto"/>
        </w:rPr>
        <w:t>“Executive Unreleased Claims”</w:t>
      </w:r>
      <w:r>
        <w:rPr>
          <w:rFonts w:ascii="Arial" w:cs="Arial" w:eastAsia="Arial" w:hAnsi="Arial"/>
          <w:sz w:val="19"/>
          <w:szCs w:val="19"/>
          <w:color w:val="auto"/>
        </w:rPr>
        <w:t>).</w:t>
      </w:r>
    </w:p>
    <w:p>
      <w:pPr>
        <w:spacing w:after="0" w:line="200" w:lineRule="exact"/>
        <w:rPr>
          <w:sz w:val="20"/>
          <w:szCs w:val="20"/>
          <w:color w:val="auto"/>
        </w:rPr>
      </w:pPr>
    </w:p>
    <w:p>
      <w:pPr>
        <w:spacing w:after="0" w:line="261" w:lineRule="exact"/>
        <w:rPr>
          <w:sz w:val="20"/>
          <w:szCs w:val="20"/>
          <w:color w:val="auto"/>
        </w:rPr>
      </w:pPr>
    </w:p>
    <w:p>
      <w:pPr>
        <w:jc w:val="both"/>
        <w:ind w:firstLine="1278"/>
        <w:spacing w:after="0" w:line="265" w:lineRule="auto"/>
        <w:tabs>
          <w:tab w:leader="none" w:pos="190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Rights Under the ADEA. </w:t>
      </w:r>
      <w:r>
        <w:rPr>
          <w:rFonts w:ascii="Arial" w:cs="Arial" w:eastAsia="Arial" w:hAnsi="Arial"/>
          <w:sz w:val="20"/>
          <w:szCs w:val="20"/>
          <w:color w:val="auto"/>
        </w:rPr>
        <w:t>Without limiting the scope of the foregoing release of Claims in any way,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certifies that this release constitutes a knowing and voluntary waiver of any and all rights or claims that exist or that Executive has or may claim to have under ADEA. This release does not govern any rights or claims that might arise under the ADEA after the date this release is signed by Executive. Executive acknowledges that: (a) the consideration provided pursuant to this release is in addition to any consideration that he would otherwise be entitled to receive; (b) he has been and is hereby advised in writing to consult with an attorney prior to signing this release; (c) he has been provided a full and ample opportunity to review this release, including a period of at least 21 days within which to consider it; (d) to the extent that Executive takes less than 21 days to consider this release prior to execution, Executive acknowledges that he had sufficient time to consider this release with counsel and that he expressly, voluntarily and knowingly waives any additional time; and (e) Executive is aware of his right to revoke this release at any time within the seven-day period following the date on which he executes the release and that the release shall not become effective or enforceable until the calendar day immediately following the expiration of the seven-day revocation period. Executive further understands that he shall relinquish any right he has to the consideration specified in this release if he exercises his right to revoke it, and shall instead receive only such consideration as provided in his employment agreement with the Corporation. Notice of revocation must be made in writing and must be received by the Senior Vice President, Chief People Officer of the Corporation, no later than 5:00 p.m. (Pacific Time) on the seventh calendar day immediately following the date on which Executive executes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ectPr>
          <w:pgSz w:w="11900" w:h="16838" w:orient="portrait"/>
          <w:cols w:equalWidth="0" w:num="1">
            <w:col w:w="11240"/>
          </w:cols>
          <w:pgMar w:left="320" w:top="1403" w:right="339" w:bottom="1440" w:gutter="0" w:footer="0" w:header="0"/>
        </w:sectPr>
      </w:pPr>
    </w:p>
    <w:bookmarkStart w:id="71" w:name="page72"/>
    <w:bookmarkEnd w:id="71"/>
    <w:p>
      <w:pPr>
        <w:jc w:val="both"/>
        <w:ind w:firstLine="1278"/>
        <w:spacing w:after="0" w:line="267" w:lineRule="auto"/>
        <w:tabs>
          <w:tab w:leader="none" w:pos="1908"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 xml:space="preserve">Unknown Claims. </w:t>
      </w:r>
      <w:r>
        <w:rPr>
          <w:rFonts w:ascii="Arial" w:cs="Arial" w:eastAsia="Arial" w:hAnsi="Arial"/>
          <w:sz w:val="21"/>
          <w:szCs w:val="21"/>
          <w:color w:val="auto"/>
        </w:rPr>
        <w:t>It is further understood and agreed that Executive waives all rights under Section 1542</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California Civil Code and/or any statute or common law principle of similar effect in any jurisdiction with respect to any Claims other than the Executive Unreleased Claims. Section 1542 reads as follows:</w:t>
      </w:r>
    </w:p>
    <w:p>
      <w:pPr>
        <w:spacing w:after="0" w:line="167" w:lineRule="exact"/>
        <w:rPr>
          <w:sz w:val="20"/>
          <w:szCs w:val="20"/>
          <w:color w:val="auto"/>
        </w:rPr>
      </w:pPr>
    </w:p>
    <w:p>
      <w:pPr>
        <w:jc w:val="both"/>
        <w:ind w:left="1280" w:right="1280"/>
        <w:spacing w:after="0" w:line="257" w:lineRule="auto"/>
        <w:rPr>
          <w:sz w:val="20"/>
          <w:szCs w:val="20"/>
          <w:color w:val="auto"/>
        </w:rPr>
      </w:pPr>
      <w:r>
        <w:rPr>
          <w:rFonts w:ascii="Arial" w:cs="Arial" w:eastAsia="Arial" w:hAnsi="Arial"/>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Notwithstanding the provisions of Section 1542 or any statute or common law principle of similar effect in any jurisdiction, and for the purpose of implementing a full and complete release and discharge of all claims, Executive expressly acknowledges that this release is intended to include in its effect, without limitation, all claims which Executive does not know or suspect to exist in Executive’s favor at the time of execution hereof, and that the general release agreed upon contemplates the extinguishment of any such claims.</w:t>
      </w:r>
    </w:p>
    <w:p>
      <w:pPr>
        <w:spacing w:after="0" w:line="172" w:lineRule="exact"/>
        <w:rPr>
          <w:sz w:val="20"/>
          <w:szCs w:val="20"/>
          <w:color w:val="auto"/>
        </w:rPr>
      </w:pPr>
    </w:p>
    <w:p>
      <w:pPr>
        <w:jc w:val="both"/>
        <w:ind w:firstLine="1278"/>
        <w:spacing w:after="0" w:line="282" w:lineRule="auto"/>
        <w:tabs>
          <w:tab w:leader="none" w:pos="1908"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Covenant Not To Sue. </w:t>
      </w:r>
      <w:r>
        <w:rPr>
          <w:rFonts w:ascii="Arial" w:cs="Arial" w:eastAsia="Arial" w:hAnsi="Arial"/>
          <w:sz w:val="19"/>
          <w:szCs w:val="19"/>
          <w:color w:val="auto"/>
        </w:rPr>
        <w:t>Executive represents and covenants that he has not filed, initiated or caused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filed or initiated, any Claim, charge, suit, complaint, grievance, action or cause of action against any of the Executive Released Parties. Except to the extent that such waiver is precluded by law, Executive further promises and agrees that he will not file, initiate, or cause to be filed or initiated any Claim, charge, suit, complaint, grievance, action, or cause of action based upon, arising out of, or relating to any Claim, demand, or cause of action released herein, nor shall Executive participate, assist or cooperate in any Claim, charge, suit, complaint, grievance, action or proceeding regarding any of the Executive Released Parties, whether before a court or administrative agency or otherwise, unless required to do so by law. The parties acknowledge that this release will not prevent the Executive from filing a charge with the Equal Employment Opportunity Commission (or similar state agency) or participating in any investigation conducted by the Equal Employment Opportunity Commission (or similar state agency);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acknowledges and agrees that any Claims by Executive, or brought on his behalf, for personal relief in connection with such a charge or investigation (such as reinstatement or monetary damages) would be and hereby are barred.</w:t>
      </w:r>
    </w:p>
    <w:p>
      <w:pPr>
        <w:spacing w:after="0" w:line="157" w:lineRule="exact"/>
        <w:rPr>
          <w:rFonts w:ascii="Arial" w:cs="Arial" w:eastAsia="Arial" w:hAnsi="Arial"/>
          <w:sz w:val="19"/>
          <w:szCs w:val="19"/>
          <w:color w:val="auto"/>
        </w:rPr>
      </w:pPr>
    </w:p>
    <w:p>
      <w:pPr>
        <w:jc w:val="both"/>
        <w:ind w:firstLine="1278"/>
        <w:spacing w:after="0" w:line="267" w:lineRule="auto"/>
        <w:tabs>
          <w:tab w:leader="none" w:pos="1908"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 xml:space="preserve">No Assignment. </w:t>
      </w:r>
      <w:r>
        <w:rPr>
          <w:rFonts w:ascii="Arial" w:cs="Arial" w:eastAsia="Arial" w:hAnsi="Arial"/>
          <w:sz w:val="21"/>
          <w:szCs w:val="21"/>
          <w:color w:val="auto"/>
        </w:rPr>
        <w:t>Executive represents and warrants that he has made no assignment or other transfer, and</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that he will make no assignment or other transfer, of any interest in any Claim which he may have against the Executive Released Parties, or any of them.</w:t>
      </w:r>
    </w:p>
    <w:p>
      <w:pPr>
        <w:spacing w:after="0" w:line="161" w:lineRule="exact"/>
        <w:rPr>
          <w:rFonts w:ascii="Arial" w:cs="Arial" w:eastAsia="Arial" w:hAnsi="Arial"/>
          <w:sz w:val="21"/>
          <w:szCs w:val="21"/>
          <w:color w:val="auto"/>
        </w:rPr>
      </w:pPr>
    </w:p>
    <w:p>
      <w:pPr>
        <w:jc w:val="both"/>
        <w:ind w:firstLine="1278"/>
        <w:spacing w:after="0" w:line="287" w:lineRule="auto"/>
        <w:tabs>
          <w:tab w:leader="none" w:pos="1908" w:val="left"/>
        </w:tabs>
        <w:numPr>
          <w:ilvl w:val="0"/>
          <w:numId w:val="62"/>
        </w:numPr>
        <w:rPr>
          <w:rFonts w:ascii="Arial" w:cs="Arial" w:eastAsia="Arial" w:hAnsi="Arial"/>
          <w:sz w:val="20"/>
          <w:szCs w:val="20"/>
          <w:color w:val="auto"/>
        </w:rPr>
      </w:pPr>
      <w:r>
        <w:rPr>
          <w:rFonts w:ascii="Arial" w:cs="Arial" w:eastAsia="Arial" w:hAnsi="Arial"/>
          <w:sz w:val="20"/>
          <w:szCs w:val="20"/>
          <w:b w:val="1"/>
          <w:bCs w:val="1"/>
          <w:color w:val="auto"/>
        </w:rPr>
        <w:t xml:space="preserve">Indemnification of Executive Released Parties. </w:t>
      </w:r>
      <w:r>
        <w:rPr>
          <w:rFonts w:ascii="Arial" w:cs="Arial" w:eastAsia="Arial" w:hAnsi="Arial"/>
          <w:sz w:val="20"/>
          <w:szCs w:val="20"/>
          <w:color w:val="auto"/>
        </w:rPr>
        <w:t>Executive agrees to indemnify and hold harmless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Released Parties, and each of them, against any loss, claim, demand, damage, expenses, or any other liability whatsoever, including reasonable attorneys’ fees and costs resulting from: (a) any breach of this release by Executive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w:t>
      </w:r>
    </w:p>
    <w:p>
      <w:pPr>
        <w:sectPr>
          <w:pgSz w:w="11900" w:h="16838" w:orient="portrait"/>
          <w:cols w:equalWidth="0" w:num="1">
            <w:col w:w="11240"/>
          </w:cols>
          <w:pgMar w:left="320" w:top="1397" w:right="3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20"/>
          <w:szCs w:val="20"/>
          <w:color w:val="auto"/>
        </w:rPr>
        <w:t xml:space="preserve">Executive’s successors in interest; (b) any assignment or transfer, or attempted assignment or transfer, of any Claims released hereunder; or (c) any action or proceeding brought by Executive or Executive’s successors in interest, or any other, if such action or proceeding arises out of, is based upon, or is related to any Claims, demands, or causes of action released 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indemnification provision shall not apply to any challenge by Executive of the release of claims under the ADEA, Title VII, or similar discrimination laws, and any right of the Executive Released Parties to recover attorneys’ fees and/or expenses for such breach shall be governed by applicable law. It is the intention of the parties that this indemnity does not require payment as a condition precedent to recovery by any of the Executive Released Parties under this indemnity.</w:t>
      </w:r>
    </w:p>
    <w:p>
      <w:pPr>
        <w:spacing w:after="0" w:line="164" w:lineRule="exact"/>
        <w:rPr>
          <w:sz w:val="20"/>
          <w:szCs w:val="20"/>
          <w:color w:val="auto"/>
        </w:rPr>
      </w:pPr>
    </w:p>
    <w:p>
      <w:pPr>
        <w:jc w:val="both"/>
        <w:ind w:firstLine="1278"/>
        <w:spacing w:after="0" w:line="268" w:lineRule="auto"/>
        <w:tabs>
          <w:tab w:leader="none" w:pos="1908"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 xml:space="preserve">Non-Disparagement by Executive. </w:t>
      </w:r>
      <w:r>
        <w:rPr>
          <w:rFonts w:ascii="Arial" w:cs="Arial" w:eastAsia="Arial" w:hAnsi="Arial"/>
          <w:sz w:val="20"/>
          <w:szCs w:val="20"/>
          <w:color w:val="auto"/>
        </w:rPr>
        <w:t>Executive agrees not to publish or disseminate, directly or indirectly,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statements, whether written or oral, or other verbal or non-verbal communications that clearly communicate an affirmative or negative response to a question or statement, that are or could be harmful to or reflect negatively on any of the Executive Released Parties and/or their businesses, or that are otherwise disparaging of any of the Executive Released Parties and/or their businesses, or any of their past or present or future officers, directors, employees, advisors, or agents in their capacity as such, or any of their policies, procedures, practices, decision-making, conduct, professionalism or compliance with standards. For avoidance of doubt, statements by Executive, which Executive reasonably and in good faith believes to be accurate and truthful, made to the Corporation, or its subsidiaries, affiliates or representatives pursuant to Executive's obligations under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hereof shall not be deemed a violation of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firstLine="1278"/>
        <w:spacing w:after="0" w:line="280" w:lineRule="auto"/>
        <w:tabs>
          <w:tab w:leader="none" w:pos="1908"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Executive agrees to cooperate fully with the Corporation and its subsidiaries and affiliates in</w:t>
      </w:r>
      <w:r>
        <w:rPr>
          <w:rFonts w:ascii="Arial" w:cs="Arial" w:eastAsia="Arial" w:hAnsi="Arial"/>
          <w:sz w:val="19"/>
          <w:szCs w:val="19"/>
          <w:b w:val="1"/>
          <w:bCs w:val="1"/>
          <w:color w:val="auto"/>
        </w:rPr>
        <w:t xml:space="preserve"> </w:t>
      </w:r>
      <w:r>
        <w:rPr>
          <w:rFonts w:ascii="Arial" w:cs="Arial" w:eastAsia="Arial" w:hAnsi="Arial"/>
          <w:sz w:val="19"/>
          <w:szCs w:val="19"/>
          <w:color w:val="auto"/>
        </w:rPr>
        <w:t>transitioning his duties in response to reasonable requests for information about the business of the Corporation or its subsidiaries or affiliates or Executive’s involvement and participation therein; the defense or prosecution of any claims or actions now in existence or which may be brought in the future against or on behalf of the Corporation or its subsidiaries or affiliates which relate to event or occurrences that transpired while Executive was employed by the Corporation; and in connection with any investigation or review by any federal, state or local regulatory, quasi-regulatory or self-governing authority (including, without limitation, the Securities and Exchange Commission) as any such investigation or review relates to events or occurrences that transpired while Executive was employed by the Corporation. Executive’s full cooperation shall include, but not be limited to, being available to meet and speak with officers or employees of the Corporation and/or its counsel at reasonable times and locations, executing accurate and truthful documents, appearing at the Corporation’s request as a witness at depositions, trials or other proceedings without the necessity of a subpoena, and taking such other actions as may reasonably be requested by of the Corporation and/or its counsel to effectuate the foregoing. In requesting such services, the Corporation will consider other commitments that Executive may have at the time of the request, and Executive’s availability and obligations under this Section shall in all instances reasonably be subject to Executive’s other commitments. The Corporation agrees to reimburse Executive for any reasonable, out-of-pocket travel, hotel and meal expenses incurred in connection with Executive’s performance of obligations pursuant to this Section for which Executive has obtained prior,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w:t>
      </w:r>
    </w:p>
    <w:p>
      <w:pPr>
        <w:sectPr>
          <w:pgSz w:w="11900" w:h="16838" w:orient="portrait"/>
          <w:cols w:equalWidth="0" w:num="1">
            <w:col w:w="11240"/>
          </w:cols>
          <w:pgMar w:left="320" w:top="1403" w:right="339" w:bottom="1440" w:gutter="0" w:footer="0" w:header="0"/>
        </w:sectPr>
      </w:pPr>
    </w:p>
    <w:bookmarkStart w:id="73" w:name="page74"/>
    <w:bookmarkEnd w:id="73"/>
    <w:p>
      <w:pPr>
        <w:spacing w:after="0" w:line="279" w:lineRule="auto"/>
        <w:rPr>
          <w:sz w:val="20"/>
          <w:szCs w:val="20"/>
          <w:color w:val="auto"/>
        </w:rPr>
      </w:pPr>
      <w:r>
        <w:rPr>
          <w:rFonts w:ascii="Arial" w:cs="Arial" w:eastAsia="Arial" w:hAnsi="Arial"/>
          <w:sz w:val="21"/>
          <w:szCs w:val="21"/>
          <w:color w:val="auto"/>
        </w:rPr>
        <w:t xml:space="preserve">from the Corporation, and the Corporation shall pay Executive $200.00 per hour for any services performed by Executive at the request of the Corporation pursuant to this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48" w:lineRule="exact"/>
        <w:rPr>
          <w:sz w:val="20"/>
          <w:szCs w:val="20"/>
          <w:color w:val="auto"/>
        </w:rPr>
      </w:pPr>
    </w:p>
    <w:p>
      <w:pPr>
        <w:jc w:val="both"/>
        <w:ind w:firstLine="1278"/>
        <w:spacing w:after="0" w:line="254" w:lineRule="auto"/>
        <w:tabs>
          <w:tab w:leader="none" w:pos="1908" w:val="left"/>
        </w:tabs>
        <w:numPr>
          <w:ilvl w:val="0"/>
          <w:numId w:val="64"/>
        </w:numPr>
        <w:rPr>
          <w:rFonts w:ascii="Arial" w:cs="Arial" w:eastAsia="Arial" w:hAnsi="Arial"/>
          <w:sz w:val="21"/>
          <w:szCs w:val="21"/>
          <w:color w:val="auto"/>
        </w:rPr>
      </w:pPr>
      <w:r>
        <w:rPr>
          <w:rFonts w:ascii="Arial" w:cs="Arial" w:eastAsia="Arial" w:hAnsi="Arial"/>
          <w:sz w:val="21"/>
          <w:szCs w:val="21"/>
          <w:b w:val="1"/>
          <w:bCs w:val="1"/>
          <w:color w:val="auto"/>
        </w:rPr>
        <w:t xml:space="preserve">Truthful Testimony; Notice of Request for Testimony. </w:t>
      </w:r>
      <w:r>
        <w:rPr>
          <w:rFonts w:ascii="Arial" w:cs="Arial" w:eastAsia="Arial" w:hAnsi="Arial"/>
          <w:sz w:val="21"/>
          <w:szCs w:val="21"/>
          <w:color w:val="auto"/>
        </w:rPr>
        <w:t>Nothing in this release is intended to or shall</w:t>
      </w:r>
      <w:r>
        <w:rPr>
          <w:rFonts w:ascii="Arial" w:cs="Arial" w:eastAsia="Arial" w:hAnsi="Arial"/>
          <w:sz w:val="21"/>
          <w:szCs w:val="21"/>
          <w:b w:val="1"/>
          <w:bCs w:val="1"/>
          <w:color w:val="auto"/>
        </w:rPr>
        <w:t xml:space="preserve"> </w:t>
      </w:r>
      <w:r>
        <w:rPr>
          <w:rFonts w:ascii="Arial" w:cs="Arial" w:eastAsia="Arial" w:hAnsi="Arial"/>
          <w:sz w:val="21"/>
          <w:szCs w:val="21"/>
          <w:color w:val="auto"/>
        </w:rPr>
        <w:t>preclude either party from providing testimony that such party reasonably and in good faith believes to be truthful in response to a valid subpoena, court order, regulatory request or other judicial, administrative or legal process or otherwise as required by law. Executive shall notify the Corporation in writing as promptly as practicable after receiving any such request of the anticipated testimony and at least 10 days prior to providing such testimony (or, if such notice is not possible under the circumstances, with as much prior notice as is possible) to afford the Corporation a reasonable opportunity to challenge the subpoena, court order or similar legal process. Moreover, nothing in this release shall be construed or applied so as to limit any person from providing candid statements that such party reasonably and in good faith believes to be truthful to any governmental or regulatory body or any self-regulatory organization.</w:t>
      </w:r>
    </w:p>
    <w:p>
      <w:pPr>
        <w:spacing w:after="0" w:line="184" w:lineRule="exact"/>
        <w:rPr>
          <w:sz w:val="20"/>
          <w:szCs w:val="20"/>
          <w:color w:val="auto"/>
        </w:rPr>
      </w:pPr>
    </w:p>
    <w:p>
      <w:pPr>
        <w:spacing w:after="0"/>
        <w:tabs>
          <w:tab w:leader="none" w:pos="180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540" w:val="left"/>
        </w:tabs>
        <w:rPr>
          <w:sz w:val="20"/>
          <w:szCs w:val="20"/>
          <w:color w:val="auto"/>
        </w:rPr>
      </w:pPr>
      <w:r>
        <w:rPr>
          <w:rFonts w:ascii="Arial" w:cs="Arial" w:eastAsia="Arial" w:hAnsi="Arial"/>
          <w:sz w:val="21"/>
          <w:szCs w:val="21"/>
          <w:color w:val="auto"/>
        </w:rPr>
        <w:t>__________________</w:t>
      </w:r>
      <w:r>
        <w:rPr>
          <w:sz w:val="20"/>
          <w:szCs w:val="20"/>
          <w:color w:val="auto"/>
        </w:rPr>
        <w:tab/>
      </w:r>
      <w:r>
        <w:rPr>
          <w:rFonts w:ascii="Arial" w:cs="Arial" w:eastAsia="Arial" w:hAnsi="Arial"/>
          <w:sz w:val="21"/>
          <w:szCs w:val="21"/>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ectPr>
          <w:pgSz w:w="11900" w:h="16838" w:orient="portrait"/>
          <w:cols w:equalWidth="0" w:num="1">
            <w:col w:w="11240"/>
          </w:cols>
          <w:pgMar w:left="320" w:top="140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DINE BRANDS GLOBAL, INC.</w:t>
      </w:r>
    </w:p>
    <w:p>
      <w:pPr>
        <w:spacing w:after="0" w:line="34"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2019 STOCK INCENTIVE PLAN</w:t>
      </w:r>
    </w:p>
    <w:p>
      <w:pPr>
        <w:spacing w:after="0" w:line="10"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RESTRICTED STOCK AWARD AGREEMENT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THIS RESTRICTED STOCK AWARD AGREEMENT </w:t>
      </w:r>
      <w:r>
        <w:rPr>
          <w:rFonts w:ascii="Arial" w:cs="Arial" w:eastAsia="Arial" w:hAnsi="Arial"/>
          <w:sz w:val="20"/>
          <w:szCs w:val="20"/>
          <w:color w:val="auto"/>
        </w:rPr>
        <w:t>(the “Agreement”) is entered into as of ___________ (the “Date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of Grant”), by and between </w:t>
      </w:r>
      <w:r>
        <w:rPr>
          <w:rFonts w:ascii="Arial" w:cs="Arial" w:eastAsia="Arial" w:hAnsi="Arial"/>
          <w:sz w:val="20"/>
          <w:szCs w:val="20"/>
          <w:b w:val="1"/>
          <w:bCs w:val="1"/>
          <w:color w:val="auto"/>
        </w:rPr>
        <w:t>DINE BRANDS GLOBAL, INC.</w:t>
      </w:r>
      <w:r>
        <w:rPr>
          <w:rFonts w:ascii="Arial" w:cs="Arial" w:eastAsia="Arial" w:hAnsi="Arial"/>
          <w:sz w:val="20"/>
          <w:szCs w:val="20"/>
          <w:color w:val="auto"/>
        </w:rPr>
        <w:t>, a Delaware corporation (the “Company”), and ___________ (the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r>
        <w:rPr>
          <w:rFonts w:ascii="Arial" w:cs="Arial" w:eastAsia="Arial" w:hAnsi="Arial"/>
          <w:sz w:val="21"/>
          <w:szCs w:val="21"/>
          <w:b w:val="1"/>
          <w:bCs w:val="1"/>
          <w:color w:val="auto"/>
        </w:rPr>
        <w:t>:</w:t>
      </w:r>
    </w:p>
    <w:p>
      <w:pPr>
        <w:spacing w:after="0" w:line="22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Any capitalized terms not defined herein shall have their respective meanings set forth in the Plan.</w:t>
      </w:r>
    </w:p>
    <w:p>
      <w:pPr>
        <w:spacing w:after="0" w:line="216" w:lineRule="exact"/>
        <w:rPr>
          <w:sz w:val="20"/>
          <w:szCs w:val="20"/>
          <w:color w:val="auto"/>
        </w:rPr>
      </w:pPr>
    </w:p>
    <w:p>
      <w:pPr>
        <w:ind w:left="4900"/>
        <w:spacing w:after="0"/>
        <w:rPr>
          <w:sz w:val="20"/>
          <w:szCs w:val="20"/>
          <w:color w:val="auto"/>
        </w:rPr>
      </w:pPr>
      <w:r>
        <w:rPr>
          <w:rFonts w:ascii="Arial" w:cs="Arial" w:eastAsia="Arial" w:hAnsi="Arial"/>
          <w:sz w:val="21"/>
          <w:szCs w:val="21"/>
          <w:b w:val="1"/>
          <w:bCs w:val="1"/>
          <w:u w:val="single" w:color="auto"/>
          <w:color w:val="auto"/>
        </w:rPr>
        <w:t>AGREEMENT</w:t>
      </w:r>
      <w:r>
        <w:rPr>
          <w:rFonts w:ascii="Arial" w:cs="Arial" w:eastAsia="Arial" w:hAnsi="Arial"/>
          <w:sz w:val="21"/>
          <w:szCs w:val="21"/>
          <w:b w:val="1"/>
          <w:bCs w:val="1"/>
          <w:color w:val="auto"/>
        </w:rPr>
        <w:t>:</w:t>
      </w:r>
    </w:p>
    <w:p>
      <w:pPr>
        <w:spacing w:after="0" w:line="228"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In consideration of the foregoing and of the mutual covenants set forth herein and other good and valuable consideration, the parties hereto agree as follows:</w:t>
      </w:r>
    </w:p>
    <w:p>
      <w:pPr>
        <w:spacing w:after="0" w:line="154" w:lineRule="exact"/>
        <w:rPr>
          <w:sz w:val="20"/>
          <w:szCs w:val="20"/>
          <w:color w:val="auto"/>
        </w:rPr>
      </w:pPr>
    </w:p>
    <w:p>
      <w:pPr>
        <w:ind w:right="120" w:firstLine="642"/>
        <w:spacing w:after="0" w:line="264" w:lineRule="auto"/>
        <w:tabs>
          <w:tab w:leader="none" w:pos="1272" w:val="left"/>
        </w:tabs>
        <w:numPr>
          <w:ilvl w:val="0"/>
          <w:numId w:val="65"/>
        </w:numPr>
        <w:rPr>
          <w:rFonts w:ascii="Arial" w:cs="Arial" w:eastAsia="Arial" w:hAnsi="Arial"/>
          <w:sz w:val="21"/>
          <w:szCs w:val="21"/>
          <w:color w:val="010000"/>
        </w:rPr>
      </w:pPr>
      <w:r>
        <w:rPr>
          <w:rFonts w:ascii="Arial" w:cs="Arial" w:eastAsia="Arial" w:hAnsi="Arial"/>
          <w:sz w:val="21"/>
          <w:szCs w:val="21"/>
          <w:u w:val="single" w:color="auto"/>
          <w:color w:val="auto"/>
        </w:rPr>
        <w:t>GRANT OF STOCK</w:t>
      </w:r>
      <w:r>
        <w:rPr>
          <w:rFonts w:ascii="Arial" w:cs="Arial" w:eastAsia="Arial" w:hAnsi="Arial"/>
          <w:sz w:val="21"/>
          <w:szCs w:val="21"/>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70" w:lineRule="exact"/>
        <w:rPr>
          <w:rFonts w:ascii="Arial" w:cs="Arial" w:eastAsia="Arial" w:hAnsi="Arial"/>
          <w:sz w:val="21"/>
          <w:szCs w:val="21"/>
          <w:color w:val="010000"/>
        </w:rPr>
      </w:pPr>
    </w:p>
    <w:p>
      <w:pPr>
        <w:ind w:right="60" w:firstLine="642"/>
        <w:spacing w:after="0" w:line="271" w:lineRule="auto"/>
        <w:tabs>
          <w:tab w:leader="none" w:pos="1272"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RESTRICTIONS AND CONDITIONS</w:t>
      </w:r>
      <w:r>
        <w:rPr>
          <w:rFonts w:ascii="Arial" w:cs="Arial" w:eastAsia="Arial" w:hAnsi="Arial"/>
          <w:sz w:val="20"/>
          <w:szCs w:val="20"/>
          <w:color w:val="auto"/>
        </w:rPr>
        <w:t>. Subject to the Participant’s continuous employment with the Company, the Restriction Period applicable to the Restricted Shares shall lapse, and the Restricted Shares shall become vested as to one-fourth (1/4) of the Restricted Shares subject to the Award on each of the first, second, third and fourth anniversaries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64" w:lineRule="exact"/>
        <w:rPr>
          <w:rFonts w:ascii="Arial" w:cs="Arial" w:eastAsia="Arial" w:hAnsi="Arial"/>
          <w:sz w:val="20"/>
          <w:szCs w:val="20"/>
          <w:color w:val="010000"/>
        </w:rPr>
      </w:pPr>
    </w:p>
    <w:p>
      <w:pPr>
        <w:ind w:right="500" w:firstLine="1278"/>
        <w:spacing w:after="0" w:line="305" w:lineRule="auto"/>
        <w:tabs>
          <w:tab w:leader="none" w:pos="1905"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130" w:lineRule="exact"/>
        <w:rPr>
          <w:rFonts w:ascii="Arial" w:cs="Arial" w:eastAsia="Arial" w:hAnsi="Arial"/>
          <w:sz w:val="20"/>
          <w:szCs w:val="20"/>
          <w:color w:val="010000"/>
        </w:rPr>
      </w:pPr>
    </w:p>
    <w:p>
      <w:pPr>
        <w:ind w:right="60" w:firstLine="1278"/>
        <w:spacing w:after="0" w:line="259" w:lineRule="auto"/>
        <w:tabs>
          <w:tab w:leader="none" w:pos="1903"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ectPr>
          <w:pgSz w:w="11900" w:h="16838" w:orient="portrait"/>
          <w:cols w:equalWidth="0" w:num="1">
            <w:col w:w="11240"/>
          </w:cols>
          <w:pgMar w:left="320" w:top="125" w:right="339" w:bottom="1440" w:gutter="0" w:footer="0" w:header="0"/>
        </w:sectPr>
      </w:pPr>
    </w:p>
    <w:bookmarkStart w:id="75" w:name="page76"/>
    <w:bookmarkEnd w:id="75"/>
    <w:p>
      <w:pPr>
        <w:ind w:right="60" w:firstLine="1278"/>
        <w:spacing w:after="0" w:line="279" w:lineRule="auto"/>
        <w:tabs>
          <w:tab w:leader="none" w:pos="1905"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the record address of the holder of record of such shares shall be care of the Secretary of the Company at the Company’s principal executive office;</w:t>
      </w:r>
    </w:p>
    <w:p>
      <w:pPr>
        <w:spacing w:after="0" w:line="154" w:lineRule="exact"/>
        <w:rPr>
          <w:rFonts w:ascii="Arial" w:cs="Arial" w:eastAsia="Arial" w:hAnsi="Arial"/>
          <w:sz w:val="21"/>
          <w:szCs w:val="21"/>
          <w:color w:val="010000"/>
        </w:rPr>
      </w:pPr>
    </w:p>
    <w:p>
      <w:pPr>
        <w:ind w:left="1900" w:hanging="622"/>
        <w:spacing w:after="0"/>
        <w:tabs>
          <w:tab w:leader="none" w:pos="1900"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such shares shall bear a restrictive legend, as follows:</w:t>
      </w:r>
    </w:p>
    <w:p>
      <w:pPr>
        <w:spacing w:after="0" w:line="222" w:lineRule="exact"/>
        <w:rPr>
          <w:sz w:val="20"/>
          <w:szCs w:val="20"/>
          <w:color w:val="auto"/>
        </w:rPr>
      </w:pPr>
    </w:p>
    <w:p>
      <w:pPr>
        <w:jc w:val="both"/>
        <w:ind w:left="1280" w:right="720"/>
        <w:spacing w:after="0" w:line="276" w:lineRule="auto"/>
        <w:rPr>
          <w:sz w:val="20"/>
          <w:szCs w:val="20"/>
          <w:color w:val="auto"/>
        </w:rPr>
      </w:pPr>
      <w:r>
        <w:rPr>
          <w:rFonts w:ascii="Arial" w:cs="Arial" w:eastAsia="Arial" w:hAnsi="Arial"/>
          <w:sz w:val="20"/>
          <w:szCs w:val="20"/>
          <w:color w:val="auto"/>
        </w:rPr>
        <w:t>“The transferability of this certificate and the shares of stock represented hereby are subject to the terms and conditions (including forfeiture) of the Dine Brands Global, Inc. 2019 Stock Incentive Plan and a Restricted Stock Award Agreement entered into between the registered owner and Dine Brands Global, Inc. Copies of such Plan and Agreement are on file in the offices of Dine Brands Global, Inc.”;</w:t>
      </w:r>
    </w:p>
    <w:p>
      <w:pPr>
        <w:spacing w:after="0" w:line="161" w:lineRule="exact"/>
        <w:rPr>
          <w:sz w:val="20"/>
          <w:szCs w:val="20"/>
          <w:color w:val="auto"/>
        </w:rPr>
      </w:pPr>
    </w:p>
    <w:p>
      <w:pPr>
        <w:ind w:left="1920" w:hanging="642"/>
        <w:spacing w:after="0"/>
        <w:tabs>
          <w:tab w:leader="none" w:pos="1920"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45" w:lineRule="exact"/>
        <w:rPr>
          <w:rFonts w:ascii="Arial" w:cs="Arial" w:eastAsia="Arial" w:hAnsi="Arial"/>
          <w:sz w:val="19"/>
          <w:szCs w:val="19"/>
          <w:color w:val="010000"/>
        </w:rPr>
      </w:pPr>
    </w:p>
    <w:p>
      <w:pPr>
        <w:ind w:left="1920" w:hanging="642"/>
        <w:spacing w:after="0"/>
        <w:tabs>
          <w:tab w:leader="none" w:pos="1920"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Section 4 below.</w:t>
      </w:r>
    </w:p>
    <w:p>
      <w:pPr>
        <w:spacing w:after="0" w:line="204" w:lineRule="exact"/>
        <w:rPr>
          <w:sz w:val="20"/>
          <w:szCs w:val="20"/>
          <w:color w:val="auto"/>
        </w:rPr>
      </w:pPr>
    </w:p>
    <w:p>
      <w:pPr>
        <w:ind w:right="160" w:firstLine="636"/>
        <w:spacing w:after="0" w:line="259" w:lineRule="auto"/>
        <w:rPr>
          <w:sz w:val="20"/>
          <w:szCs w:val="20"/>
          <w:color w:val="auto"/>
        </w:rPr>
      </w:pPr>
      <w:r>
        <w:rPr>
          <w:rFonts w:ascii="Arial" w:cs="Arial" w:eastAsia="Arial" w:hAnsi="Arial"/>
          <w:sz w:val="21"/>
          <w:szCs w:val="21"/>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77" w:lineRule="exact"/>
        <w:rPr>
          <w:sz w:val="20"/>
          <w:szCs w:val="20"/>
          <w:color w:val="auto"/>
        </w:rPr>
      </w:pPr>
    </w:p>
    <w:p>
      <w:pPr>
        <w:ind w:left="1280" w:hanging="638"/>
        <w:spacing w:after="0"/>
        <w:tabs>
          <w:tab w:leader="none" w:pos="1280" w:val="left"/>
        </w:tabs>
        <w:numPr>
          <w:ilvl w:val="0"/>
          <w:numId w:val="68"/>
        </w:numPr>
        <w:rPr>
          <w:rFonts w:ascii="Arial" w:cs="Arial" w:eastAsia="Arial" w:hAnsi="Arial"/>
          <w:sz w:val="21"/>
          <w:szCs w:val="21"/>
          <w:color w:val="010000"/>
        </w:rPr>
      </w:pPr>
      <w:r>
        <w:rPr>
          <w:rFonts w:ascii="Arial" w:cs="Arial" w:eastAsia="Arial" w:hAnsi="Arial"/>
          <w:sz w:val="21"/>
          <w:szCs w:val="21"/>
          <w:u w:val="single" w:color="auto"/>
          <w:color w:val="auto"/>
        </w:rPr>
        <w:t>RIGHTS UPON TERMINATION OF EMPLOYMENT</w:t>
      </w:r>
      <w:r>
        <w:rPr>
          <w:rFonts w:ascii="Arial" w:cs="Arial" w:eastAsia="Arial" w:hAnsi="Arial"/>
          <w:sz w:val="21"/>
          <w:szCs w:val="21"/>
          <w:color w:val="auto"/>
        </w:rPr>
        <w:t>.</w:t>
      </w:r>
    </w:p>
    <w:p>
      <w:pPr>
        <w:spacing w:after="0" w:line="222" w:lineRule="exact"/>
        <w:rPr>
          <w:rFonts w:ascii="Arial" w:cs="Arial" w:eastAsia="Arial" w:hAnsi="Arial"/>
          <w:sz w:val="21"/>
          <w:szCs w:val="21"/>
          <w:color w:val="010000"/>
        </w:rPr>
      </w:pPr>
    </w:p>
    <w:p>
      <w:pPr>
        <w:jc w:val="both"/>
        <w:ind w:right="140" w:firstLine="1278"/>
        <w:spacing w:after="0" w:line="264" w:lineRule="auto"/>
        <w:tabs>
          <w:tab w:leader="none" w:pos="1905" w:val="left"/>
        </w:tabs>
        <w:numPr>
          <w:ilvl w:val="1"/>
          <w:numId w:val="68"/>
        </w:numPr>
        <w:rPr>
          <w:rFonts w:ascii="Arial" w:cs="Arial" w:eastAsia="Arial" w:hAnsi="Arial"/>
          <w:sz w:val="21"/>
          <w:szCs w:val="21"/>
          <w:color w:val="010000"/>
        </w:rPr>
      </w:pPr>
      <w:r>
        <w:rPr>
          <w:rFonts w:ascii="Arial" w:cs="Arial" w:eastAsia="Arial" w:hAnsi="Arial"/>
          <w:sz w:val="21"/>
          <w:szCs w:val="21"/>
          <w:u w:val="single" w:color="auto"/>
          <w:color w:val="auto"/>
        </w:rPr>
        <w:t>Service Vesting</w:t>
      </w:r>
      <w:r>
        <w:rPr>
          <w:rFonts w:ascii="Arial" w:cs="Arial" w:eastAsia="Arial" w:hAnsi="Arial"/>
          <w:sz w:val="21"/>
          <w:szCs w:val="21"/>
          <w:color w:val="auto"/>
        </w:rPr>
        <w:t>. Except as otherwise provided in this Section 3, the Restricted Shares will be forfeited as to the unvested portion of the Award if the Participant does not remain continuously in the employment of the Company through the specified lapsing dates set forth in Section 2 above.</w:t>
      </w:r>
    </w:p>
    <w:p>
      <w:pPr>
        <w:spacing w:after="0" w:line="170" w:lineRule="exact"/>
        <w:rPr>
          <w:rFonts w:ascii="Arial" w:cs="Arial" w:eastAsia="Arial" w:hAnsi="Arial"/>
          <w:sz w:val="21"/>
          <w:szCs w:val="21"/>
          <w:color w:val="010000"/>
        </w:rPr>
      </w:pPr>
    </w:p>
    <w:p>
      <w:pPr>
        <w:ind w:right="40" w:firstLine="1278"/>
        <w:spacing w:after="0" w:line="305" w:lineRule="auto"/>
        <w:tabs>
          <w:tab w:leader="none" w:pos="1903" w:val="left"/>
        </w:tabs>
        <w:numPr>
          <w:ilvl w:val="1"/>
          <w:numId w:val="68"/>
        </w:numPr>
        <w:rPr>
          <w:rFonts w:ascii="Arial" w:cs="Arial" w:eastAsia="Arial" w:hAnsi="Arial"/>
          <w:sz w:val="20"/>
          <w:szCs w:val="20"/>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Restriction Period shall lapse in its entirety and the Restricted Shares shall become fully vested and nonforfeitable.</w:t>
      </w:r>
    </w:p>
    <w:p>
      <w:pPr>
        <w:spacing w:after="0" w:line="130" w:lineRule="exact"/>
        <w:rPr>
          <w:rFonts w:ascii="Arial" w:cs="Arial" w:eastAsia="Arial" w:hAnsi="Arial"/>
          <w:sz w:val="20"/>
          <w:szCs w:val="20"/>
          <w:color w:val="010000"/>
        </w:rPr>
      </w:pPr>
    </w:p>
    <w:p>
      <w:pPr>
        <w:ind w:right="40" w:firstLine="1278"/>
        <w:spacing w:after="0" w:line="259" w:lineRule="auto"/>
        <w:tabs>
          <w:tab w:leader="none" w:pos="1905" w:val="left"/>
        </w:tabs>
        <w:numPr>
          <w:ilvl w:val="1"/>
          <w:numId w:val="68"/>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76" w:lineRule="exact"/>
        <w:rPr>
          <w:rFonts w:ascii="Arial" w:cs="Arial" w:eastAsia="Arial" w:hAnsi="Arial"/>
          <w:sz w:val="21"/>
          <w:szCs w:val="21"/>
          <w:color w:val="010000"/>
        </w:rPr>
      </w:pPr>
    </w:p>
    <w:p>
      <w:pPr>
        <w:ind w:firstLine="642"/>
        <w:spacing w:after="0" w:line="259" w:lineRule="auto"/>
        <w:tabs>
          <w:tab w:leader="none" w:pos="1272" w:val="left"/>
        </w:tabs>
        <w:numPr>
          <w:ilvl w:val="0"/>
          <w:numId w:val="68"/>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403" w:right="399" w:bottom="1440" w:gutter="0" w:footer="0" w:header="0"/>
        </w:sectPr>
      </w:pPr>
    </w:p>
    <w:bookmarkStart w:id="76" w:name="page77"/>
    <w:bookmarkEnd w:id="76"/>
    <w:p>
      <w:pPr>
        <w:ind w:right="200"/>
        <w:spacing w:after="0" w:line="257" w:lineRule="auto"/>
        <w:rPr>
          <w:sz w:val="20"/>
          <w:szCs w:val="20"/>
          <w:color w:val="auto"/>
        </w:rPr>
      </w:pPr>
      <w:r>
        <w:rPr>
          <w:rFonts w:ascii="Arial" w:cs="Arial" w:eastAsia="Arial" w:hAnsi="Arial"/>
          <w:sz w:val="21"/>
          <w:szCs w:val="21"/>
          <w:color w:val="auto"/>
        </w:rPr>
        <w:t>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8" w:lineRule="exact"/>
        <w:rPr>
          <w:sz w:val="20"/>
          <w:szCs w:val="20"/>
          <w:color w:val="auto"/>
        </w:rPr>
      </w:pPr>
    </w:p>
    <w:p>
      <w:pPr>
        <w:jc w:val="both"/>
        <w:ind w:right="60" w:firstLine="642"/>
        <w:spacing w:after="0" w:line="281" w:lineRule="auto"/>
        <w:tabs>
          <w:tab w:leader="none" w:pos="1272" w:val="left"/>
        </w:tabs>
        <w:numPr>
          <w:ilvl w:val="1"/>
          <w:numId w:val="69"/>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6"/>
        <w:spacing w:after="0" w:line="264" w:lineRule="auto"/>
        <w:tabs>
          <w:tab w:leader="none" w:pos="406"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79" w:lineRule="exact"/>
        <w:rPr>
          <w:rFonts w:ascii="Arial" w:cs="Arial" w:eastAsia="Arial" w:hAnsi="Arial"/>
          <w:sz w:val="20"/>
          <w:szCs w:val="20"/>
          <w:color w:val="auto"/>
        </w:rPr>
      </w:pPr>
    </w:p>
    <w:p>
      <w:pPr>
        <w:ind w:right="100" w:firstLine="642"/>
        <w:spacing w:after="0" w:line="257" w:lineRule="auto"/>
        <w:tabs>
          <w:tab w:leader="none" w:pos="1272" w:val="left"/>
        </w:tabs>
        <w:numPr>
          <w:ilvl w:val="1"/>
          <w:numId w:val="70"/>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77" w:lineRule="exact"/>
        <w:rPr>
          <w:rFonts w:ascii="Arial" w:cs="Arial" w:eastAsia="Arial" w:hAnsi="Arial"/>
          <w:sz w:val="21"/>
          <w:szCs w:val="21"/>
          <w:color w:val="010000"/>
        </w:rPr>
      </w:pPr>
    </w:p>
    <w:p>
      <w:pPr>
        <w:ind w:right="360" w:firstLine="642"/>
        <w:spacing w:after="0" w:line="305" w:lineRule="auto"/>
        <w:tabs>
          <w:tab w:leader="none" w:pos="1272" w:val="left"/>
        </w:tabs>
        <w:numPr>
          <w:ilvl w:val="1"/>
          <w:numId w:val="70"/>
        </w:numPr>
        <w:rPr>
          <w:rFonts w:ascii="Arial" w:cs="Arial" w:eastAsia="Arial" w:hAnsi="Arial"/>
          <w:sz w:val="20"/>
          <w:szCs w:val="20"/>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130" w:lineRule="exact"/>
        <w:rPr>
          <w:rFonts w:ascii="Arial" w:cs="Arial" w:eastAsia="Arial" w:hAnsi="Arial"/>
          <w:sz w:val="20"/>
          <w:szCs w:val="20"/>
          <w:color w:val="010000"/>
        </w:rPr>
      </w:pPr>
    </w:p>
    <w:p>
      <w:pPr>
        <w:ind w:right="140" w:firstLine="642"/>
        <w:spacing w:after="0" w:line="259" w:lineRule="auto"/>
        <w:tabs>
          <w:tab w:leader="none" w:pos="1272" w:val="left"/>
        </w:tabs>
        <w:numPr>
          <w:ilvl w:val="1"/>
          <w:numId w:val="70"/>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77" w:name="page78"/>
    <w:bookmarkEnd w:id="77"/>
    <w:p>
      <w:pPr>
        <w:ind w:right="280"/>
        <w:spacing w:after="0" w:line="283" w:lineRule="auto"/>
        <w:rPr>
          <w:sz w:val="20"/>
          <w:szCs w:val="20"/>
          <w:color w:val="auto"/>
        </w:rPr>
      </w:pPr>
      <w:r>
        <w:rPr>
          <w:rFonts w:ascii="Arial" w:cs="Arial" w:eastAsia="Arial" w:hAnsi="Arial"/>
          <w:sz w:val="19"/>
          <w:szCs w:val="19"/>
          <w:color w:val="auto"/>
        </w:rPr>
        <w:t>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w:t>
      </w:r>
    </w:p>
    <w:p>
      <w:pPr>
        <w:ind w:firstLine="6"/>
        <w:spacing w:after="0" w:line="265" w:lineRule="auto"/>
        <w:tabs>
          <w:tab w:leader="none" w:pos="312" w:val="left"/>
        </w:tabs>
        <w:numPr>
          <w:ilvl w:val="0"/>
          <w:numId w:val="71"/>
        </w:numPr>
        <w:rPr>
          <w:rFonts w:ascii="Arial" w:cs="Arial" w:eastAsia="Arial" w:hAnsi="Arial"/>
          <w:sz w:val="20"/>
          <w:szCs w:val="20"/>
          <w:color w:val="auto"/>
        </w:rPr>
      </w:pPr>
      <w:r>
        <w:rPr>
          <w:rFonts w:ascii="Arial" w:cs="Arial" w:eastAsia="Arial" w:hAnsi="Arial"/>
          <w:sz w:val="20"/>
          <w:szCs w:val="20"/>
          <w:color w:val="auto"/>
        </w:rPr>
        <w:t>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9" w:lineRule="exact"/>
        <w:rPr>
          <w:rFonts w:ascii="Arial" w:cs="Arial" w:eastAsia="Arial" w:hAnsi="Arial"/>
          <w:sz w:val="20"/>
          <w:szCs w:val="20"/>
          <w:color w:val="auto"/>
        </w:rPr>
      </w:pPr>
    </w:p>
    <w:p>
      <w:pPr>
        <w:ind w:right="40" w:firstLine="642"/>
        <w:spacing w:after="0" w:line="279" w:lineRule="auto"/>
        <w:tabs>
          <w:tab w:leader="none" w:pos="1272" w:val="left"/>
        </w:tabs>
        <w:numPr>
          <w:ilvl w:val="1"/>
          <w:numId w:val="71"/>
        </w:numPr>
        <w:rPr>
          <w:rFonts w:ascii="Arial" w:cs="Arial" w:eastAsia="Arial" w:hAnsi="Arial"/>
          <w:sz w:val="21"/>
          <w:szCs w:val="21"/>
          <w:color w:val="010000"/>
        </w:rPr>
      </w:pPr>
      <w:r>
        <w:rPr>
          <w:rFonts w:ascii="Arial" w:cs="Arial" w:eastAsia="Arial" w:hAnsi="Arial"/>
          <w:sz w:val="21"/>
          <w:szCs w:val="21"/>
          <w:u w:val="single" w:color="auto"/>
          <w:color w:val="auto"/>
        </w:rPr>
        <w:t>INCORPORATION OF PLAN</w:t>
      </w:r>
      <w:r>
        <w:rPr>
          <w:rFonts w:ascii="Arial" w:cs="Arial" w:eastAsia="Arial" w:hAnsi="Arial"/>
          <w:sz w:val="21"/>
          <w:szCs w:val="21"/>
          <w:color w:val="auto"/>
        </w:rPr>
        <w:t>. The Plan is hereby incorporated by reference and made a part hereof, and the Award and this Agreement are subject to all terms and conditions of the Plan.</w:t>
      </w:r>
    </w:p>
    <w:p>
      <w:pPr>
        <w:spacing w:after="0" w:line="154" w:lineRule="exact"/>
        <w:rPr>
          <w:rFonts w:ascii="Arial" w:cs="Arial" w:eastAsia="Arial" w:hAnsi="Arial"/>
          <w:sz w:val="21"/>
          <w:szCs w:val="21"/>
          <w:color w:val="010000"/>
        </w:rPr>
      </w:pPr>
    </w:p>
    <w:p>
      <w:pPr>
        <w:ind w:right="20" w:firstLine="642"/>
        <w:spacing w:after="0" w:line="290" w:lineRule="auto"/>
        <w:tabs>
          <w:tab w:leader="none" w:pos="1272"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50" w:lineRule="exact"/>
        <w:rPr>
          <w:rFonts w:ascii="Arial" w:cs="Arial" w:eastAsia="Arial" w:hAnsi="Arial"/>
          <w:sz w:val="19"/>
          <w:szCs w:val="19"/>
          <w:color w:val="010000"/>
        </w:rPr>
      </w:pPr>
    </w:p>
    <w:p>
      <w:pPr>
        <w:ind w:right="100" w:firstLine="642"/>
        <w:spacing w:after="0" w:line="259" w:lineRule="auto"/>
        <w:tabs>
          <w:tab w:leader="none" w:pos="1264" w:val="left"/>
        </w:tabs>
        <w:numPr>
          <w:ilvl w:val="1"/>
          <w:numId w:val="71"/>
        </w:numPr>
        <w:rPr>
          <w:rFonts w:ascii="Arial" w:cs="Arial" w:eastAsia="Arial" w:hAnsi="Arial"/>
          <w:sz w:val="21"/>
          <w:szCs w:val="21"/>
          <w:color w:val="010000"/>
        </w:rPr>
      </w:pP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amendment may impair the rights of the Participant without the consent of the Participant.</w:t>
      </w:r>
    </w:p>
    <w:p>
      <w:pPr>
        <w:spacing w:after="0" w:line="176" w:lineRule="exact"/>
        <w:rPr>
          <w:rFonts w:ascii="Arial" w:cs="Arial" w:eastAsia="Arial" w:hAnsi="Arial"/>
          <w:sz w:val="21"/>
          <w:szCs w:val="21"/>
          <w:color w:val="010000"/>
        </w:rPr>
      </w:pPr>
    </w:p>
    <w:p>
      <w:pPr>
        <w:ind w:right="220" w:firstLine="642"/>
        <w:spacing w:after="0" w:line="264" w:lineRule="auto"/>
        <w:tabs>
          <w:tab w:leader="none" w:pos="1272" w:val="left"/>
        </w:tabs>
        <w:numPr>
          <w:ilvl w:val="1"/>
          <w:numId w:val="71"/>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0" w:lineRule="exact"/>
        <w:rPr>
          <w:rFonts w:ascii="Arial" w:cs="Arial" w:eastAsia="Arial" w:hAnsi="Arial"/>
          <w:sz w:val="21"/>
          <w:szCs w:val="21"/>
          <w:color w:val="010000"/>
        </w:rPr>
      </w:pPr>
    </w:p>
    <w:p>
      <w:pPr>
        <w:ind w:right="180" w:firstLine="642"/>
        <w:spacing w:after="0" w:line="279" w:lineRule="auto"/>
        <w:tabs>
          <w:tab w:leader="none" w:pos="1272" w:val="left"/>
        </w:tabs>
        <w:numPr>
          <w:ilvl w:val="1"/>
          <w:numId w:val="71"/>
        </w:numPr>
        <w:rPr>
          <w:rFonts w:ascii="Arial" w:cs="Arial" w:eastAsia="Arial" w:hAnsi="Arial"/>
          <w:sz w:val="21"/>
          <w:szCs w:val="21"/>
          <w:color w:val="010000"/>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20" w:top="1403" w:right="379" w:bottom="1440" w:gutter="0" w:footer="0" w:header="0"/>
        </w:sectPr>
      </w:pPr>
    </w:p>
    <w:bookmarkStart w:id="78" w:name="page79"/>
    <w:bookmarkEnd w:id="78"/>
    <w:p>
      <w:pPr>
        <w:ind w:left="-6" w:right="300" w:firstLine="642"/>
        <w:spacing w:after="0" w:line="257" w:lineRule="auto"/>
        <w:tabs>
          <w:tab w:leader="none" w:pos="1266" w:val="left"/>
        </w:tabs>
        <w:numPr>
          <w:ilvl w:val="1"/>
          <w:numId w:val="72"/>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7" w:lineRule="exact"/>
        <w:rPr>
          <w:rFonts w:ascii="Arial" w:cs="Arial" w:eastAsia="Arial" w:hAnsi="Arial"/>
          <w:sz w:val="21"/>
          <w:szCs w:val="21"/>
          <w:color w:val="010000"/>
        </w:rPr>
      </w:pPr>
    </w:p>
    <w:p>
      <w:pPr>
        <w:ind w:left="1274" w:hanging="638"/>
        <w:spacing w:after="0"/>
        <w:tabs>
          <w:tab w:leader="none" w:pos="1274" w:val="left"/>
        </w:tabs>
        <w:numPr>
          <w:ilvl w:val="1"/>
          <w:numId w:val="72"/>
        </w:numPr>
        <w:rPr>
          <w:rFonts w:ascii="Arial" w:cs="Arial" w:eastAsia="Arial" w:hAnsi="Arial"/>
          <w:sz w:val="20"/>
          <w:szCs w:val="20"/>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3" w:lineRule="exact"/>
        <w:rPr>
          <w:rFonts w:ascii="Arial" w:cs="Arial" w:eastAsia="Arial" w:hAnsi="Arial"/>
          <w:sz w:val="20"/>
          <w:szCs w:val="20"/>
          <w:color w:val="010000"/>
        </w:rPr>
      </w:pPr>
    </w:p>
    <w:p>
      <w:pPr>
        <w:ind w:left="-6" w:right="20" w:firstLine="1278"/>
        <w:spacing w:after="0" w:line="256" w:lineRule="auto"/>
        <w:tabs>
          <w:tab w:leader="none" w:pos="1899"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7" w:lineRule="exact"/>
        <w:rPr>
          <w:rFonts w:ascii="Arial" w:cs="Arial" w:eastAsia="Arial" w:hAnsi="Arial"/>
          <w:sz w:val="21"/>
          <w:szCs w:val="21"/>
          <w:color w:val="010000"/>
        </w:rPr>
      </w:pPr>
    </w:p>
    <w:p>
      <w:pPr>
        <w:ind w:left="-6" w:firstLine="1278"/>
        <w:spacing w:after="0" w:line="259" w:lineRule="auto"/>
        <w:tabs>
          <w:tab w:leader="none" w:pos="1897" w:val="left"/>
        </w:tabs>
        <w:numPr>
          <w:ilvl w:val="2"/>
          <w:numId w:val="72"/>
        </w:numPr>
        <w:rPr>
          <w:rFonts w:ascii="Arial" w:cs="Arial" w:eastAsia="Arial" w:hAnsi="Arial"/>
          <w:sz w:val="21"/>
          <w:szCs w:val="21"/>
          <w:color w:val="010000"/>
        </w:rPr>
      </w:pPr>
      <w:r>
        <w:rPr>
          <w:rFonts w:ascii="Arial" w:cs="Arial" w:eastAsia="Arial" w:hAnsi="Arial"/>
          <w:sz w:val="21"/>
          <w:szCs w:val="21"/>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76" w:lineRule="exact"/>
        <w:rPr>
          <w:rFonts w:ascii="Arial" w:cs="Arial" w:eastAsia="Arial" w:hAnsi="Arial"/>
          <w:sz w:val="21"/>
          <w:szCs w:val="21"/>
          <w:color w:val="010000"/>
        </w:rPr>
      </w:pPr>
    </w:p>
    <w:p>
      <w:pPr>
        <w:ind w:left="-6" w:right="20" w:firstLine="1278"/>
        <w:spacing w:after="0" w:line="280" w:lineRule="auto"/>
        <w:tabs>
          <w:tab w:leader="none" w:pos="1899"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2" w:lineRule="exact"/>
        <w:rPr>
          <w:rFonts w:ascii="Arial" w:cs="Arial" w:eastAsia="Arial" w:hAnsi="Arial"/>
          <w:sz w:val="19"/>
          <w:szCs w:val="19"/>
          <w:color w:val="010000"/>
        </w:rPr>
      </w:pPr>
    </w:p>
    <w:p>
      <w:pPr>
        <w:ind w:left="-6" w:right="40" w:firstLine="6"/>
        <w:spacing w:after="0" w:line="266" w:lineRule="auto"/>
        <w:tabs>
          <w:tab w:leader="none" w:pos="353"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14"/>
          </w:cols>
          <w:pgMar w:left="326" w:top="1403" w:right="359" w:bottom="1440" w:gutter="0" w:footer="0" w:header="0"/>
        </w:sectPr>
      </w:pPr>
    </w:p>
    <w:bookmarkStart w:id="79" w:name="page80"/>
    <w:bookmarkEnd w:id="79"/>
    <w:p>
      <w:pPr>
        <w:ind w:firstLine="636"/>
        <w:spacing w:after="0" w:line="279" w:lineRule="auto"/>
        <w:rPr>
          <w:sz w:val="20"/>
          <w:szCs w:val="20"/>
          <w:color w:val="auto"/>
        </w:rPr>
      </w:pPr>
      <w:r>
        <w:rPr>
          <w:rFonts w:ascii="Arial" w:cs="Arial" w:eastAsia="Arial" w:hAnsi="Arial"/>
          <w:sz w:val="21"/>
          <w:szCs w:val="21"/>
          <w:color w:val="auto"/>
        </w:rPr>
        <w:t>IN WITNESS WHEREOF, the parties have executed this Restricted Stock Award Agreement on the day and year first above written.</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COMPANY:</w:t>
      </w:r>
    </w:p>
    <w:p>
      <w:pPr>
        <w:spacing w:after="0" w:line="200" w:lineRule="exact"/>
        <w:rPr>
          <w:sz w:val="20"/>
          <w:szCs w:val="20"/>
          <w:color w:val="auto"/>
        </w:rPr>
      </w:pPr>
    </w:p>
    <w:p>
      <w:pPr>
        <w:spacing w:after="0" w:line="24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DINE BRANDS GLOBAL, INC.</w:t>
      </w:r>
    </w:p>
    <w:p>
      <w:pPr>
        <w:spacing w:after="0" w:line="200" w:lineRule="exact"/>
        <w:rPr>
          <w:sz w:val="20"/>
          <w:szCs w:val="20"/>
          <w:color w:val="auto"/>
        </w:rPr>
      </w:pPr>
    </w:p>
    <w:p>
      <w:pPr>
        <w:spacing w:after="0" w:line="234" w:lineRule="exact"/>
        <w:rPr>
          <w:sz w:val="20"/>
          <w:szCs w:val="20"/>
          <w:color w:val="auto"/>
        </w:rPr>
      </w:pPr>
    </w:p>
    <w:p>
      <w:pPr>
        <w:ind w:left="3820"/>
        <w:spacing w:after="0"/>
        <w:tabs>
          <w:tab w:leader="none" w:pos="5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269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8"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Chief Executive Officer</w:t>
      </w:r>
    </w:p>
    <w:p>
      <w:pPr>
        <w:spacing w:after="0" w:line="200" w:lineRule="exact"/>
        <w:rPr>
          <w:sz w:val="20"/>
          <w:szCs w:val="20"/>
          <w:color w:val="auto"/>
        </w:rPr>
      </w:pPr>
    </w:p>
    <w:p>
      <w:pPr>
        <w:spacing w:after="0" w:line="210"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419100</wp:posOffset>
            </wp:positionV>
            <wp:extent cx="5384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415290</wp:posOffset>
            </wp:positionV>
            <wp:extent cx="5384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415290</wp:posOffset>
            </wp:positionV>
            <wp:extent cx="538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03"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John W. Peyton, certify that:</w:t>
      </w:r>
    </w:p>
    <w:p>
      <w:pPr>
        <w:spacing w:after="0" w:line="217" w:lineRule="exact"/>
        <w:rPr>
          <w:sz w:val="20"/>
          <w:szCs w:val="20"/>
          <w:color w:val="auto"/>
        </w:rPr>
      </w:pPr>
    </w:p>
    <w:p>
      <w:pPr>
        <w:ind w:left="660" w:hanging="65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380" w:val="left"/>
        </w:tabs>
        <w:rPr>
          <w:sz w:val="20"/>
          <w:szCs w:val="20"/>
          <w:color w:val="auto"/>
        </w:rPr>
      </w:pPr>
      <w:r>
        <w:rPr>
          <w:rFonts w:ascii="Arial" w:cs="Arial" w:eastAsia="Arial" w:hAnsi="Arial"/>
          <w:sz w:val="18"/>
          <w:szCs w:val="18"/>
          <w:color w:val="auto"/>
        </w:rPr>
        <w:t>Dated: 5th day of August,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10795</wp:posOffset>
            </wp:positionV>
            <wp:extent cx="2330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8"/>
          <w:szCs w:val="18"/>
          <w:color w:val="auto"/>
        </w:rPr>
        <w:t>John W. Peyton</w:t>
      </w:r>
    </w:p>
    <w:p>
      <w:pPr>
        <w:jc w:val="center"/>
        <w:ind w:left="684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7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Vance Y. Chang, certify that:</w:t>
      </w:r>
    </w:p>
    <w:p>
      <w:pPr>
        <w:spacing w:after="0" w:line="217" w:lineRule="exact"/>
        <w:rPr>
          <w:sz w:val="20"/>
          <w:szCs w:val="20"/>
          <w:color w:val="auto"/>
        </w:rPr>
      </w:pPr>
    </w:p>
    <w:p>
      <w:pPr>
        <w:ind w:left="660" w:hanging="65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17" w:lineRule="exact"/>
        <w:rPr>
          <w:rFonts w:ascii="Arial" w:cs="Arial" w:eastAsia="Arial" w:hAnsi="Arial"/>
          <w:sz w:val="18"/>
          <w:szCs w:val="18"/>
          <w:color w:val="auto"/>
        </w:rPr>
      </w:pPr>
    </w:p>
    <w:p>
      <w:pPr>
        <w:ind w:right="300" w:firstLine="6"/>
        <w:spacing w:after="0" w:line="365" w:lineRule="auto"/>
        <w:tabs>
          <w:tab w:leader="none" w:pos="653"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80" w:firstLine="6"/>
        <w:spacing w:after="0" w:line="294" w:lineRule="auto"/>
        <w:tabs>
          <w:tab w:leader="none" w:pos="6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40" w:firstLine="6"/>
        <w:spacing w:after="0" w:line="255" w:lineRule="auto"/>
        <w:tabs>
          <w:tab w:leader="none" w:pos="6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right="100" w:firstLine="642"/>
        <w:spacing w:after="0" w:line="255" w:lineRule="auto"/>
        <w:tabs>
          <w:tab w:leader="none" w:pos="128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60" w:firstLine="642"/>
        <w:spacing w:after="0" w:line="255" w:lineRule="auto"/>
        <w:tabs>
          <w:tab w:leader="none" w:pos="12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420" w:firstLine="642"/>
        <w:spacing w:after="0" w:line="365" w:lineRule="auto"/>
        <w:tabs>
          <w:tab w:leader="none" w:pos="13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right="380" w:firstLine="642"/>
        <w:spacing w:after="0" w:line="255" w:lineRule="auto"/>
        <w:tabs>
          <w:tab w:leader="none" w:pos="12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200" w:firstLine="6"/>
        <w:spacing w:after="0" w:line="294" w:lineRule="auto"/>
        <w:tabs>
          <w:tab w:leader="none" w:pos="6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7"/>
          <w:szCs w:val="17"/>
          <w:color w:val="auto"/>
        </w:rPr>
      </w:pPr>
    </w:p>
    <w:p>
      <w:pPr>
        <w:ind w:right="640" w:firstLine="642"/>
        <w:spacing w:after="0" w:line="294" w:lineRule="auto"/>
        <w:tabs>
          <w:tab w:leader="none" w:pos="1287"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right="320" w:firstLine="642"/>
        <w:spacing w:after="0" w:line="264" w:lineRule="auto"/>
        <w:tabs>
          <w:tab w:leader="none" w:pos="129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820"/>
        <w:spacing w:after="0"/>
        <w:tabs>
          <w:tab w:leader="none" w:pos="8340" w:val="left"/>
        </w:tabs>
        <w:rPr>
          <w:sz w:val="20"/>
          <w:szCs w:val="20"/>
          <w:color w:val="auto"/>
        </w:rPr>
      </w:pPr>
      <w:r>
        <w:rPr>
          <w:rFonts w:ascii="Arial" w:cs="Arial" w:eastAsia="Arial" w:hAnsi="Arial"/>
          <w:sz w:val="18"/>
          <w:szCs w:val="18"/>
          <w:color w:val="auto"/>
        </w:rPr>
        <w:t>Dated: 5th day of August, 2021</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10795</wp:posOffset>
            </wp:positionV>
            <wp:extent cx="22967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jc w:val="center"/>
        <w:ind w:left="6800"/>
        <w:spacing w:after="0"/>
        <w:rPr>
          <w:sz w:val="20"/>
          <w:szCs w:val="20"/>
          <w:color w:val="auto"/>
        </w:rPr>
      </w:pPr>
      <w:r>
        <w:rPr>
          <w:rFonts w:ascii="Arial" w:cs="Arial" w:eastAsia="Arial" w:hAnsi="Arial"/>
          <w:sz w:val="18"/>
          <w:szCs w:val="18"/>
          <w:color w:val="auto"/>
        </w:rPr>
        <w:t>Vance Y. Chang</w:t>
      </w:r>
    </w:p>
    <w:p>
      <w:pPr>
        <w:jc w:val="center"/>
        <w:ind w:left="680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6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76"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In connection with the Quarterly Report on Form 10-Q of Dine Brands Global, Inc. (the “Company”) for the quarter ended June 30, 2021, as filed with the Securities and Exchange Commission on the 5th day of August, 2021 (the “Report”), John W. Peyton, as Chief Executive Officer of the Company, hereby certifies, pursuant to 18 U.S.C. Section 1350, as adopted pursuant to Section 906 of the Sarbanes-Oxley Act of 2002, to the best of his knowledge, that:</w:t>
      </w:r>
    </w:p>
    <w:p>
      <w:pPr>
        <w:spacing w:after="0" w:line="137" w:lineRule="exact"/>
        <w:rPr>
          <w:sz w:val="20"/>
          <w:szCs w:val="20"/>
          <w:color w:val="auto"/>
        </w:rPr>
      </w:pPr>
    </w:p>
    <w:p>
      <w:pPr>
        <w:ind w:left="1640" w:hanging="521"/>
        <w:spacing w:after="0"/>
        <w:tabs>
          <w:tab w:leader="none" w:pos="16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5th day of August, 2021</w:t>
      </w:r>
      <w:r>
        <w:rPr>
          <w:sz w:val="20"/>
          <w:szCs w:val="20"/>
          <w:color w:val="auto"/>
        </w:rPr>
        <w:tab/>
      </w:r>
      <w:r>
        <w:rPr>
          <w:rFonts w:ascii="Arial" w:cs="Arial" w:eastAsia="Arial" w:hAnsi="Arial"/>
          <w:sz w:val="15"/>
          <w:szCs w:val="15"/>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10795</wp:posOffset>
            </wp:positionV>
            <wp:extent cx="22466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John W. Peyton</w:t>
      </w:r>
    </w:p>
    <w:p>
      <w:pPr>
        <w:jc w:val="center"/>
        <w:ind w:left="7160"/>
        <w:spacing w:after="0" w:line="19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i w:val="1"/>
          <w:iCs w:val="1"/>
          <w:color w:val="auto"/>
        </w:rPr>
        <w:t>(Principal Executive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7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In connection with the Quarterly Report on Form 10-Q of Dine Brands Global, Inc. (the “Company”) for the quarter ended June 30, 2021, as filed with the Securities and Exchange Commission on the 5th day of August, 2021 (the “Report”), Vance Y. Chang, as Chief Financial Officer of the Company, hereby certifies, pursuant to 18 U.S.C. Section 1350, as adopted pursuant to Section 906 of the Sarbanes-Oxley Act of 2002, to the best of his knowledge, that:</w:t>
      </w:r>
    </w:p>
    <w:p>
      <w:pPr>
        <w:spacing w:after="0" w:line="137" w:lineRule="exact"/>
        <w:rPr>
          <w:sz w:val="20"/>
          <w:szCs w:val="20"/>
          <w:color w:val="auto"/>
        </w:rPr>
      </w:pPr>
    </w:p>
    <w:p>
      <w:pPr>
        <w:ind w:left="1640" w:hanging="521"/>
        <w:spacing w:after="0"/>
        <w:tabs>
          <w:tab w:leader="none" w:pos="16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51" w:lineRule="exact"/>
        <w:rPr>
          <w:rFonts w:ascii="Arial" w:cs="Arial" w:eastAsia="Arial" w:hAnsi="Arial"/>
          <w:sz w:val="15"/>
          <w:szCs w:val="15"/>
          <w:color w:val="auto"/>
        </w:rPr>
      </w:pPr>
    </w:p>
    <w:p>
      <w:pPr>
        <w:ind w:left="1640" w:hanging="521"/>
        <w:spacing w:after="0"/>
        <w:tabs>
          <w:tab w:leader="none" w:pos="16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45" w:lineRule="exact"/>
        <w:rPr>
          <w:sz w:val="20"/>
          <w:szCs w:val="20"/>
          <w:color w:val="auto"/>
        </w:rPr>
      </w:pPr>
    </w:p>
    <w:p>
      <w:pPr>
        <w:ind w:left="20"/>
        <w:spacing w:after="0"/>
        <w:tabs>
          <w:tab w:leader="none" w:pos="780" w:val="left"/>
          <w:tab w:leader="none" w:pos="8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5th day of August, 2021</w:t>
      </w:r>
      <w:r>
        <w:rPr>
          <w:sz w:val="20"/>
          <w:szCs w:val="20"/>
          <w:color w:val="auto"/>
        </w:rPr>
        <w:tab/>
      </w:r>
      <w:r>
        <w:rPr>
          <w:rFonts w:ascii="Arial" w:cs="Arial" w:eastAsia="Arial" w:hAnsi="Arial"/>
          <w:sz w:val="15"/>
          <w:szCs w:val="15"/>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10795</wp:posOffset>
            </wp:positionV>
            <wp:extent cx="2221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8"/>
          <w:szCs w:val="18"/>
          <w:color w:val="auto"/>
        </w:rPr>
        <w:t>Vance Y. Chang</w:t>
      </w:r>
    </w:p>
    <w:p>
      <w:pPr>
        <w:jc w:val="center"/>
        <w:ind w:left="7220"/>
        <w:spacing w:after="0" w:line="199"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8"/>
          <w:szCs w:val="18"/>
          <w:i w:val="1"/>
          <w:iCs w:val="1"/>
          <w:color w:val="auto"/>
        </w:rPr>
        <w:t>(Principal Financial Officer)</w:t>
      </w:r>
    </w:p>
    <w:p>
      <w:pPr>
        <w:spacing w:after="0" w:line="30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upperLetter"/>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6"/>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2"/>
    </w:lvl>
  </w:abstractNum>
  <w:abstractNum w:abstractNumId="17">
    <w:nsid w:val="38437FDB"/>
    <w:multiLevelType w:val="hybridMultilevel"/>
    <w:lvl w:ilvl="0">
      <w:lvlJc w:val="left"/>
      <w:lvlText w:val="(%1)"/>
      <w:numFmt w:val="lowerLetter"/>
      <w:start w:val="3"/>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
      <w:numFmt w:val="bullet"/>
      <w:start w:val="1"/>
    </w:lvl>
    <w:lvl w:ilvl="1">
      <w:lvlJc w:val="left"/>
      <w:lvlText w:val="%2"/>
      <w:numFmt w:val="decimal"/>
      <w:start w:val="104"/>
    </w:lvl>
  </w:abstractNum>
  <w:abstractNum w:abstractNumId="24">
    <w:nsid w:val="1BA026FA"/>
    <w:multiLevelType w:val="hybridMultilevel"/>
    <w:lvl w:ilvl="0">
      <w:lvlJc w:val="left"/>
      <w:lvlText w:val="**"/>
      <w:numFmt w:val="bullet"/>
      <w:start w:val="1"/>
    </w:lvl>
    <w:lvl w:ilvl="1">
      <w:lvlJc w:val="left"/>
      <w:lvlText w:val="%2"/>
      <w:numFmt w:val="decimal"/>
      <w:start w:val="1"/>
    </w:lvl>
  </w:abstractNum>
  <w:abstractNum w:abstractNumId="25">
    <w:nsid w:val="79A1DEAA"/>
    <w:multiLevelType w:val="hybridMultilevel"/>
    <w:lvl w:ilvl="0">
      <w:lvlJc w:val="left"/>
      <w:lvlText w:val="***"/>
      <w:numFmt w:val="bullet"/>
      <w:start w:val="1"/>
    </w:lvl>
    <w:lvl w:ilvl="1">
      <w:lvlJc w:val="left"/>
      <w:lvlText w:val="%2"/>
      <w:numFmt w:val="decimal"/>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lvl w:ilvl="1">
      <w:lvlJc w:val="left"/>
      <w:lvlText w:val="%2."/>
      <w:numFmt w:val="lowerLetter"/>
      <w:start w:val="1"/>
    </w:lvl>
  </w:abstractNum>
  <w:abstractNum w:abstractNumId="29">
    <w:nsid w:val="520EEDD1"/>
    <w:multiLevelType w:val="hybridMultilevel"/>
    <w:lvl w:ilvl="0">
      <w:lvlJc w:val="left"/>
      <w:lvlText w:val="%1."/>
      <w:numFmt w:val="decimal"/>
      <w:start w:val="6"/>
    </w:lvl>
    <w:lvl w:ilvl="1">
      <w:lvlJc w:val="left"/>
      <w:lvlText w:val="%2."/>
      <w:numFmt w:val="lowerLetter"/>
      <w:start w:val="1"/>
    </w:lvl>
  </w:abstractNum>
  <w:abstractNum w:abstractNumId="30">
    <w:nsid w:val="374A3FE6"/>
    <w:multiLevelType w:val="hybridMultilevel"/>
    <w:lvl w:ilvl="0">
      <w:lvlJc w:val="left"/>
      <w:lvlText w:val="%1"/>
      <w:numFmt w:val="decimal"/>
      <w:start w:val="1"/>
    </w:lvl>
    <w:lvl w:ilvl="1">
      <w:lvlJc w:val="left"/>
      <w:lvlText w:val="%2."/>
      <w:numFmt w:val="lowerLetter"/>
      <w:start w:val="2"/>
    </w:lvl>
  </w:abstractNum>
  <w:abstractNum w:abstractNumId="31">
    <w:nsid w:val="4F4EF005"/>
    <w:multiLevelType w:val="hybridMultilevel"/>
    <w:lvl w:ilvl="0">
      <w:lvlJc w:val="left"/>
      <w:lvlText w:val="%1."/>
      <w:numFmt w:val="decimal"/>
      <w:start w:val="7"/>
    </w:lvl>
    <w:lvl w:ilvl="1">
      <w:lvlJc w:val="left"/>
      <w:lvlText w:val="%2."/>
      <w:numFmt w:val="lowerLetter"/>
      <w:start w:val="1"/>
    </w:lvl>
  </w:abstractNum>
  <w:abstractNum w:abstractNumId="32">
    <w:nsid w:val="23F9C13C"/>
    <w:multiLevelType w:val="hybridMultilevel"/>
    <w:lvl w:ilvl="0">
      <w:lvlJc w:val="left"/>
      <w:lvlText w:val="%1."/>
      <w:numFmt w:val="decimal"/>
      <w:start w:val="9"/>
    </w:lvl>
  </w:abstractNum>
  <w:abstractNum w:abstractNumId="33">
    <w:nsid w:val="649BB77C"/>
    <w:multiLevelType w:val="hybridMultilevel"/>
    <w:lvl w:ilvl="0">
      <w:lvlJc w:val="left"/>
      <w:lvlText w:val="%1"/>
      <w:numFmt w:val="lowerLetter"/>
      <w:start w:val="1"/>
    </w:lvl>
    <w:lvl w:ilvl="1">
      <w:lvlJc w:val="left"/>
      <w:lvlText w:val="(%2)"/>
      <w:numFmt w:val="decimal"/>
      <w:start w:val="1"/>
    </w:lvl>
  </w:abstractNum>
  <w:abstractNum w:abstractNumId="34">
    <w:nsid w:val="275AC794"/>
    <w:multiLevelType w:val="hybridMultilevel"/>
    <w:lvl w:ilvl="0">
      <w:lvlJc w:val="left"/>
      <w:lvlText w:val="(%1)"/>
      <w:numFmt w:val="lowerLetter"/>
      <w:start w:val="2"/>
    </w:lvl>
    <w:lvl w:ilvl="1">
      <w:lvlJc w:val="left"/>
      <w:lvlText w:val="%2"/>
      <w:numFmt w:val="decimal"/>
      <w:start w:val="1"/>
    </w:lvl>
  </w:abstractNum>
  <w:abstractNum w:abstractNumId="35">
    <w:nsid w:val="39386575"/>
    <w:multiLevelType w:val="hybridMultilevel"/>
    <w:lvl w:ilvl="0">
      <w:lvlJc w:val="left"/>
      <w:lvlText w:val="%1."/>
      <w:numFmt w:val="decimal"/>
      <w:start w:val="10"/>
    </w:lvl>
    <w:lvl w:ilvl="1">
      <w:lvlJc w:val="left"/>
      <w:lvlText w:val="%2"/>
      <w:numFmt w:val="lowerLetter"/>
      <w:start w:val="1"/>
    </w:lvl>
  </w:abstractNum>
  <w:abstractNum w:abstractNumId="36">
    <w:nsid w:val="1CF10FD8"/>
    <w:multiLevelType w:val="hybridMultilevel"/>
    <w:lvl w:ilvl="0">
      <w:lvlJc w:val="left"/>
      <w:lvlText w:val="%1"/>
      <w:numFmt w:val="decimal"/>
      <w:start w:val="1"/>
    </w:lvl>
    <w:lvl w:ilvl="1">
      <w:lvlJc w:val="left"/>
      <w:lvlText w:val="%2."/>
      <w:numFmt w:val="lowerLetter"/>
      <w:start w:val="2"/>
    </w:lvl>
  </w:abstractNum>
  <w:abstractNum w:abstractNumId="37">
    <w:nsid w:val="180115BE"/>
    <w:multiLevelType w:val="hybridMultilevel"/>
    <w:lvl w:ilvl="0">
      <w:lvlJc w:val="left"/>
      <w:lvlText w:val="%1."/>
      <w:numFmt w:val="decimal"/>
      <w:start w:val="13"/>
    </w:lvl>
    <w:lvl w:ilvl="1">
      <w:lvlJc w:val="left"/>
      <w:lvlText w:val="%2."/>
      <w:numFmt w:val="lowerLetter"/>
      <w:start w:val="1"/>
    </w:lvl>
  </w:abstractNum>
  <w:abstractNum w:abstractNumId="38">
    <w:nsid w:val="235BA861"/>
    <w:multiLevelType w:val="hybridMultilevel"/>
    <w:lvl w:ilvl="0">
      <w:lvlJc w:val="left"/>
      <w:lvlText w:val="%1."/>
      <w:numFmt w:val="lowerLetter"/>
      <w:start w:val="3"/>
    </w:lvl>
  </w:abstractNum>
  <w:abstractNum w:abstractNumId="39">
    <w:nsid w:val="47398C89"/>
    <w:multiLevelType w:val="hybridMultilevel"/>
    <w:lvl w:ilvl="0">
      <w:lvlJc w:val="left"/>
      <w:lvlText w:val="%1."/>
      <w:numFmt w:val="lowerLetter"/>
      <w:start w:val="4"/>
    </w:lvl>
    <w:lvl w:ilvl="1">
      <w:lvlJc w:val="left"/>
      <w:lvlText w:val="(%2)"/>
      <w:numFmt w:val="lowerRoman"/>
      <w:start w:val="1"/>
    </w:lvl>
  </w:abstractNum>
  <w:abstractNum w:abstractNumId="40">
    <w:nsid w:val="354FE9F9"/>
    <w:multiLevelType w:val="hybridMultilevel"/>
    <w:lvl w:ilvl="0">
      <w:lvlJc w:val="left"/>
      <w:lvlText w:val="%1."/>
      <w:numFmt w:val="lowerLetter"/>
      <w:start w:val="6"/>
    </w:lvl>
  </w:abstractNum>
  <w:abstractNum w:abstractNumId="41">
    <w:nsid w:val="15B5AF5C"/>
    <w:multiLevelType w:val="hybridMultilevel"/>
    <w:lvl w:ilvl="0">
      <w:lvlJc w:val="left"/>
      <w:lvlText w:val="(%1)"/>
      <w:numFmt w:val="lowerRoman"/>
      <w:start w:val="3"/>
    </w:lvl>
    <w:lvl w:ilvl="1">
      <w:lvlJc w:val="left"/>
      <w:lvlText w:val="%2."/>
      <w:numFmt w:val="lowerLetter"/>
      <w:start w:val="7"/>
    </w:lvl>
  </w:abstractNum>
  <w:abstractNum w:abstractNumId="42">
    <w:nsid w:val="741226BB"/>
    <w:multiLevelType w:val="hybridMultilevel"/>
    <w:lvl w:ilvl="0">
      <w:lvlJc w:val="left"/>
      <w:lvlText w:val="%1"/>
      <w:numFmt w:val="decimal"/>
      <w:start w:val="1"/>
    </w:lvl>
    <w:lvl w:ilvl="1">
      <w:lvlJc w:val="left"/>
      <w:lvlText w:val="%2."/>
      <w:numFmt w:val="lowerLetter"/>
      <w:start w:val="10"/>
    </w:lvl>
  </w:abstractNum>
  <w:abstractNum w:abstractNumId="43">
    <w:nsid w:val="D34B6A8"/>
    <w:multiLevelType w:val="hybridMultilevel"/>
    <w:lvl w:ilvl="0">
      <w:lvlJc w:val="left"/>
      <w:lvlText w:val="%1."/>
      <w:numFmt w:val="decimal"/>
      <w:start w:val="14"/>
    </w:lvl>
    <w:lvl w:ilvl="1">
      <w:lvlJc w:val="left"/>
      <w:lvlText w:val="%2."/>
      <w:numFmt w:val="lowerLetter"/>
      <w:start w:val="1"/>
    </w:lvl>
  </w:abstractNum>
  <w:abstractNum w:abstractNumId="44">
    <w:nsid w:val="10233C99"/>
    <w:multiLevelType w:val="hybridMultilevel"/>
    <w:lvl w:ilvl="0">
      <w:lvlJc w:val="left"/>
      <w:lvlText w:val="%1"/>
      <w:numFmt w:val="decimal"/>
      <w:start w:val="1"/>
    </w:lvl>
    <w:lvl w:ilvl="1">
      <w:lvlJc w:val="left"/>
      <w:lvlText w:val="%2."/>
      <w:numFmt w:val="lowerLetter"/>
      <w:start w:val="4"/>
    </w:lvl>
  </w:abstractNum>
  <w:abstractNum w:abstractNumId="45">
    <w:nsid w:val="3F6AB60F"/>
    <w:multiLevelType w:val="hybridMultilevel"/>
    <w:lvl w:ilvl="0">
      <w:lvlJc w:val="left"/>
      <w:lvlText w:val="%1."/>
      <w:numFmt w:val="decimal"/>
      <w:start w:val="15"/>
    </w:lvl>
    <w:lvl w:ilvl="1">
      <w:lvlJc w:val="left"/>
      <w:lvlText w:val="%2."/>
      <w:numFmt w:val="lowerLetter"/>
      <w:start w:val="1"/>
    </w:lvl>
  </w:abstractNum>
  <w:abstractNum w:abstractNumId="46">
    <w:nsid w:val="61574095"/>
    <w:multiLevelType w:val="hybridMultilevel"/>
    <w:lvl w:ilvl="0">
      <w:lvlJc w:val="left"/>
      <w:lvlText w:val="%1."/>
      <w:numFmt w:val="lowerLetter"/>
      <w:start w:val="3"/>
    </w:lvl>
  </w:abstractNum>
  <w:abstractNum w:abstractNumId="47">
    <w:nsid w:val="7E0C57B1"/>
    <w:multiLevelType w:val="hybridMultilevel"/>
    <w:lvl w:ilvl="0">
      <w:lvlJc w:val="left"/>
      <w:lvlText w:val="%1."/>
      <w:numFmt w:val="decimal"/>
      <w:start w:val="16"/>
    </w:lvl>
  </w:abstractNum>
  <w:abstractNum w:abstractNumId="48">
    <w:nsid w:val="77AE35EB"/>
    <w:multiLevelType w:val="hybridMultilevel"/>
    <w:lvl w:ilvl="0">
      <w:lvlJc w:val="left"/>
      <w:lvlText w:val="%1."/>
      <w:numFmt w:val="decimal"/>
      <w:start w:val="17"/>
    </w:lvl>
    <w:lvl w:ilvl="1">
      <w:lvlJc w:val="left"/>
      <w:lvlText w:val="%2."/>
      <w:numFmt w:val="lowerLetter"/>
      <w:start w:val="1"/>
    </w:lvl>
  </w:abstractNum>
  <w:abstractNum w:abstractNumId="49">
    <w:nsid w:val="579BE4F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0">
    <w:nsid w:val="310C50B3"/>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51">
    <w:nsid w:val="5FF87E05"/>
    <w:multiLevelType w:val="hybridMultilevel"/>
    <w:lvl w:ilvl="0">
      <w:lvlJc w:val="left"/>
      <w:lvlText w:val="%1."/>
      <w:numFmt w:val="lowerLetter"/>
      <w:start w:val="2"/>
    </w:lvl>
  </w:abstractNum>
  <w:abstractNum w:abstractNumId="52">
    <w:nsid w:val="2F305DEF"/>
    <w:multiLevelType w:val="hybridMultilevel"/>
    <w:lvl w:ilvl="0">
      <w:lvlJc w:val="left"/>
      <w:lvlText w:val="%1."/>
      <w:numFmt w:val="decimal"/>
      <w:start w:val="20"/>
    </w:lvl>
    <w:lvl w:ilvl="1">
      <w:lvlJc w:val="left"/>
      <w:lvlText w:val="%2."/>
      <w:numFmt w:val="lowerLetter"/>
      <w:start w:val="1"/>
    </w:lvl>
  </w:abstractNum>
  <w:abstractNum w:abstractNumId="53">
    <w:nsid w:val="25A70BF7"/>
    <w:multiLevelType w:val="hybridMultilevel"/>
    <w:lvl w:ilvl="0">
      <w:lvlJc w:val="left"/>
      <w:lvlText w:val="%1."/>
      <w:numFmt w:val="lowerLetter"/>
      <w:start w:val="3"/>
    </w:lvl>
    <w:lvl w:ilvl="1">
      <w:lvlJc w:val="left"/>
      <w:lvlText w:val="(%2)"/>
      <w:numFmt w:val="lowerRoman"/>
      <w:start w:val="1"/>
    </w:lvl>
  </w:abstractNum>
  <w:abstractNum w:abstractNumId="54">
    <w:nsid w:val="1DBABF00"/>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abstractNum>
  <w:abstractNum w:abstractNumId="55">
    <w:nsid w:val="4AD084E9"/>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3"/>
    </w:lvl>
  </w:abstractNum>
  <w:abstractNum w:abstractNumId="59">
    <w:nsid w:val="100F8FCA"/>
    <w:multiLevelType w:val="hybridMultilevel"/>
    <w:lvl w:ilvl="0">
      <w:lvlJc w:val="left"/>
      <w:lvlText w:val="%1."/>
      <w:numFmt w:val="decimal"/>
      <w:start w:val="3"/>
    </w:lvl>
  </w:abstractNum>
  <w:abstractNum w:abstractNumId="60">
    <w:nsid w:val="6590700B"/>
    <w:multiLevelType w:val="hybridMultilevel"/>
    <w:lvl w:ilvl="0">
      <w:lvlJc w:val="left"/>
      <w:lvlText w:val="%1."/>
      <w:numFmt w:val="decimal"/>
      <w:start w:val="4"/>
    </w:lvl>
  </w:abstractNum>
  <w:abstractNum w:abstractNumId="61">
    <w:nsid w:val="15014ACB"/>
    <w:multiLevelType w:val="hybridMultilevel"/>
    <w:lvl w:ilvl="0">
      <w:lvlJc w:val="left"/>
      <w:lvlText w:val="%1."/>
      <w:numFmt w:val="decimal"/>
      <w:start w:val="5"/>
    </w:lvl>
  </w:abstractNum>
  <w:abstractNum w:abstractNumId="62">
    <w:nsid w:val="5F5E7FD0"/>
    <w:multiLevelType w:val="hybridMultilevel"/>
    <w:lvl w:ilvl="0">
      <w:lvlJc w:val="left"/>
      <w:lvlText w:val="%1."/>
      <w:numFmt w:val="decimal"/>
      <w:start w:val="8"/>
    </w:lvl>
  </w:abstractNum>
  <w:abstractNum w:abstractNumId="63">
    <w:nsid w:val="98A3148"/>
    <w:multiLevelType w:val="hybridMultilevel"/>
    <w:lvl w:ilvl="0">
      <w:lvlJc w:val="left"/>
      <w:lvlText w:val="%1."/>
      <w:numFmt w:val="decimal"/>
      <w:start w:val="10"/>
    </w:lvl>
  </w:abstractNum>
  <w:abstractNum w:abstractNumId="64">
    <w:nsid w:val="799D0247"/>
    <w:multiLevelType w:val="hybridMultilevel"/>
    <w:lvl w:ilvl="0">
      <w:lvlJc w:val="left"/>
      <w:lvlText w:val="%1."/>
      <w:numFmt w:val="decimal"/>
      <w:start w:val="1"/>
    </w:lvl>
    <w:lvl w:ilvl="1">
      <w:lvlJc w:val="left"/>
      <w:lvlText w:val="(%2)"/>
      <w:numFmt w:val="lowerLetter"/>
      <w:start w:val="1"/>
    </w:lvl>
  </w:abstractNum>
  <w:abstractNum w:abstractNumId="65">
    <w:nsid w:val="6B94764"/>
    <w:multiLevelType w:val="hybridMultilevel"/>
    <w:lvl w:ilvl="0">
      <w:lvlJc w:val="left"/>
      <w:lvlText w:val="(%1)"/>
      <w:numFmt w:val="lowerLetter"/>
      <w:start w:val="3"/>
    </w:lvl>
  </w:abstractNum>
  <w:abstractNum w:abstractNumId="66">
    <w:nsid w:val="42C296BD"/>
    <w:multiLevelType w:val="hybridMultilevel"/>
    <w:lvl w:ilvl="0">
      <w:lvlJc w:val="left"/>
      <w:lvlText w:val="(%1)"/>
      <w:numFmt w:val="lowerLetter"/>
      <w:start w:val="5"/>
    </w:lvl>
  </w:abstractNum>
  <w:abstractNum w:abstractNumId="67">
    <w:nsid w:val="168E121F"/>
    <w:multiLevelType w:val="hybridMultilevel"/>
    <w:lvl w:ilvl="0">
      <w:lvlJc w:val="left"/>
      <w:lvlText w:val="%1."/>
      <w:numFmt w:val="decimal"/>
      <w:start w:val="3"/>
    </w:lvl>
    <w:lvl w:ilvl="1">
      <w:lvlJc w:val="left"/>
      <w:lvlText w:val="(%2)"/>
      <w:numFmt w:val="lowerLetter"/>
      <w:start w:val="1"/>
    </w:lvl>
  </w:abstractNum>
  <w:abstractNum w:abstractNumId="68">
    <w:nsid w:val="1EBA5D23"/>
    <w:multiLevelType w:val="hybridMultilevel"/>
    <w:lvl w:ilvl="0">
      <w:lvlJc w:val="left"/>
      <w:lvlText w:val="%1"/>
      <w:numFmt w:val="decimal"/>
      <w:start w:val="1"/>
    </w:lvl>
    <w:lvl w:ilvl="1">
      <w:lvlJc w:val="left"/>
      <w:lvlText w:val="%2."/>
      <w:numFmt w:val="decimal"/>
      <w:start w:val="5"/>
    </w:lvl>
  </w:abstractNum>
  <w:abstractNum w:abstractNumId="69">
    <w:nsid w:val="661E3F1E"/>
    <w:multiLevelType w:val="hybridMultilevel"/>
    <w:lvl w:ilvl="0">
      <w:lvlJc w:val="left"/>
      <w:lvlText w:val="(%1)"/>
      <w:numFmt w:val="decimal"/>
      <w:start w:val="50"/>
    </w:lvl>
    <w:lvl w:ilvl="1">
      <w:lvlJc w:val="left"/>
      <w:lvlText w:val="%2."/>
      <w:numFmt w:val="decimal"/>
      <w:start w:val="6"/>
    </w:lvl>
  </w:abstractNum>
  <w:abstractNum w:abstractNumId="70">
    <w:nsid w:val="5DC79EA8"/>
    <w:multiLevelType w:val="hybridMultilevel"/>
    <w:lvl w:ilvl="0">
      <w:lvlJc w:val="left"/>
      <w:lvlText w:val="(%1)"/>
      <w:numFmt w:val="lowerRoman"/>
      <w:start w:val="2"/>
    </w:lvl>
    <w:lvl w:ilvl="1">
      <w:lvlJc w:val="left"/>
      <w:lvlText w:val="%2."/>
      <w:numFmt w:val="decimal"/>
      <w:start w:val="9"/>
    </w:lvl>
  </w:abstractNum>
  <w:abstractNum w:abstractNumId="71">
    <w:nsid w:val="540A471C"/>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72">
    <w:nsid w:val="7BD3EE7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2021-08-05T07:30:18Z</dcterms:created>
  <dcterms:modified xsi:type="dcterms:W3CDTF">2021-08-05T07:30:18Z</dcterms:modified>
</cp:coreProperties>
</file>